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361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300"/>
        <w:gridCol w:w="3060"/>
      </w:tblGrid>
      <w:tr>
        <w:trPr/>
        <w:tc>
          <w:tcPr>
            <w:tcW w:w="6300" w:type="dxa"/>
            <w:tcBorders/>
            <w:shd w:fill="auto" w:val="clear"/>
          </w:tcPr>
          <w:p>
            <w:pPr>
              <w:pStyle w:val="Normal"/>
              <w:tabs>
                <w:tab w:val="left" w:pos="360" w:leader="none"/>
                <w:tab w:val="left" w:pos="720" w:leader="none"/>
                <w:tab w:val="left" w:pos="1080" w:leader="none"/>
                <w:tab w:val="left" w:pos="1440" w:leader="none"/>
                <w:tab w:val="left" w:pos="1800" w:leader="none"/>
                <w:tab w:val="left" w:pos="2160" w:leader="none"/>
                <w:tab w:val="left" w:pos="2520" w:leader="none"/>
                <w:tab w:val="left" w:pos="2880" w:leader="none"/>
                <w:tab w:val="left" w:pos="3240" w:leader="none"/>
                <w:tab w:val="left" w:pos="3600" w:leader="none"/>
                <w:tab w:val="left" w:pos="3960" w:leader="none"/>
                <w:tab w:val="left" w:pos="4320" w:leader="none"/>
                <w:tab w:val="left" w:pos="7200" w:leader="none"/>
              </w:tabs>
              <w:spacing w:before="0" w:after="0"/>
              <w:rPr>
                <w:b/>
                <w:b/>
                <w:szCs w:val="22"/>
              </w:rPr>
            </w:pPr>
            <w:r>
              <mc:AlternateContent>
                <mc:Choice Requires="wpg">
                  <w:drawing>
                    <wp:anchor behindDoc="0" distT="0" distB="0" distL="114300" distR="114300" simplePos="0" locked="0" layoutInCell="1" allowOverlap="1" relativeHeight="2" wp14:anchorId="7AF4159C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-351155</wp:posOffset>
                      </wp:positionV>
                      <wp:extent cx="313690" cy="328930"/>
                      <wp:effectExtent l="0" t="0" r="0" b="0"/>
                      <wp:wrapNone/>
                      <wp:docPr id="1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3200" cy="3283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45720"/>
                                  <a:ext cx="14760" cy="2793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flipV="1">
                                  <a:off x="14040" y="317520"/>
                                  <a:ext cx="299160" cy="1080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flipH="1" flipV="1">
                                  <a:off x="299160" y="34200"/>
                                  <a:ext cx="14040" cy="28260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flipH="1">
                                  <a:off x="720" y="34200"/>
                                  <a:ext cx="295920" cy="1224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0" y="45720"/>
                                  <a:ext cx="1800" cy="7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47520" y="59760"/>
                                  <a:ext cx="195480" cy="17028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109440" y="42480"/>
                                  <a:ext cx="108000" cy="23688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162360" y="56520"/>
                                  <a:ext cx="75600" cy="5508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90720" y="27720"/>
                                  <a:ext cx="185400" cy="13284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55800" y="34200"/>
                                  <a:ext cx="220320" cy="1386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13680" y="11520"/>
                                  <a:ext cx="269280" cy="24624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14040" y="23400"/>
                                  <a:ext cx="212760" cy="24264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10800" y="11520"/>
                                  <a:ext cx="269280" cy="2221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14400" y="29880"/>
                                  <a:ext cx="269280" cy="22788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43560" y="53280"/>
                                  <a:ext cx="231840" cy="1555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20160" y="111600"/>
                                  <a:ext cx="218520" cy="1389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40320" y="-5040"/>
                                  <a:ext cx="241920" cy="27108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177840" y="123120"/>
                                  <a:ext cx="79200" cy="8064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180000" y="125280"/>
                                  <a:ext cx="75600" cy="781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45360" y="136080"/>
                                  <a:ext cx="36720" cy="792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48600" y="138240"/>
                                  <a:ext cx="31680" cy="763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94320" y="128880"/>
                                  <a:ext cx="74160" cy="792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 rot="21456000">
                                  <a:off x="96840" y="130320"/>
                                  <a:ext cx="69840" cy="756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-3.5pt;margin-top:-27.45pt;width:24.6pt;height:25.45pt" coordorigin="-70,-549" coordsize="492,509">
                      <v:line id="shape_0" from="-70,-485" to="-48,-46" stroked="t" style="position:absolute">
                        <v:stroke color="white" joinstyle="round" endcap="flat"/>
                        <v:fill o:detectmouseclick="t" on="false"/>
                      </v:line>
                      <v:line id="shape_0" from="-48,-57" to="422,-41" stroked="t" style="position:absolute;flip:y">
                        <v:stroke color="white" joinstyle="round" endcap="flat"/>
                        <v:fill o:detectmouseclick="t" on="false"/>
                      </v:line>
                      <v:line id="shape_0" from="401,-503" to="422,-59" stroked="t" style="position:absolute;flip:xy">
                        <v:stroke color="white" joinstyle="round" endcap="flat"/>
                        <v:fill o:detectmouseclick="t" on="false"/>
                      </v:line>
                      <v:line id="shape_0" from="-69,-503" to="396,-485" stroked="t" style="position:absolute;flip:x">
                        <v:stroke color="white" joinstyle="round" endcap="flat"/>
                        <v:fill o:detectmouseclick="t" on="false"/>
                      </v:line>
                      <v:line id="shape_0" from="-70,-485" to="-68,-485" stroked="t" style="position:absolute">
                        <v:stroke color="white" joinstyle="round" endcap="flat"/>
                        <v:fill o:detectmouseclick="t" on="false"/>
                      </v:line>
                    </v:group>
                  </w:pict>
                </mc:Fallback>
              </mc:AlternateContent>
              <w:drawing>
                <wp:anchor behindDoc="0" distT="0" distB="0" distL="114300" distR="114300" simplePos="0" locked="0" layoutInCell="1" allowOverlap="1" relativeHeight="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Bild 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114300" distR="114300" simplePos="0" locked="0" layoutInCell="1" allowOverlap="1" relativeHeight="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Bild 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ld 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</w:rPr>
              <w:t>Joint Video Experts Team (JVET)</w:t>
            </w:r>
          </w:p>
          <w:p>
            <w:pPr>
              <w:pStyle w:val="Normal"/>
              <w:tabs>
                <w:tab w:val="left" w:pos="360" w:leader="none"/>
                <w:tab w:val="left" w:pos="720" w:leader="none"/>
                <w:tab w:val="left" w:pos="1080" w:leader="none"/>
                <w:tab w:val="left" w:pos="1440" w:leader="none"/>
                <w:tab w:val="left" w:pos="1800" w:leader="none"/>
                <w:tab w:val="left" w:pos="2160" w:leader="none"/>
                <w:tab w:val="left" w:pos="2520" w:leader="none"/>
                <w:tab w:val="left" w:pos="2880" w:leader="none"/>
                <w:tab w:val="left" w:pos="3240" w:leader="none"/>
                <w:tab w:val="left" w:pos="3600" w:leader="none"/>
                <w:tab w:val="left" w:pos="3960" w:leader="none"/>
                <w:tab w:val="left" w:pos="4320" w:leader="none"/>
                <w:tab w:val="left" w:pos="7200" w:leader="none"/>
              </w:tabs>
              <w:spacing w:before="0" w:after="0"/>
              <w:rPr>
                <w:b/>
                <w:b/>
                <w:szCs w:val="22"/>
              </w:rPr>
            </w:pPr>
            <w:r>
              <w:rPr>
                <w:b/>
                <w:szCs w:val="22"/>
              </w:rPr>
              <w:t>of ITU-T SG 16 WP 3 and ISO/IEC JTC 1/SC 29/WG 11</w:t>
            </w:r>
          </w:p>
          <w:p>
            <w:pPr>
              <w:pStyle w:val="Normal"/>
              <w:tabs>
                <w:tab w:val="left" w:pos="360" w:leader="none"/>
                <w:tab w:val="left" w:pos="720" w:leader="none"/>
                <w:tab w:val="left" w:pos="1080" w:leader="none"/>
                <w:tab w:val="left" w:pos="1440" w:leader="none"/>
                <w:tab w:val="left" w:pos="1800" w:leader="none"/>
                <w:tab w:val="left" w:pos="2160" w:leader="none"/>
                <w:tab w:val="left" w:pos="2520" w:leader="none"/>
                <w:tab w:val="left" w:pos="2880" w:leader="none"/>
                <w:tab w:val="left" w:pos="3240" w:leader="none"/>
                <w:tab w:val="left" w:pos="3600" w:leader="none"/>
                <w:tab w:val="left" w:pos="3960" w:leader="none"/>
                <w:tab w:val="left" w:pos="4320" w:leader="none"/>
                <w:tab w:val="left" w:pos="7200" w:leader="none"/>
              </w:tabs>
              <w:spacing w:before="0" w:after="0"/>
              <w:rPr>
                <w:b/>
                <w:b/>
                <w:szCs w:val="22"/>
              </w:rPr>
            </w:pPr>
            <w:r>
              <w:rPr/>
              <w:t>17th Meeting: Brussels, BE, 7–17 January 2020</w:t>
            </w:r>
          </w:p>
        </w:tc>
        <w:tc>
          <w:tcPr>
            <w:tcW w:w="3060" w:type="dxa"/>
            <w:tcBorders/>
            <w:shd w:fill="auto" w:val="clear"/>
          </w:tcPr>
          <w:p>
            <w:pPr>
              <w:pStyle w:val="Normal"/>
              <w:tabs>
                <w:tab w:val="left" w:pos="360" w:leader="none"/>
                <w:tab w:val="left" w:pos="720" w:leader="none"/>
                <w:tab w:val="left" w:pos="1080" w:leader="none"/>
                <w:tab w:val="left" w:pos="1440" w:leader="none"/>
                <w:tab w:val="left" w:pos="1800" w:leader="none"/>
                <w:tab w:val="left" w:pos="2160" w:leader="none"/>
                <w:tab w:val="left" w:pos="2520" w:leader="none"/>
                <w:tab w:val="left" w:pos="2880" w:leader="none"/>
                <w:tab w:val="left" w:pos="3240" w:leader="none"/>
                <w:tab w:val="left" w:pos="3600" w:leader="none"/>
                <w:tab w:val="left" w:pos="3960" w:leader="none"/>
                <w:tab w:val="left" w:pos="4320" w:leader="none"/>
                <w:tab w:val="left" w:pos="7200" w:leader="none"/>
              </w:tabs>
              <w:spacing w:before="136" w:after="0"/>
              <w:rPr/>
            </w:pPr>
            <w:r>
              <w:rPr/>
              <w:t>Document: JVET-Q0750-v1</w:t>
            </w:r>
          </w:p>
        </w:tc>
      </w:tr>
    </w:tbl>
    <w:p>
      <w:pPr>
        <w:pStyle w:val="Normal"/>
        <w:spacing w:before="0" w:after="0"/>
        <w:rPr/>
      </w:pPr>
      <w:r>
        <w:rPr/>
      </w:r>
    </w:p>
    <w:tbl>
      <w:tblPr>
        <w:tblW w:w="9491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454"/>
        <w:gridCol w:w="4074"/>
        <w:gridCol w:w="901"/>
        <w:gridCol w:w="3061"/>
      </w:tblGrid>
      <w:tr>
        <w:trPr/>
        <w:tc>
          <w:tcPr>
            <w:tcW w:w="1454" w:type="dxa"/>
            <w:tcBorders/>
            <w:shd w:fill="auto" w:val="clear"/>
          </w:tcPr>
          <w:p>
            <w:pPr>
              <w:pStyle w:val="Normal"/>
              <w:spacing w:before="60" w:after="60"/>
              <w:rPr>
                <w:i/>
                <w:i/>
                <w:szCs w:val="22"/>
              </w:rPr>
            </w:pPr>
            <w:r>
              <w:rPr>
                <w:i/>
                <w:szCs w:val="22"/>
              </w:rPr>
              <w:t>Title:</w:t>
            </w:r>
          </w:p>
        </w:tc>
        <w:tc>
          <w:tcPr>
            <w:tcW w:w="8036" w:type="dxa"/>
            <w:gridSpan w:val="3"/>
            <w:tcBorders/>
            <w:shd w:fill="auto" w:val="clear"/>
          </w:tcPr>
          <w:p>
            <w:pPr>
              <w:pStyle w:val="Normal"/>
              <w:spacing w:before="60" w:after="60"/>
              <w:rPr/>
            </w:pPr>
            <w:r>
              <w:rPr>
                <w:b/>
                <w:szCs w:val="22"/>
              </w:rPr>
              <w:t>Crosscheck of JVET-Q0695 (Combined encoder improvements of JVET-Q0101 / JVET-Q0408 / JVET-Q0514 on JCCR with chroma transform skip)</w:t>
            </w:r>
          </w:p>
        </w:tc>
      </w:tr>
      <w:tr>
        <w:trPr>
          <w:trHeight w:val="407" w:hRule="atLeast"/>
        </w:trPr>
        <w:tc>
          <w:tcPr>
            <w:tcW w:w="1454" w:type="dxa"/>
            <w:tcBorders/>
            <w:shd w:fill="auto" w:val="clear"/>
          </w:tcPr>
          <w:p>
            <w:pPr>
              <w:pStyle w:val="Normal"/>
              <w:spacing w:before="60" w:after="60"/>
              <w:rPr>
                <w:i/>
                <w:i/>
                <w:szCs w:val="22"/>
              </w:rPr>
            </w:pPr>
            <w:r>
              <w:rPr>
                <w:i/>
                <w:szCs w:val="22"/>
              </w:rPr>
              <w:t>Status:</w:t>
            </w:r>
          </w:p>
        </w:tc>
        <w:tc>
          <w:tcPr>
            <w:tcW w:w="8036" w:type="dxa"/>
            <w:gridSpan w:val="3"/>
            <w:tcBorders/>
            <w:shd w:fill="auto" w:val="clear"/>
          </w:tcPr>
          <w:p>
            <w:pPr>
              <w:pStyle w:val="Normal"/>
              <w:spacing w:before="60" w:after="60"/>
              <w:rPr/>
            </w:pPr>
            <w:r>
              <w:rPr>
                <w:szCs w:val="22"/>
              </w:rPr>
              <w:t>Input document to JVET</w:t>
            </w:r>
          </w:p>
        </w:tc>
      </w:tr>
      <w:tr>
        <w:trPr/>
        <w:tc>
          <w:tcPr>
            <w:tcW w:w="1454" w:type="dxa"/>
            <w:tcBorders/>
            <w:shd w:fill="auto" w:val="clear"/>
          </w:tcPr>
          <w:p>
            <w:pPr>
              <w:pStyle w:val="Normal"/>
              <w:spacing w:before="60" w:after="60"/>
              <w:rPr>
                <w:i/>
                <w:i/>
                <w:szCs w:val="22"/>
              </w:rPr>
            </w:pPr>
            <w:r>
              <w:rPr>
                <w:i/>
                <w:szCs w:val="22"/>
              </w:rPr>
              <w:t>Purpose:</w:t>
            </w:r>
          </w:p>
        </w:tc>
        <w:tc>
          <w:tcPr>
            <w:tcW w:w="8036" w:type="dxa"/>
            <w:gridSpan w:val="3"/>
            <w:tcBorders/>
            <w:shd w:fill="auto" w:val="clear"/>
          </w:tcPr>
          <w:p>
            <w:pPr>
              <w:pStyle w:val="Normal"/>
              <w:spacing w:before="60" w:after="60"/>
              <w:rPr/>
            </w:pPr>
            <w:r>
              <w:rPr>
                <w:szCs w:val="22"/>
              </w:rPr>
              <w:t>Report</w:t>
            </w:r>
          </w:p>
        </w:tc>
      </w:tr>
      <w:tr>
        <w:trPr/>
        <w:tc>
          <w:tcPr>
            <w:tcW w:w="1454" w:type="dxa"/>
            <w:tcBorders/>
            <w:shd w:fill="auto" w:val="clear"/>
          </w:tcPr>
          <w:p>
            <w:pPr>
              <w:pStyle w:val="Normal"/>
              <w:spacing w:before="60" w:after="60"/>
              <w:rPr>
                <w:i/>
                <w:i/>
                <w:szCs w:val="22"/>
              </w:rPr>
            </w:pPr>
            <w:r>
              <w:rPr>
                <w:i/>
                <w:szCs w:val="22"/>
              </w:rPr>
              <w:t>Author(s) or</w:t>
              <w:br/>
              <w:t>Contact(s):</w:t>
            </w:r>
          </w:p>
        </w:tc>
        <w:tc>
          <w:tcPr>
            <w:tcW w:w="4074" w:type="dxa"/>
            <w:tcBorders/>
            <w:shd w:fill="auto" w:val="clear"/>
          </w:tcPr>
          <w:p>
            <w:pPr>
              <w:pStyle w:val="Normal"/>
              <w:spacing w:before="60" w:after="60"/>
              <w:rPr/>
            </w:pPr>
            <w:r>
              <w:rPr>
                <w:szCs w:val="22"/>
              </w:rPr>
              <w:t>Christian Helmrich, Heiko Schwarz</w:t>
              <w:br/>
            </w:r>
          </w:p>
        </w:tc>
        <w:tc>
          <w:tcPr>
            <w:tcW w:w="901" w:type="dxa"/>
            <w:tcBorders/>
            <w:shd w:fill="auto" w:val="clear"/>
          </w:tcPr>
          <w:p>
            <w:pPr>
              <w:pStyle w:val="Normal"/>
              <w:spacing w:before="60" w:after="60"/>
              <w:rPr>
                <w:szCs w:val="22"/>
              </w:rPr>
            </w:pPr>
            <w:r>
              <w:rPr>
                <w:szCs w:val="22"/>
              </w:rPr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spacing w:before="60" w:after="60"/>
              <w:rPr/>
            </w:pPr>
            <w:r>
              <w:rPr>
                <w:color w:val="2E74B5" w:themeColor="accent5" w:themeShade="bf"/>
                <w:szCs w:val="22"/>
              </w:rPr>
              <w:t xml:space="preserve"> </w:t>
            </w:r>
          </w:p>
        </w:tc>
      </w:tr>
      <w:tr>
        <w:trPr/>
        <w:tc>
          <w:tcPr>
            <w:tcW w:w="1454" w:type="dxa"/>
            <w:tcBorders/>
            <w:shd w:fill="auto" w:val="clear"/>
          </w:tcPr>
          <w:p>
            <w:pPr>
              <w:pStyle w:val="Normal"/>
              <w:spacing w:before="60" w:after="60"/>
              <w:rPr>
                <w:i/>
                <w:i/>
                <w:szCs w:val="22"/>
              </w:rPr>
            </w:pPr>
            <w:r>
              <w:rPr>
                <w:i/>
                <w:szCs w:val="22"/>
              </w:rPr>
              <w:t>Source:</w:t>
            </w:r>
          </w:p>
        </w:tc>
        <w:tc>
          <w:tcPr>
            <w:tcW w:w="8036" w:type="dxa"/>
            <w:gridSpan w:val="3"/>
            <w:tcBorders/>
            <w:shd w:fill="auto" w:val="clear"/>
          </w:tcPr>
          <w:p>
            <w:pPr>
              <w:pStyle w:val="Normal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Fraunhofer HHI, Einsteinufer 37, 10587 Berlin</w:t>
            </w:r>
          </w:p>
        </w:tc>
      </w:tr>
    </w:tbl>
    <w:p>
      <w:pPr>
        <w:pStyle w:val="Normal"/>
        <w:tabs>
          <w:tab w:val="left" w:pos="360" w:leader="none"/>
          <w:tab w:val="left" w:pos="720" w:leader="none"/>
          <w:tab w:val="left" w:pos="1080" w:leader="none"/>
          <w:tab w:val="left" w:pos="1440" w:leader="none"/>
          <w:tab w:val="left" w:pos="1800" w:leader="none"/>
          <w:tab w:val="left" w:pos="2160" w:leader="none"/>
          <w:tab w:val="left" w:pos="2520" w:leader="none"/>
          <w:tab w:val="left" w:pos="2880" w:leader="none"/>
          <w:tab w:val="left" w:pos="3240" w:leader="none"/>
          <w:tab w:val="left" w:pos="3600" w:leader="none"/>
          <w:tab w:val="left" w:pos="3960" w:leader="none"/>
          <w:tab w:val="left" w:pos="4320" w:leader="none"/>
          <w:tab w:val="right" w:pos="9360" w:leader="none"/>
        </w:tabs>
        <w:spacing w:before="120" w:after="240"/>
        <w:jc w:val="center"/>
        <w:rPr>
          <w:szCs w:val="22"/>
        </w:rPr>
      </w:pPr>
      <w:r>
        <w:rPr>
          <w:szCs w:val="22"/>
          <w:u w:val="single"/>
        </w:rPr>
        <w:t>_____________________________</w:t>
      </w:r>
    </w:p>
    <w:p>
      <w:pPr>
        <w:pStyle w:val="Normal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Abstract</w:t>
      </w:r>
    </w:p>
    <w:p>
      <w:pPr>
        <w:pStyle w:val="Normal"/>
        <w:rPr/>
      </w:pPr>
      <w:r>
        <w:rPr>
          <w:szCs w:val="22"/>
        </w:rPr>
        <w:t>The crosscheckers report that the provided source code was carefully analyzed and found to be consistent with the description in contribution JVET-Q0695. The determined Bjøntegaard-delta (BD) rate and codec runtime changes on JVET's SDR common test conditions (CTC) at standard QPs (22-37) and low QPs (2-17) were found to match those reported in contribution JVET-Q0695 for the data which were available</w:t>
      </w:r>
      <w:r>
        <w:rPr>
          <w:szCs w:val="22"/>
        </w:rPr>
        <w:t xml:space="preserve"> at the time of the upload of this document</w:t>
      </w:r>
      <w:r>
        <w:rPr>
          <w:szCs w:val="22"/>
        </w:rPr>
        <w:t>.</w:t>
      </w:r>
    </w:p>
    <w:p>
      <w:pPr>
        <w:pStyle w:val="Normal"/>
        <w:rPr>
          <w:szCs w:val="22"/>
        </w:rPr>
      </w:pPr>
      <w:r>
        <w:rPr>
          <w:szCs w:val="22"/>
        </w:rPr>
      </w:r>
    </w:p>
    <w:p>
      <w:pPr>
        <w:pStyle w:val="Heading1"/>
        <w:numPr>
          <w:ilvl w:val="0"/>
          <w:numId w:val="2"/>
        </w:numPr>
        <w:ind w:left="360" w:hanging="360"/>
        <w:rPr/>
      </w:pPr>
      <w:r>
        <w:rPr>
          <w:szCs w:val="22"/>
        </w:rPr>
        <w:t>Details</w:t>
      </w:r>
    </w:p>
    <w:p>
      <w:pPr>
        <w:pStyle w:val="Normal"/>
        <w:rPr/>
      </w:pPr>
      <w:r>
        <w:rPr>
          <w:szCs w:val="22"/>
        </w:rPr>
        <w:t>The proponents of JVET-Q0695 [1] provided modifications to release 7.0 of the VTM reference software [2], which included the following aspects identified by corresponding macro definitions:</w:t>
      </w:r>
    </w:p>
    <w:p>
      <w:pPr>
        <w:pStyle w:val="Normal"/>
        <w:numPr>
          <w:ilvl w:val="0"/>
          <w:numId w:val="3"/>
        </w:numPr>
        <w:rPr/>
      </w:pPr>
      <w:r>
        <w:rPr>
          <w:szCs w:val="22"/>
        </w:rPr>
        <w:t>allowing chroma transform skipping (TS) for the joint coding of chroma residuals (JCCR)</w:t>
      </w:r>
    </w:p>
    <w:p>
      <w:pPr>
        <w:pStyle w:val="Normal"/>
        <w:numPr>
          <w:ilvl w:val="0"/>
          <w:numId w:val="3"/>
        </w:numPr>
        <w:rPr/>
      </w:pPr>
      <w:r>
        <w:rPr>
          <w:szCs w:val="22"/>
        </w:rPr>
        <w:t>early termination of chroma TS based on whether there is a significant number of coefficients in the DCT-2 transform coded case</w:t>
      </w:r>
    </w:p>
    <w:p>
      <w:pPr>
        <w:pStyle w:val="Normal"/>
        <w:numPr>
          <w:ilvl w:val="0"/>
          <w:numId w:val="3"/>
        </w:numPr>
        <w:rPr/>
      </w:pPr>
      <w:r>
        <w:rPr>
          <w:szCs w:val="22"/>
        </w:rPr>
        <w:t>pre-selection of chroma transform candidates based on coefficient magnitude</w:t>
      </w:r>
    </w:p>
    <w:p>
      <w:pPr>
        <w:pStyle w:val="Normal"/>
        <w:numPr>
          <w:ilvl w:val="0"/>
          <w:numId w:val="3"/>
        </w:numPr>
        <w:rPr/>
      </w:pPr>
      <w:r>
        <w:rPr>
          <w:szCs w:val="22"/>
        </w:rPr>
        <w:t>single rate-distortion search of chroma transform(s) for JCCR.</w:t>
      </w:r>
    </w:p>
    <w:p>
      <w:pPr>
        <w:pStyle w:val="Normal"/>
        <w:rPr>
          <w:szCs w:val="22"/>
        </w:rPr>
      </w:pPr>
      <w:r>
        <w:rPr>
          <w:szCs w:val="22"/>
        </w:rPr>
      </w:r>
    </w:p>
    <w:p>
      <w:pPr>
        <w:pStyle w:val="Normal"/>
        <w:rPr/>
      </w:pPr>
      <w:r>
        <w:rPr>
          <w:szCs w:val="22"/>
        </w:rPr>
        <w:t>The following files of the VTM 7.0 source code were modified by the proponents:</w:t>
      </w:r>
    </w:p>
    <w:p>
      <w:pPr>
        <w:pStyle w:val="Normal"/>
        <w:numPr>
          <w:ilvl w:val="0"/>
          <w:numId w:val="4"/>
        </w:numPr>
        <w:rPr/>
      </w:pPr>
      <w:r>
        <w:rPr>
          <w:szCs w:val="22"/>
        </w:rPr>
        <w:t>CommonLib: TypeDef.h (macros only), UnitTools.cpp (inactive code only)</w:t>
      </w:r>
    </w:p>
    <w:p>
      <w:pPr>
        <w:pStyle w:val="Normal"/>
        <w:numPr>
          <w:ilvl w:val="0"/>
          <w:numId w:val="4"/>
        </w:numPr>
        <w:rPr/>
      </w:pPr>
      <w:r>
        <w:rPr>
          <w:szCs w:val="22"/>
        </w:rPr>
        <w:t>EncoderLib: InterSearch.cpp, IntraSearch.cpp</w:t>
      </w:r>
    </w:p>
    <w:p>
      <w:pPr>
        <w:pStyle w:val="Normal"/>
        <w:rPr>
          <w:szCs w:val="22"/>
        </w:rPr>
      </w:pPr>
      <w:r>
        <w:rPr>
          <w:szCs w:val="22"/>
        </w:rPr>
      </w:r>
    </w:p>
    <w:p>
      <w:pPr>
        <w:pStyle w:val="Normal"/>
        <w:rPr/>
      </w:pPr>
      <w:r>
        <w:rPr>
          <w:szCs w:val="22"/>
        </w:rPr>
        <w:t>The provided changes to VTM 7.0 were verified to be encoder-only.</w:t>
      </w:r>
    </w:p>
    <w:p>
      <w:pPr>
        <w:pStyle w:val="Normal"/>
        <w:rPr>
          <w:szCs w:val="22"/>
        </w:rPr>
      </w:pPr>
      <w:r>
        <w:rPr>
          <w:szCs w:val="22"/>
        </w:rPr>
      </w:r>
    </w:p>
    <w:p>
      <w:pPr>
        <w:pStyle w:val="Heading1"/>
        <w:numPr>
          <w:ilvl w:val="0"/>
          <w:numId w:val="2"/>
        </w:numPr>
        <w:rPr/>
      </w:pPr>
      <w:r>
        <w:rPr/>
        <w:t>Experimental</w:t>
      </w:r>
      <w:r>
        <w:rPr>
          <w:szCs w:val="22"/>
        </w:rPr>
        <w:t xml:space="preserve"> Results</w:t>
      </w:r>
    </w:p>
    <w:p>
      <w:pPr>
        <w:pStyle w:val="Normal"/>
        <w:rPr/>
      </w:pPr>
      <w:r>
        <w:rPr>
          <w:szCs w:val="22"/>
        </w:rPr>
        <w:t>The proposal was implemented on top of VTM 7.0 [2] and the crosscheckers obtained the data</w:t>
      </w:r>
      <w:r>
        <w:rPr>
          <w:szCs w:val="22"/>
        </w:rPr>
        <w:t xml:space="preserve"> provided in the Excel file xcheck_Q0695_CTC.xlsm for the SDR common test conditions [3] as well as the file xcheck_Q0695_lowQP.xlsm included in the Zip file of this contribution.</w:t>
      </w:r>
    </w:p>
    <w:p>
      <w:pPr>
        <w:pStyle w:val="Normal"/>
        <w:rPr>
          <w:szCs w:val="22"/>
        </w:rPr>
      </w:pPr>
      <w:r>
        <w:rPr>
          <w:szCs w:val="22"/>
        </w:rPr>
      </w:r>
    </w:p>
    <w:p>
      <w:pPr>
        <w:pStyle w:val="Heading1"/>
        <w:numPr>
          <w:ilvl w:val="0"/>
          <w:numId w:val="2"/>
        </w:numPr>
        <w:rPr>
          <w:szCs w:val="22"/>
        </w:rPr>
      </w:pPr>
      <w:r>
        <w:rPr/>
        <w:t>References</w:t>
      </w:r>
    </w:p>
    <w:p>
      <w:pPr>
        <w:pStyle w:val="Normal"/>
        <w:ind w:left="312" w:hanging="312"/>
        <w:rPr/>
      </w:pPr>
      <w:r>
        <w:rPr>
          <w:szCs w:val="22"/>
          <w:lang w:val="de-DE"/>
        </w:rPr>
        <w:t>[1]</w:t>
      </w:r>
      <w:bookmarkStart w:id="0" w:name="_Ref32846061"/>
      <w:r>
        <w:rPr>
          <w:szCs w:val="22"/>
          <w:lang w:val="de-DE"/>
        </w:rPr>
        <w:tab/>
        <w:t>X. Xiu et al.,“Combined encoder improvements of JVET-Q0101/JVET-Q0408/JVET-Q0514 on JCCR with chroma transform skip,” JVET-Q0695, Joint Video Experts Team (JVET), Brussels, BE, Jan. 2020.</w:t>
      </w:r>
      <w:bookmarkEnd w:id="0"/>
    </w:p>
    <w:p>
      <w:pPr>
        <w:pStyle w:val="Normal"/>
        <w:ind w:left="312" w:hanging="312"/>
        <w:rPr/>
      </w:pPr>
      <w:r>
        <w:rPr>
          <w:szCs w:val="22"/>
          <w:lang w:val="de-DE"/>
        </w:rPr>
        <w:t>[2]</w:t>
      </w:r>
      <w:bookmarkStart w:id="1" w:name="_Ref3284606"/>
      <w:r>
        <w:rPr>
          <w:szCs w:val="22"/>
          <w:lang w:val="de-DE"/>
        </w:rPr>
        <w:tab/>
        <w:t>JVET, “VTM version 7.0,</w:t>
      </w:r>
      <w:bookmarkStart w:id="2" w:name="__DdeLink__49749_1395928438"/>
      <w:r>
        <w:rPr>
          <w:szCs w:val="22"/>
          <w:lang w:val="de-DE"/>
        </w:rPr>
        <w:t>”</w:t>
      </w:r>
      <w:bookmarkEnd w:id="2"/>
      <w:r>
        <w:rPr>
          <w:szCs w:val="22"/>
          <w:lang w:val="de-DE"/>
        </w:rPr>
        <w:t xml:space="preserve"> </w:t>
      </w:r>
      <w:hyperlink r:id="rId4">
        <w:r>
          <w:rPr>
            <w:rStyle w:val="InternetLink"/>
            <w:szCs w:val="22"/>
            <w:lang w:val="de-DE"/>
          </w:rPr>
          <w:t>https://vcgit.hhi.fraunhofer.de/jvet/VVCSoftware_VTM/</w:t>
        </w:r>
      </w:hyperlink>
      <w:r>
        <w:rPr>
          <w:szCs w:val="22"/>
          <w:lang w:val="de-DE"/>
        </w:rPr>
        <w:t>.</w:t>
      </w:r>
      <w:bookmarkEnd w:id="1"/>
    </w:p>
    <w:p>
      <w:pPr>
        <w:pStyle w:val="Normal"/>
        <w:ind w:left="312" w:hanging="312"/>
        <w:rPr/>
      </w:pPr>
      <w:r>
        <w:rPr>
          <w:szCs w:val="22"/>
        </w:rPr>
        <w:t>[3]</w:t>
        <w:tab/>
        <w:t>F. Bossen, J. Boyce, X. Li, V. Seregin, K. Sühring “JVET common test conditions and software reference configurations for SDR video,” JVET-N1010, Joint Video Experts Team (JVET), Geneva, CH, 2019.</w:t>
      </w:r>
    </w:p>
    <w:p>
      <w:pPr>
        <w:pStyle w:val="Normal"/>
        <w:ind w:left="312" w:hanging="312"/>
        <w:rPr/>
      </w:pPr>
      <w:r>
        <w:rPr/>
      </w:r>
    </w:p>
    <w:sectPr>
      <w:footerReference w:type="default" r:id="rId5"/>
      <w:type w:val="nextPage"/>
      <w:pgSz w:w="12240" w:h="15840"/>
      <w:pgMar w:left="1440" w:right="1440" w:header="0" w:top="864" w:footer="432" w:bottom="8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 Bold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center" w:pos="4320" w:leader="none"/>
        <w:tab w:val="right" w:pos="9360" w:leader="none"/>
      </w:tabs>
      <w:spacing w:before="136" w:after="0"/>
      <w:rPr/>
    </w:pPr>
    <w:r>
      <w:rPr/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  <w:t>Date Saved: 2019-12-31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decimal"/>
      <w:lvlText w:val="%1"/>
      <w:lvlJc w:val="left"/>
      <w:pPr>
        <w:ind w:left="432" w:hanging="432"/>
      </w:pPr>
    </w:lvl>
    <w:lvl w:ilvl="1">
      <w:start w:val="1"/>
      <w:pStyle w:val="Heading2"/>
      <w:numFmt w:val="decimal"/>
      <w:lvlText w:val="%1.%2"/>
      <w:lvlJc w:val="left"/>
      <w:pPr>
        <w:ind w:left="576" w:hanging="576"/>
      </w:pPr>
    </w:lvl>
    <w:lvl w:ilvl="2">
      <w:start w:val="1"/>
      <w:pStyle w:val="Heading3"/>
      <w:numFmt w:val="decimal"/>
      <w:lvlText w:val="%1.%2.%3"/>
      <w:lvlJc w:val="left"/>
      <w:pPr>
        <w:ind w:left="720" w:hanging="720"/>
      </w:pPr>
    </w:lvl>
    <w:lvl w:ilvl="3">
      <w:start w:val="1"/>
      <w:pStyle w:val="Heading4"/>
      <w:numFmt w:val="decimal"/>
      <w:lvlText w:val="%1.%2.%3.%4"/>
      <w:lvlJc w:val="left"/>
      <w:pPr>
        <w:ind w:left="864" w:hanging="864"/>
      </w:pPr>
    </w:lvl>
    <w:lvl w:ilvl="4">
      <w:start w:val="1"/>
      <w:pStyle w:val="Heading5"/>
      <w:numFmt w:val="decimal"/>
      <w:lvlText w:val="%1.%2.%3.%4.%5"/>
      <w:lvlJc w:val="left"/>
      <w:pPr>
        <w:ind w:left="1008" w:hanging="1008"/>
      </w:pPr>
    </w:lvl>
    <w:lvl w:ilvl="5">
      <w:start w:val="1"/>
      <w:pStyle w:val="Heading6"/>
      <w:numFmt w:val="decimal"/>
      <w:lvlText w:val="%1.%2.%3.%4.%5.%6"/>
      <w:lvlJc w:val="left"/>
      <w:pPr>
        <w:ind w:left="1152" w:hanging="1152"/>
      </w:pPr>
    </w:lvl>
    <w:lvl w:ilvl="6">
      <w:start w:val="1"/>
      <w:pStyle w:val="Heading7"/>
      <w:numFmt w:val="decimal"/>
      <w:lvlText w:val="%1.%2.%3.%4.%5.%6.%7"/>
      <w:lvlJc w:val="left"/>
      <w:pPr>
        <w:ind w:left="1296" w:hanging="1296"/>
      </w:pPr>
    </w:lvl>
    <w:lvl w:ilvl="7">
      <w:start w:val="1"/>
      <w:pStyle w:val="Heading8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compat>
    <w:doNotExpandShiftReturn/>
  </w:compat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ko-KR" w:bidi="mr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00dde"/>
    <w:pPr>
      <w:widowControl/>
      <w:tabs>
        <w:tab w:val="left" w:pos="360" w:leader="none"/>
        <w:tab w:val="left" w:pos="720" w:leader="none"/>
        <w:tab w:val="left" w:pos="1080" w:leader="none"/>
        <w:tab w:val="left" w:pos="1440" w:leader="none"/>
        <w:tab w:val="left" w:pos="1800" w:leader="none"/>
        <w:tab w:val="left" w:pos="2160" w:leader="none"/>
        <w:tab w:val="left" w:pos="2520" w:leader="none"/>
        <w:tab w:val="left" w:pos="2880" w:leader="none"/>
        <w:tab w:val="left" w:pos="3240" w:leader="none"/>
        <w:tab w:val="left" w:pos="3600" w:leader="none"/>
        <w:tab w:val="left" w:pos="3960" w:leader="none"/>
        <w:tab w:val="left" w:pos="4320" w:leader="none"/>
      </w:tabs>
      <w:overflowPunct w:val="true"/>
      <w:bidi w:val="0"/>
      <w:spacing w:before="136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US" w:eastAsia="en-US" w:bidi="ar-SA"/>
    </w:rPr>
  </w:style>
  <w:style w:type="paragraph" w:styleId="Heading1">
    <w:name w:val="Heading 1"/>
    <w:basedOn w:val="Normal"/>
    <w:next w:val="Normal"/>
    <w:qFormat/>
    <w:rsid w:val="00e11923"/>
    <w:pPr>
      <w:keepNext w:val="true"/>
      <w:numPr>
        <w:ilvl w:val="0"/>
        <w:numId w:val="1"/>
      </w:numPr>
      <w:spacing w:before="240" w:after="60"/>
      <w:outlineLvl w:val="0"/>
    </w:pPr>
    <w:rPr>
      <w:rFonts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 w:val="true"/>
      <w:numPr>
        <w:ilvl w:val="1"/>
        <w:numId w:val="1"/>
      </w:numPr>
      <w:tabs>
        <w:tab w:val="clear" w:pos="360"/>
        <w:tab w:val="left" w:pos="720" w:leader="none"/>
        <w:tab w:val="left" w:pos="1080" w:leader="none"/>
        <w:tab w:val="left" w:pos="1440" w:leader="none"/>
        <w:tab w:val="left" w:pos="1800" w:leader="none"/>
        <w:tab w:val="left" w:pos="2160" w:leader="none"/>
        <w:tab w:val="left" w:pos="2520" w:leader="none"/>
        <w:tab w:val="left" w:pos="2880" w:leader="none"/>
        <w:tab w:val="left" w:pos="3240" w:leader="none"/>
        <w:tab w:val="left" w:pos="3600" w:leader="none"/>
        <w:tab w:val="left" w:pos="3960" w:leader="none"/>
        <w:tab w:val="left" w:pos="4320" w:leader="none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 w:val="true"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 w:val="true"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 w:val="true"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 w:val="true"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 w:val="true"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 w:val="true"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 w:val="true"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InternetLink">
    <w:name w:val="Internet Link"/>
    <w:rsid w:val="0012580b"/>
    <w:rPr>
      <w:color w:val="0000FF"/>
      <w:u w:val="single"/>
    </w:rPr>
  </w:style>
  <w:style w:type="character" w:styleId="Heading2Char" w:customStyle="1">
    <w:name w:val="Heading 2 Char"/>
    <w:link w:val="Heading2"/>
    <w:qFormat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qFormat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qFormat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qFormat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qFormat/>
    <w:rsid w:val="004234f0"/>
    <w:rPr>
      <w:sz w:val="22"/>
      <w:szCs w:val="24"/>
    </w:rPr>
  </w:style>
  <w:style w:type="character" w:styleId="Heading8Char" w:customStyle="1">
    <w:name w:val="Heading 8 Char"/>
    <w:link w:val="Heading8"/>
    <w:qFormat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qFormat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qFormat/>
    <w:rsid w:val="003373ec"/>
    <w:rPr>
      <w:color w:val="800080"/>
      <w:u w:val="single"/>
    </w:rPr>
  </w:style>
  <w:style w:type="character" w:styleId="DocumentMapChar" w:customStyle="1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347483"/>
    <w:rPr>
      <w:color w:val="605E5C"/>
      <w:shd w:fill="E1DFDD" w:val="clear"/>
    </w:rPr>
  </w:style>
  <w:style w:type="character" w:styleId="FootnoteTextChar" w:customStyle="1">
    <w:name w:val="Footnote Text Char"/>
    <w:basedOn w:val="DefaultParagraphFont"/>
    <w:link w:val="FootnoteText"/>
    <w:qFormat/>
    <w:rsid w:val="00b72744"/>
    <w:rPr/>
  </w:style>
  <w:style w:type="character" w:styleId="FootnoteCharacters">
    <w:name w:val="Footnote Characters"/>
    <w:basedOn w:val="DefaultParagraphFont"/>
    <w:qFormat/>
    <w:rsid w:val="00b72744"/>
    <w:rPr>
      <w:vertAlign w:val="superscript"/>
    </w:rPr>
  </w:style>
  <w:style w:type="character" w:styleId="FootnoteAnchor">
    <w:name w:val="Footnote Anchor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bc25fc"/>
    <w:rPr>
      <w:color w:val="808080"/>
    </w:rPr>
  </w:style>
  <w:style w:type="character" w:styleId="TablesyntaxChar" w:customStyle="1">
    <w:name w:val="table syntax Char"/>
    <w:link w:val="tablesyntax"/>
    <w:qFormat/>
    <w:locked/>
    <w:rsid w:val="00ac3051"/>
    <w:rPr>
      <w:rFonts w:eastAsia="Malgun Gothic"/>
      <w:lang w:val="en-GB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eastAsia="Times New Roman"/>
      <w:lang w:val="en-GB"/>
    </w:rPr>
  </w:style>
  <w:style w:type="character" w:styleId="ListLabel14">
    <w:name w:val="ListLabel 14"/>
    <w:qFormat/>
    <w:rPr>
      <w:rFonts w:eastAsia="Times New Roman"/>
    </w:rPr>
  </w:style>
  <w:style w:type="character" w:styleId="ListLabel15">
    <w:name w:val="ListLabel 15"/>
    <w:qFormat/>
    <w:rPr>
      <w:rFonts w:eastAsia="Batang"/>
    </w:rPr>
  </w:style>
  <w:style w:type="character" w:styleId="ListLabel16">
    <w:name w:val="ListLabel 16"/>
    <w:qFormat/>
    <w:rPr>
      <w:rFonts w:eastAsia="Times New Roman"/>
    </w:rPr>
  </w:style>
  <w:style w:type="character" w:styleId="ListLabel17">
    <w:name w:val="ListLabel 17"/>
    <w:qFormat/>
    <w:rPr>
      <w:rFonts w:eastAsia="Times New Roman"/>
    </w:rPr>
  </w:style>
  <w:style w:type="character" w:styleId="ListLabel18">
    <w:name w:val="ListLabel 18"/>
    <w:qFormat/>
    <w:rPr>
      <w:rFonts w:eastAsia="Times New Roman"/>
    </w:rPr>
  </w:style>
  <w:style w:type="character" w:styleId="ListLabel19">
    <w:name w:val="ListLabel 19"/>
    <w:qFormat/>
    <w:rPr>
      <w:rFonts w:eastAsia="Times New Roman"/>
    </w:rPr>
  </w:style>
  <w:style w:type="character" w:styleId="ListLabel20">
    <w:name w:val="ListLabel 20"/>
    <w:qFormat/>
    <w:rPr>
      <w:rFonts w:eastAsia="Times New Roman"/>
    </w:rPr>
  </w:style>
  <w:style w:type="character" w:styleId="ListLabel21">
    <w:name w:val="ListLabel 21"/>
    <w:qFormat/>
    <w:rPr>
      <w:rFonts w:eastAsia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szCs w:val="22"/>
      <w:lang w:val="de-DE"/>
    </w:rPr>
  </w:style>
  <w:style w:type="character" w:styleId="ListLabel50">
    <w:name w:val="ListLabel 50"/>
    <w:qFormat/>
    <w:rPr>
      <w:szCs w:val="22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Wingdings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Wingdings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Wingdings"/>
    </w:rPr>
  </w:style>
  <w:style w:type="character" w:styleId="ListLabel60">
    <w:name w:val="ListLabel 60"/>
    <w:qFormat/>
    <w:rPr>
      <w:rFonts w:cs="OpenSymbol"/>
    </w:rPr>
  </w:style>
  <w:style w:type="character" w:styleId="ListLabel61">
    <w:name w:val="ListLabel 61"/>
    <w:qFormat/>
    <w:rPr>
      <w:rFonts w:cs="OpenSymbol"/>
    </w:rPr>
  </w:style>
  <w:style w:type="character" w:styleId="ListLabel62">
    <w:name w:val="ListLabel 62"/>
    <w:qFormat/>
    <w:rPr>
      <w:rFonts w:cs="OpenSymbol"/>
    </w:rPr>
  </w:style>
  <w:style w:type="character" w:styleId="ListLabel63">
    <w:name w:val="ListLabel 63"/>
    <w:qFormat/>
    <w:rPr>
      <w:rFonts w:cs="OpenSymbol"/>
    </w:rPr>
  </w:style>
  <w:style w:type="character" w:styleId="ListLabel64">
    <w:name w:val="ListLabel 64"/>
    <w:qFormat/>
    <w:rPr>
      <w:rFonts w:cs="OpenSymbol"/>
    </w:rPr>
  </w:style>
  <w:style w:type="character" w:styleId="ListLabel65">
    <w:name w:val="ListLabel 65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7">
    <w:name w:val="ListLabel 67"/>
    <w:qFormat/>
    <w:rPr>
      <w:rFonts w:cs="OpenSymbol"/>
    </w:rPr>
  </w:style>
  <w:style w:type="character" w:styleId="ListLabel68">
    <w:name w:val="ListLabel 68"/>
    <w:qFormat/>
    <w:rPr>
      <w:rFonts w:cs="OpenSymbol"/>
    </w:rPr>
  </w:style>
  <w:style w:type="character" w:styleId="ListLabel69">
    <w:name w:val="ListLabel 69"/>
    <w:qFormat/>
    <w:rPr>
      <w:rFonts w:cs="OpenSymbol"/>
    </w:rPr>
  </w:style>
  <w:style w:type="character" w:styleId="ListLabel70">
    <w:name w:val="ListLabel 70"/>
    <w:qFormat/>
    <w:rPr>
      <w:rFonts w:cs="OpenSymbol"/>
    </w:rPr>
  </w:style>
  <w:style w:type="character" w:styleId="ListLabel71">
    <w:name w:val="ListLabel 71"/>
    <w:qFormat/>
    <w:rPr>
      <w:rFonts w:cs="OpenSymbol"/>
    </w:rPr>
  </w:style>
  <w:style w:type="character" w:styleId="ListLabel72">
    <w:name w:val="ListLabel 72"/>
    <w:qFormat/>
    <w:rPr>
      <w:rFonts w:cs="OpenSymbol"/>
    </w:rPr>
  </w:style>
  <w:style w:type="character" w:styleId="ListLabel73">
    <w:name w:val="ListLabel 73"/>
    <w:qFormat/>
    <w:rPr>
      <w:rFonts w:cs="OpenSymbol"/>
    </w:rPr>
  </w:style>
  <w:style w:type="character" w:styleId="ListLabel74">
    <w:name w:val="ListLabel 74"/>
    <w:qFormat/>
    <w:rPr>
      <w:rFonts w:cs="OpenSymbol"/>
    </w:rPr>
  </w:style>
  <w:style w:type="character" w:styleId="ListLabel75">
    <w:name w:val="ListLabel 75"/>
    <w:qFormat/>
    <w:rPr>
      <w:rFonts w:cs="OpenSymbol"/>
    </w:rPr>
  </w:style>
  <w:style w:type="character" w:styleId="ListLabel76">
    <w:name w:val="ListLabel 76"/>
    <w:qFormat/>
    <w:rPr>
      <w:rFonts w:cs="OpenSymbol"/>
    </w:rPr>
  </w:style>
  <w:style w:type="character" w:styleId="ListLabel77">
    <w:name w:val="ListLabel 77"/>
    <w:qFormat/>
    <w:rPr>
      <w:rFonts w:cs="OpenSymbol"/>
    </w:rPr>
  </w:style>
  <w:style w:type="character" w:styleId="ListLabel78">
    <w:name w:val="ListLabel 78"/>
    <w:qFormat/>
    <w:rPr>
      <w:szCs w:val="22"/>
      <w:lang w:val="de-DE"/>
    </w:rPr>
  </w:style>
  <w:style w:type="character" w:styleId="ListLabel79">
    <w:name w:val="ListLabel 79"/>
    <w:qFormat/>
    <w:rPr>
      <w:szCs w:val="22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Wingdings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Wingdings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Wingdings"/>
    </w:rPr>
  </w:style>
  <w:style w:type="character" w:styleId="ListLabel89">
    <w:name w:val="ListLabel 89"/>
    <w:qFormat/>
    <w:rPr>
      <w:rFonts w:cs="OpenSymbol"/>
    </w:rPr>
  </w:style>
  <w:style w:type="character" w:styleId="ListLabel90">
    <w:name w:val="ListLabel 90"/>
    <w:qFormat/>
    <w:rPr>
      <w:rFonts w:cs="OpenSymbol"/>
    </w:rPr>
  </w:style>
  <w:style w:type="character" w:styleId="ListLabel91">
    <w:name w:val="ListLabel 91"/>
    <w:qFormat/>
    <w:rPr>
      <w:rFonts w:cs="OpenSymbol"/>
    </w:rPr>
  </w:style>
  <w:style w:type="character" w:styleId="ListLabel92">
    <w:name w:val="ListLabel 92"/>
    <w:qFormat/>
    <w:rPr>
      <w:rFonts w:cs="OpenSymbol"/>
    </w:rPr>
  </w:style>
  <w:style w:type="character" w:styleId="ListLabel93">
    <w:name w:val="ListLabel 93"/>
    <w:qFormat/>
    <w:rPr>
      <w:rFonts w:cs="OpenSymbol"/>
    </w:rPr>
  </w:style>
  <w:style w:type="character" w:styleId="ListLabel94">
    <w:name w:val="ListLabel 94"/>
    <w:qFormat/>
    <w:rPr>
      <w:rFonts w:cs="OpenSymbol"/>
    </w:rPr>
  </w:style>
  <w:style w:type="character" w:styleId="ListLabel95">
    <w:name w:val="ListLabel 95"/>
    <w:qFormat/>
    <w:rPr>
      <w:rFonts w:cs="OpenSymbol"/>
    </w:rPr>
  </w:style>
  <w:style w:type="character" w:styleId="ListLabel96">
    <w:name w:val="ListLabel 96"/>
    <w:qFormat/>
    <w:rPr>
      <w:rFonts w:cs="OpenSymbol"/>
    </w:rPr>
  </w:style>
  <w:style w:type="character" w:styleId="ListLabel97">
    <w:name w:val="ListLabel 97"/>
    <w:qFormat/>
    <w:rPr>
      <w:rFonts w:cs="OpenSymbol"/>
    </w:rPr>
  </w:style>
  <w:style w:type="character" w:styleId="ListLabel98">
    <w:name w:val="ListLabel 98"/>
    <w:qFormat/>
    <w:rPr>
      <w:rFonts w:cs="OpenSymbol"/>
    </w:rPr>
  </w:style>
  <w:style w:type="character" w:styleId="ListLabel99">
    <w:name w:val="ListLabel 99"/>
    <w:qFormat/>
    <w:rPr>
      <w:rFonts w:cs="OpenSymbol"/>
    </w:rPr>
  </w:style>
  <w:style w:type="character" w:styleId="ListLabel100">
    <w:name w:val="ListLabel 100"/>
    <w:qFormat/>
    <w:rPr>
      <w:rFonts w:cs="OpenSymbol"/>
    </w:rPr>
  </w:style>
  <w:style w:type="character" w:styleId="ListLabel101">
    <w:name w:val="ListLabel 101"/>
    <w:qFormat/>
    <w:rPr>
      <w:rFonts w:cs="OpenSymbol"/>
    </w:rPr>
  </w:style>
  <w:style w:type="character" w:styleId="ListLabel102">
    <w:name w:val="ListLabel 102"/>
    <w:qFormat/>
    <w:rPr>
      <w:rFonts w:cs="OpenSymbol"/>
    </w:rPr>
  </w:style>
  <w:style w:type="character" w:styleId="ListLabel103">
    <w:name w:val="ListLabel 103"/>
    <w:qFormat/>
    <w:rPr>
      <w:rFonts w:cs="OpenSymbol"/>
    </w:rPr>
  </w:style>
  <w:style w:type="character" w:styleId="ListLabel104">
    <w:name w:val="ListLabel 104"/>
    <w:qFormat/>
    <w:rPr>
      <w:rFonts w:cs="OpenSymbol"/>
    </w:rPr>
  </w:style>
  <w:style w:type="character" w:styleId="ListLabel105">
    <w:name w:val="ListLabel 105"/>
    <w:qFormat/>
    <w:rPr>
      <w:rFonts w:cs="OpenSymbol"/>
    </w:rPr>
  </w:style>
  <w:style w:type="character" w:styleId="ListLabel106">
    <w:name w:val="ListLabel 106"/>
    <w:qFormat/>
    <w:rPr>
      <w:rFonts w:cs="OpenSymbol"/>
    </w:rPr>
  </w:style>
  <w:style w:type="character" w:styleId="ListLabel107">
    <w:name w:val="ListLabel 107"/>
    <w:qFormat/>
    <w:rPr>
      <w:szCs w:val="22"/>
      <w:lang w:val="de-DE"/>
    </w:rPr>
  </w:style>
  <w:style w:type="character" w:styleId="ListLabel108">
    <w:name w:val="ListLabel 108"/>
    <w:qFormat/>
    <w:rPr>
      <w:szCs w:val="22"/>
    </w:rPr>
  </w:style>
  <w:style w:type="character" w:styleId="ListLabel109">
    <w:name w:val="ListLabel 109"/>
    <w:qFormat/>
    <w:rPr>
      <w:rFonts w:cs="OpenSymbol"/>
    </w:rPr>
  </w:style>
  <w:style w:type="character" w:styleId="ListLabel110">
    <w:name w:val="ListLabel 110"/>
    <w:qFormat/>
    <w:rPr>
      <w:rFonts w:cs="OpenSymbol"/>
    </w:rPr>
  </w:style>
  <w:style w:type="character" w:styleId="ListLabel111">
    <w:name w:val="ListLabel 111"/>
    <w:qFormat/>
    <w:rPr>
      <w:rFonts w:cs="OpenSymbol"/>
    </w:rPr>
  </w:style>
  <w:style w:type="character" w:styleId="ListLabel112">
    <w:name w:val="ListLabel 112"/>
    <w:qFormat/>
    <w:rPr>
      <w:rFonts w:cs="OpenSymbol"/>
    </w:rPr>
  </w:style>
  <w:style w:type="character" w:styleId="ListLabel113">
    <w:name w:val="ListLabel 113"/>
    <w:qFormat/>
    <w:rPr>
      <w:rFonts w:cs="OpenSymbol"/>
    </w:rPr>
  </w:style>
  <w:style w:type="character" w:styleId="ListLabel114">
    <w:name w:val="ListLabel 114"/>
    <w:qFormat/>
    <w:rPr>
      <w:rFonts w:cs="OpenSymbol"/>
    </w:rPr>
  </w:style>
  <w:style w:type="character" w:styleId="ListLabel115">
    <w:name w:val="ListLabel 115"/>
    <w:qFormat/>
    <w:rPr>
      <w:rFonts w:cs="OpenSymbol"/>
    </w:rPr>
  </w:style>
  <w:style w:type="character" w:styleId="ListLabel116">
    <w:name w:val="ListLabel 116"/>
    <w:qFormat/>
    <w:rPr>
      <w:rFonts w:cs="OpenSymbol"/>
    </w:rPr>
  </w:style>
  <w:style w:type="character" w:styleId="ListLabel117">
    <w:name w:val="ListLabel 117"/>
    <w:qFormat/>
    <w:rPr>
      <w:rFonts w:cs="OpenSymbol"/>
    </w:rPr>
  </w:style>
  <w:style w:type="character" w:styleId="ListLabel118">
    <w:name w:val="ListLabel 118"/>
    <w:qFormat/>
    <w:rPr>
      <w:rFonts w:cs="OpenSymbol"/>
    </w:rPr>
  </w:style>
  <w:style w:type="character" w:styleId="ListLabel119">
    <w:name w:val="ListLabel 119"/>
    <w:qFormat/>
    <w:rPr>
      <w:rFonts w:cs="OpenSymbol"/>
    </w:rPr>
  </w:style>
  <w:style w:type="character" w:styleId="ListLabel120">
    <w:name w:val="ListLabel 120"/>
    <w:qFormat/>
    <w:rPr>
      <w:rFonts w:cs="OpenSymbol"/>
    </w:rPr>
  </w:style>
  <w:style w:type="character" w:styleId="ListLabel121">
    <w:name w:val="ListLabel 121"/>
    <w:qFormat/>
    <w:rPr>
      <w:rFonts w:cs="OpenSymbol"/>
    </w:rPr>
  </w:style>
  <w:style w:type="character" w:styleId="ListLabel122">
    <w:name w:val="ListLabel 122"/>
    <w:qFormat/>
    <w:rPr>
      <w:rFonts w:cs="OpenSymbol"/>
    </w:rPr>
  </w:style>
  <w:style w:type="character" w:styleId="ListLabel123">
    <w:name w:val="ListLabel 123"/>
    <w:qFormat/>
    <w:rPr>
      <w:rFonts w:cs="OpenSymbol"/>
    </w:rPr>
  </w:style>
  <w:style w:type="character" w:styleId="ListLabel124">
    <w:name w:val="ListLabel 124"/>
    <w:qFormat/>
    <w:rPr>
      <w:rFonts w:cs="OpenSymbol"/>
    </w:rPr>
  </w:style>
  <w:style w:type="character" w:styleId="ListLabel125">
    <w:name w:val="ListLabel 125"/>
    <w:qFormat/>
    <w:rPr>
      <w:rFonts w:cs="OpenSymbol"/>
    </w:rPr>
  </w:style>
  <w:style w:type="character" w:styleId="ListLabel126">
    <w:name w:val="ListLabel 126"/>
    <w:qFormat/>
    <w:rPr>
      <w:rFonts w:cs="OpenSymbol"/>
    </w:rPr>
  </w:style>
  <w:style w:type="character" w:styleId="ListLabel127">
    <w:name w:val="ListLabel 127"/>
    <w:qFormat/>
    <w:rPr>
      <w:szCs w:val="22"/>
      <w:lang w:val="de-DE"/>
    </w:rPr>
  </w:style>
  <w:style w:type="character" w:styleId="ListLabel128">
    <w:name w:val="ListLabel 128"/>
    <w:qFormat/>
    <w:rPr>
      <w:szCs w:val="22"/>
    </w:rPr>
  </w:style>
  <w:style w:type="character" w:styleId="ListLabel129">
    <w:name w:val="ListLabel 129"/>
    <w:qFormat/>
    <w:rPr>
      <w:rFonts w:cs="OpenSymbol"/>
    </w:rPr>
  </w:style>
  <w:style w:type="character" w:styleId="ListLabel130">
    <w:name w:val="ListLabel 130"/>
    <w:qFormat/>
    <w:rPr>
      <w:rFonts w:cs="OpenSymbol"/>
    </w:rPr>
  </w:style>
  <w:style w:type="character" w:styleId="ListLabel131">
    <w:name w:val="ListLabel 131"/>
    <w:qFormat/>
    <w:rPr>
      <w:rFonts w:cs="OpenSymbol"/>
    </w:rPr>
  </w:style>
  <w:style w:type="character" w:styleId="ListLabel132">
    <w:name w:val="ListLabel 132"/>
    <w:qFormat/>
    <w:rPr>
      <w:rFonts w:cs="OpenSymbol"/>
    </w:rPr>
  </w:style>
  <w:style w:type="character" w:styleId="ListLabel133">
    <w:name w:val="ListLabel 133"/>
    <w:qFormat/>
    <w:rPr>
      <w:rFonts w:cs="OpenSymbol"/>
    </w:rPr>
  </w:style>
  <w:style w:type="character" w:styleId="ListLabel134">
    <w:name w:val="ListLabel 134"/>
    <w:qFormat/>
    <w:rPr>
      <w:rFonts w:cs="OpenSymbol"/>
    </w:rPr>
  </w:style>
  <w:style w:type="character" w:styleId="ListLabel135">
    <w:name w:val="ListLabel 135"/>
    <w:qFormat/>
    <w:rPr>
      <w:rFonts w:cs="OpenSymbol"/>
    </w:rPr>
  </w:style>
  <w:style w:type="character" w:styleId="ListLabel136">
    <w:name w:val="ListLabel 136"/>
    <w:qFormat/>
    <w:rPr>
      <w:rFonts w:cs="OpenSymbol"/>
    </w:rPr>
  </w:style>
  <w:style w:type="character" w:styleId="ListLabel137">
    <w:name w:val="ListLabel 137"/>
    <w:qFormat/>
    <w:rPr>
      <w:rFonts w:cs="OpenSymbol"/>
    </w:rPr>
  </w:style>
  <w:style w:type="character" w:styleId="ListLabel138">
    <w:name w:val="ListLabel 138"/>
    <w:qFormat/>
    <w:rPr>
      <w:rFonts w:cs="OpenSymbol"/>
    </w:rPr>
  </w:style>
  <w:style w:type="character" w:styleId="ListLabel139">
    <w:name w:val="ListLabel 139"/>
    <w:qFormat/>
    <w:rPr>
      <w:rFonts w:cs="OpenSymbol"/>
    </w:rPr>
  </w:style>
  <w:style w:type="character" w:styleId="ListLabel140">
    <w:name w:val="ListLabel 140"/>
    <w:qFormat/>
    <w:rPr>
      <w:rFonts w:cs="OpenSymbol"/>
    </w:rPr>
  </w:style>
  <w:style w:type="character" w:styleId="ListLabel141">
    <w:name w:val="ListLabel 141"/>
    <w:qFormat/>
    <w:rPr>
      <w:rFonts w:cs="OpenSymbol"/>
    </w:rPr>
  </w:style>
  <w:style w:type="character" w:styleId="ListLabel142">
    <w:name w:val="ListLabel 142"/>
    <w:qFormat/>
    <w:rPr>
      <w:rFonts w:cs="OpenSymbol"/>
    </w:rPr>
  </w:style>
  <w:style w:type="character" w:styleId="ListLabel143">
    <w:name w:val="ListLabel 143"/>
    <w:qFormat/>
    <w:rPr>
      <w:rFonts w:cs="OpenSymbol"/>
    </w:rPr>
  </w:style>
  <w:style w:type="character" w:styleId="ListLabel144">
    <w:name w:val="ListLabel 144"/>
    <w:qFormat/>
    <w:rPr>
      <w:rFonts w:cs="OpenSymbol"/>
    </w:rPr>
  </w:style>
  <w:style w:type="character" w:styleId="ListLabel145">
    <w:name w:val="ListLabel 145"/>
    <w:qFormat/>
    <w:rPr>
      <w:rFonts w:cs="OpenSymbol"/>
    </w:rPr>
  </w:style>
  <w:style w:type="character" w:styleId="ListLabel146">
    <w:name w:val="ListLabel 146"/>
    <w:qFormat/>
    <w:rPr>
      <w:rFonts w:cs="OpenSymbol"/>
    </w:rPr>
  </w:style>
  <w:style w:type="character" w:styleId="ListLabel147">
    <w:name w:val="ListLabel 147"/>
    <w:qFormat/>
    <w:rPr>
      <w:szCs w:val="22"/>
      <w:lang w:val="de-DE"/>
    </w:rPr>
  </w:style>
  <w:style w:type="character" w:styleId="ListLabel148">
    <w:name w:val="ListLabel 148"/>
    <w:qFormat/>
    <w:rPr>
      <w:rFonts w:cs="OpenSymbol"/>
    </w:rPr>
  </w:style>
  <w:style w:type="character" w:styleId="ListLabel149">
    <w:name w:val="ListLabel 149"/>
    <w:qFormat/>
    <w:rPr>
      <w:rFonts w:cs="OpenSymbol"/>
    </w:rPr>
  </w:style>
  <w:style w:type="character" w:styleId="ListLabel150">
    <w:name w:val="ListLabel 150"/>
    <w:qFormat/>
    <w:rPr>
      <w:rFonts w:cs="OpenSymbol"/>
    </w:rPr>
  </w:style>
  <w:style w:type="character" w:styleId="ListLabel151">
    <w:name w:val="ListLabel 151"/>
    <w:qFormat/>
    <w:rPr>
      <w:rFonts w:cs="OpenSymbol"/>
    </w:rPr>
  </w:style>
  <w:style w:type="character" w:styleId="ListLabel152">
    <w:name w:val="ListLabel 152"/>
    <w:qFormat/>
    <w:rPr>
      <w:rFonts w:cs="OpenSymbol"/>
    </w:rPr>
  </w:style>
  <w:style w:type="character" w:styleId="ListLabel153">
    <w:name w:val="ListLabel 153"/>
    <w:qFormat/>
    <w:rPr>
      <w:rFonts w:cs="OpenSymbol"/>
    </w:rPr>
  </w:style>
  <w:style w:type="character" w:styleId="ListLabel154">
    <w:name w:val="ListLabel 154"/>
    <w:qFormat/>
    <w:rPr>
      <w:rFonts w:cs="OpenSymbol"/>
    </w:rPr>
  </w:style>
  <w:style w:type="character" w:styleId="ListLabel155">
    <w:name w:val="ListLabel 155"/>
    <w:qFormat/>
    <w:rPr>
      <w:rFonts w:cs="OpenSymbol"/>
    </w:rPr>
  </w:style>
  <w:style w:type="character" w:styleId="ListLabel156">
    <w:name w:val="ListLabel 156"/>
    <w:qFormat/>
    <w:rPr>
      <w:rFonts w:cs="OpenSymbol"/>
    </w:rPr>
  </w:style>
  <w:style w:type="character" w:styleId="ListLabel157">
    <w:name w:val="ListLabel 157"/>
    <w:qFormat/>
    <w:rPr>
      <w:rFonts w:cs="OpenSymbol"/>
    </w:rPr>
  </w:style>
  <w:style w:type="character" w:styleId="ListLabel158">
    <w:name w:val="ListLabel 158"/>
    <w:qFormat/>
    <w:rPr>
      <w:rFonts w:cs="OpenSymbol"/>
    </w:rPr>
  </w:style>
  <w:style w:type="character" w:styleId="ListLabel159">
    <w:name w:val="ListLabel 159"/>
    <w:qFormat/>
    <w:rPr>
      <w:rFonts w:cs="OpenSymbol"/>
    </w:rPr>
  </w:style>
  <w:style w:type="character" w:styleId="ListLabel160">
    <w:name w:val="ListLabel 160"/>
    <w:qFormat/>
    <w:rPr>
      <w:rFonts w:cs="OpenSymbol"/>
    </w:rPr>
  </w:style>
  <w:style w:type="character" w:styleId="ListLabel161">
    <w:name w:val="ListLabel 161"/>
    <w:qFormat/>
    <w:rPr>
      <w:rFonts w:cs="OpenSymbol"/>
    </w:rPr>
  </w:style>
  <w:style w:type="character" w:styleId="ListLabel162">
    <w:name w:val="ListLabel 162"/>
    <w:qFormat/>
    <w:rPr>
      <w:rFonts w:cs="OpenSymbol"/>
    </w:rPr>
  </w:style>
  <w:style w:type="character" w:styleId="ListLabel163">
    <w:name w:val="ListLabel 163"/>
    <w:qFormat/>
    <w:rPr>
      <w:rFonts w:cs="OpenSymbol"/>
    </w:rPr>
  </w:style>
  <w:style w:type="character" w:styleId="ListLabel164">
    <w:name w:val="ListLabel 164"/>
    <w:qFormat/>
    <w:rPr>
      <w:rFonts w:cs="OpenSymbol"/>
    </w:rPr>
  </w:style>
  <w:style w:type="character" w:styleId="ListLabel165">
    <w:name w:val="ListLabel 165"/>
    <w:qFormat/>
    <w:rPr>
      <w:rFonts w:cs="OpenSymbol"/>
    </w:rPr>
  </w:style>
  <w:style w:type="character" w:styleId="ListLabel166">
    <w:name w:val="ListLabel 166"/>
    <w:qFormat/>
    <w:rPr>
      <w:szCs w:val="22"/>
      <w:lang w:val="de-DE"/>
    </w:rPr>
  </w:style>
  <w:style w:type="character" w:styleId="ListLabel167">
    <w:name w:val="ListLabel 167"/>
    <w:qFormat/>
    <w:rPr>
      <w:rFonts w:cs="OpenSymbol"/>
    </w:rPr>
  </w:style>
  <w:style w:type="character" w:styleId="ListLabel168">
    <w:name w:val="ListLabel 168"/>
    <w:qFormat/>
    <w:rPr>
      <w:rFonts w:cs="OpenSymbol"/>
    </w:rPr>
  </w:style>
  <w:style w:type="character" w:styleId="ListLabel169">
    <w:name w:val="ListLabel 169"/>
    <w:qFormat/>
    <w:rPr>
      <w:rFonts w:cs="OpenSymbol"/>
    </w:rPr>
  </w:style>
  <w:style w:type="character" w:styleId="ListLabel170">
    <w:name w:val="ListLabel 170"/>
    <w:qFormat/>
    <w:rPr>
      <w:rFonts w:cs="OpenSymbol"/>
    </w:rPr>
  </w:style>
  <w:style w:type="character" w:styleId="ListLabel171">
    <w:name w:val="ListLabel 171"/>
    <w:qFormat/>
    <w:rPr>
      <w:rFonts w:cs="OpenSymbol"/>
    </w:rPr>
  </w:style>
  <w:style w:type="character" w:styleId="ListLabel172">
    <w:name w:val="ListLabel 172"/>
    <w:qFormat/>
    <w:rPr>
      <w:rFonts w:cs="OpenSymbol"/>
    </w:rPr>
  </w:style>
  <w:style w:type="character" w:styleId="ListLabel173">
    <w:name w:val="ListLabel 173"/>
    <w:qFormat/>
    <w:rPr>
      <w:rFonts w:cs="OpenSymbol"/>
    </w:rPr>
  </w:style>
  <w:style w:type="character" w:styleId="ListLabel174">
    <w:name w:val="ListLabel 174"/>
    <w:qFormat/>
    <w:rPr>
      <w:rFonts w:cs="OpenSymbol"/>
    </w:rPr>
  </w:style>
  <w:style w:type="character" w:styleId="ListLabel175">
    <w:name w:val="ListLabel 175"/>
    <w:qFormat/>
    <w:rPr>
      <w:rFonts w:cs="OpenSymbol"/>
    </w:rPr>
  </w:style>
  <w:style w:type="character" w:styleId="ListLabel176">
    <w:name w:val="ListLabel 176"/>
    <w:qFormat/>
    <w:rPr>
      <w:rFonts w:cs="OpenSymbol"/>
    </w:rPr>
  </w:style>
  <w:style w:type="character" w:styleId="ListLabel177">
    <w:name w:val="ListLabel 177"/>
    <w:qFormat/>
    <w:rPr>
      <w:rFonts w:cs="OpenSymbol"/>
    </w:rPr>
  </w:style>
  <w:style w:type="character" w:styleId="ListLabel178">
    <w:name w:val="ListLabel 178"/>
    <w:qFormat/>
    <w:rPr>
      <w:rFonts w:cs="OpenSymbol"/>
    </w:rPr>
  </w:style>
  <w:style w:type="character" w:styleId="ListLabel179">
    <w:name w:val="ListLabel 179"/>
    <w:qFormat/>
    <w:rPr>
      <w:rFonts w:cs="OpenSymbol"/>
    </w:rPr>
  </w:style>
  <w:style w:type="character" w:styleId="ListLabel180">
    <w:name w:val="ListLabel 180"/>
    <w:qFormat/>
    <w:rPr>
      <w:rFonts w:cs="OpenSymbol"/>
    </w:rPr>
  </w:style>
  <w:style w:type="character" w:styleId="ListLabel181">
    <w:name w:val="ListLabel 181"/>
    <w:qFormat/>
    <w:rPr>
      <w:rFonts w:cs="OpenSymbol"/>
    </w:rPr>
  </w:style>
  <w:style w:type="character" w:styleId="ListLabel182">
    <w:name w:val="ListLabel 182"/>
    <w:qFormat/>
    <w:rPr>
      <w:rFonts w:cs="OpenSymbol"/>
    </w:rPr>
  </w:style>
  <w:style w:type="character" w:styleId="ListLabel183">
    <w:name w:val="ListLabel 183"/>
    <w:qFormat/>
    <w:rPr>
      <w:rFonts w:cs="OpenSymbol"/>
    </w:rPr>
  </w:style>
  <w:style w:type="character" w:styleId="ListLabel184">
    <w:name w:val="ListLabel 184"/>
    <w:qFormat/>
    <w:rPr>
      <w:rFonts w:cs="OpenSymbol"/>
    </w:rPr>
  </w:style>
  <w:style w:type="character" w:styleId="ListLabel185">
    <w:name w:val="ListLabel 185"/>
    <w:qFormat/>
    <w:rPr>
      <w:szCs w:val="22"/>
      <w:lang w:val="de-D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pPr>
      <w:tabs>
        <w:tab w:val="left" w:pos="360" w:leader="none"/>
        <w:tab w:val="left" w:pos="720" w:leader="none"/>
        <w:tab w:val="left" w:pos="1080" w:leader="none"/>
        <w:tab w:val="left" w:pos="1440" w:leader="none"/>
        <w:tab w:val="left" w:pos="1800" w:leader="none"/>
        <w:tab w:val="left" w:pos="2160" w:leader="none"/>
        <w:tab w:val="left" w:pos="2520" w:leader="none"/>
        <w:tab w:val="left" w:pos="2880" w:leader="none"/>
        <w:tab w:val="left" w:pos="3240" w:leader="none"/>
        <w:tab w:val="left" w:pos="3600" w:leader="none"/>
        <w:tab w:val="left" w:pos="3960" w:leader="none"/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left" w:pos="360" w:leader="none"/>
        <w:tab w:val="left" w:pos="720" w:leader="none"/>
        <w:tab w:val="left" w:pos="1080" w:leader="none"/>
        <w:tab w:val="left" w:pos="1440" w:leader="none"/>
        <w:tab w:val="left" w:pos="1800" w:leader="none"/>
        <w:tab w:val="left" w:pos="2160" w:leader="none"/>
        <w:tab w:val="left" w:pos="2520" w:leader="none"/>
        <w:tab w:val="left" w:pos="2880" w:leader="none"/>
        <w:tab w:val="left" w:pos="3240" w:leader="none"/>
        <w:tab w:val="left" w:pos="3600" w:leader="none"/>
        <w:tab w:val="left" w:pos="3960" w:leader="none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semiHidden/>
    <w:qFormat/>
    <w:rsid w:val="009336f7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sid w:val="00e11923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44f6"/>
    <w:pPr>
      <w:spacing w:before="136" w:after="0"/>
      <w:ind w:left="720" w:hanging="0"/>
      <w:contextualSpacing/>
    </w:pPr>
    <w:rPr/>
  </w:style>
  <w:style w:type="paragraph" w:styleId="AppendixHeading2" w:customStyle="1">
    <w:name w:val="Appendix Heading 2"/>
    <w:basedOn w:val="Heading2"/>
    <w:uiPriority w:val="99"/>
    <w:qFormat/>
    <w:rsid w:val="001b3bf9"/>
    <w:pPr>
      <w:numPr>
        <w:ilvl w:val="0"/>
        <w:numId w:val="0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76" w:leader="none"/>
        <w:tab w:val="left" w:pos="1080" w:leader="none"/>
      </w:tabs>
      <w:ind w:left="576" w:hanging="576"/>
      <w:jc w:val="left"/>
    </w:pPr>
    <w:rPr>
      <w:rFonts w:eastAsia="Batang"/>
      <w:i w:val="false"/>
      <w:iCs w:val="false"/>
      <w:sz w:val="22"/>
      <w:szCs w:val="22"/>
    </w:rPr>
  </w:style>
  <w:style w:type="paragraph" w:styleId="AppendixHeading3" w:customStyle="1">
    <w:name w:val="Appendix Heading 3"/>
    <w:basedOn w:val="Heading3"/>
    <w:uiPriority w:val="99"/>
    <w:qFormat/>
    <w:rsid w:val="001b3bf9"/>
    <w:pPr>
      <w:numPr>
        <w:ilvl w:val="0"/>
        <w:numId w:val="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 w:leader="none"/>
        <w:tab w:val="left" w:pos="1800" w:leader="none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styleId="AppendixHeading4" w:customStyle="1">
    <w:name w:val="Appendix Heading 4"/>
    <w:basedOn w:val="Heading4"/>
    <w:uiPriority w:val="99"/>
    <w:qFormat/>
    <w:rsid w:val="001b3bf9"/>
    <w:pPr>
      <w:numPr>
        <w:ilvl w:val="0"/>
        <w:numId w:val="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 w:leader="none"/>
        <w:tab w:val="left" w:pos="864" w:leader="none"/>
        <w:tab w:val="left" w:pos="1800" w:leader="none"/>
        <w:tab w:val="left" w:pos="2520" w:leader="none"/>
      </w:tabs>
      <w:ind w:left="864" w:right="0" w:hanging="864"/>
      <w:jc w:val="left"/>
    </w:pPr>
    <w:rPr>
      <w:rFonts w:ascii="Times New Roman" w:hAnsi="Times New Roman" w:eastAsia="Batang"/>
      <w:sz w:val="22"/>
      <w:szCs w:val="22"/>
      <w:lang w:eastAsia="zh-CN"/>
    </w:rPr>
  </w:style>
  <w:style w:type="paragraph" w:styleId="AppendixHeading5" w:customStyle="1">
    <w:name w:val="Appendix Heading 5"/>
    <w:basedOn w:val="Heading5"/>
    <w:uiPriority w:val="99"/>
    <w:qFormat/>
    <w:rsid w:val="001b3bf9"/>
    <w:pPr>
      <w:keepNext w:val="false"/>
      <w:numPr>
        <w:ilvl w:val="0"/>
        <w:numId w:val="0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 w:leader="none"/>
        <w:tab w:val="left" w:pos="1008" w:leader="none"/>
        <w:tab w:val="left" w:pos="1800" w:leader="none"/>
        <w:tab w:val="left" w:pos="3240" w:leader="none"/>
      </w:tabs>
      <w:ind w:left="1008" w:hanging="1008"/>
      <w:jc w:val="left"/>
    </w:pPr>
    <w:rPr>
      <w:rFonts w:eastAsia="Batang"/>
      <w:i w:val="false"/>
      <w:iCs w:val="false"/>
      <w:sz w:val="22"/>
      <w:szCs w:val="22"/>
      <w:lang w:eastAsia="zh-CN"/>
    </w:rPr>
  </w:style>
  <w:style w:type="paragraph" w:styleId="Footnote">
    <w:name w:val="Footnote Text"/>
    <w:basedOn w:val="Normal"/>
    <w:link w:val="FootnoteTextChar"/>
    <w:rsid w:val="00b72744"/>
    <w:pPr>
      <w:spacing w:before="0" w:after="0"/>
    </w:pPr>
    <w:rPr>
      <w:sz w:val="20"/>
    </w:rPr>
  </w:style>
  <w:style w:type="paragraph" w:styleId="Tableheading" w:customStyle="1">
    <w:name w:val="table heading"/>
    <w:basedOn w:val="Normal"/>
    <w:qFormat/>
    <w:rsid w:val="00ac3051"/>
    <w:pPr>
      <w:keepNext w:val="true"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Tablecell" w:customStyle="1">
    <w:name w:val="table cell"/>
    <w:basedOn w:val="Normal"/>
    <w:qFormat/>
    <w:rsid w:val="00ac3051"/>
    <w:pPr>
      <w:keepNext w:val="true"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Tablesyntax" w:customStyle="1">
    <w:name w:val="table syntax"/>
    <w:basedOn w:val="Normal"/>
    <w:link w:val="tablesyntaxChar"/>
    <w:qFormat/>
    <w:rsid w:val="00ac3051"/>
    <w:pPr>
      <w:keepNext w:val="true"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 w:leader="none"/>
        <w:tab w:val="left" w:pos="432" w:leader="none"/>
        <w:tab w:val="left" w:pos="648" w:leader="none"/>
        <w:tab w:val="left" w:pos="864" w:leader="none"/>
        <w:tab w:val="left" w:pos="1080" w:leader="none"/>
        <w:tab w:val="left" w:pos="1296" w:leader="none"/>
        <w:tab w:val="left" w:pos="1512" w:leader="none"/>
        <w:tab w:val="left" w:pos="1728" w:leader="none"/>
        <w:tab w:val="left" w:pos="1944" w:leader="none"/>
        <w:tab w:val="left" w:pos="2160" w:leader="none"/>
      </w:tabs>
      <w:spacing w:before="0" w:after="0"/>
      <w:jc w:val="left"/>
    </w:pPr>
    <w:rPr>
      <w:rFonts w:eastAsia="Malgun Gothic"/>
      <w:sz w:val="20"/>
      <w:lang w:val="en-GB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f464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https://vcgit.hhi.fraunhofer.de/jvet/VVCSoftware_VTM/commit/98ff0062" TargetMode="Externa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CC7C3-85D7-404B-817F-BBF9A043F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LibreOffice/6.1.4.2$Windows_X86_64 LibreOffice_project/9d0f32d1f0b509096fd65e0d4bec26ddd1938fd3</Application>
  <Pages>2</Pages>
  <Words>375</Words>
  <Characters>2208</Characters>
  <CharactersWithSpaces>2542</CharactersWithSpaces>
  <Paragraphs>35</Paragraphs>
  <Company>JCT-VC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2020-01-10T08:52:00Z</dcterms:created>
  <dc:creator>Wang-Q Lim;Christian R. Helmrich</dc:creator>
  <dc:description/>
  <cp:keywords>JCT-VC MPEG VCEG</cp:keywords>
  <dc:language>de-DE</dc:language>
  <cp:lastModifiedBy/>
  <cp:lastPrinted>2019-12-27T19:01:00Z</cp:lastPrinted>
  <dcterms:modified xsi:type="dcterms:W3CDTF">2020-01-10T21:00:34Z</dcterms:modified>
  <cp:revision>15</cp:revision>
  <dc:subject/>
  <dc:title>JVET Contribution Q0434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