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CCBB2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092C10">
              <w:rPr>
                <w:lang w:val="en-CA"/>
              </w:rPr>
              <w:t>560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8820BE" w:rsidR="00E61DAC" w:rsidRPr="005B217D" w:rsidRDefault="009D25C7" w:rsidP="009D7CE6">
            <w:pPr>
              <w:spacing w:before="60" w:after="60"/>
              <w:rPr>
                <w:b/>
                <w:szCs w:val="22"/>
                <w:lang w:val="en-CA"/>
              </w:rPr>
            </w:pPr>
            <w:r>
              <w:t xml:space="preserve">AHG9: </w:t>
            </w:r>
            <w:r w:rsidR="003176E5" w:rsidRPr="008E0D44">
              <w:t>Gradual Decoding Refresh</w:t>
            </w:r>
            <w:r w:rsidR="00BD22D1">
              <w:t xml:space="preserve"> </w:t>
            </w:r>
            <w:r w:rsidR="0041626A">
              <w:t>without Forcing Intra Area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9190289" w:rsidR="00BE2F5B" w:rsidRDefault="003176E5">
            <w:pPr>
              <w:spacing w:before="60" w:after="60"/>
              <w:rPr>
                <w:szCs w:val="22"/>
                <w:lang w:val="en-CA"/>
              </w:rPr>
            </w:pPr>
            <w:r>
              <w:rPr>
                <w:szCs w:val="22"/>
                <w:lang w:val="en-CA"/>
              </w:rPr>
              <w:t xml:space="preserve">Limin Wang </w:t>
            </w:r>
          </w:p>
          <w:p w14:paraId="55FDC039" w14:textId="77777777" w:rsidR="00BE2F5B" w:rsidRDefault="00BE2F5B">
            <w:pPr>
              <w:spacing w:before="60" w:after="60"/>
              <w:rPr>
                <w:szCs w:val="22"/>
                <w:lang w:val="en-CA"/>
              </w:rPr>
            </w:pPr>
            <w:r>
              <w:rPr>
                <w:szCs w:val="22"/>
                <w:lang w:val="en-CA"/>
              </w:rPr>
              <w:t>Seungwook Hong</w:t>
            </w:r>
          </w:p>
          <w:p w14:paraId="49D81240" w14:textId="579E151D" w:rsidR="00E61DAC" w:rsidRPr="005B217D" w:rsidRDefault="003176E5">
            <w:pPr>
              <w:spacing w:before="60" w:after="60"/>
              <w:rPr>
                <w:szCs w:val="22"/>
                <w:lang w:val="en-CA"/>
              </w:rPr>
            </w:pPr>
            <w:r>
              <w:rPr>
                <w:szCs w:val="22"/>
                <w:lang w:val="en-CA"/>
              </w:rPr>
              <w:t>Krit Panusopone</w:t>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0EC88018" w:rsidR="00587555" w:rsidRDefault="00587555" w:rsidP="005952A5">
            <w:pPr>
              <w:spacing w:before="60" w:after="60"/>
              <w:rPr>
                <w:szCs w:val="22"/>
                <w:lang w:val="en-CA"/>
              </w:rPr>
            </w:pPr>
            <w:r>
              <w:rPr>
                <w:szCs w:val="22"/>
                <w:lang w:val="en-CA"/>
              </w:rPr>
              <w:t>+1 858-</w:t>
            </w:r>
            <w:r w:rsidR="005619B7">
              <w:rPr>
                <w:szCs w:val="22"/>
                <w:lang w:val="en-CA"/>
              </w:rPr>
              <w:t>335-9196</w:t>
            </w:r>
          </w:p>
          <w:p w14:paraId="01850EF5" w14:textId="2CF1A9E5" w:rsidR="00FF5260" w:rsidRDefault="00BD06A4" w:rsidP="005952A5">
            <w:pPr>
              <w:spacing w:before="60" w:after="60"/>
              <w:rPr>
                <w:rStyle w:val="Hyperlink"/>
              </w:rPr>
            </w:pPr>
            <w:hyperlink r:id="rId9" w:history="1">
              <w:r w:rsidR="003176E5" w:rsidRPr="00E34875">
                <w:rPr>
                  <w:rStyle w:val="Hyperlink"/>
                </w:rPr>
                <w:t>limin.2.wang@nokia.com</w:t>
              </w:r>
            </w:hyperlink>
          </w:p>
          <w:p w14:paraId="4E0F92A7" w14:textId="4EFB0554" w:rsidR="00FF5260" w:rsidRPr="00FF5260" w:rsidRDefault="00BD06A4" w:rsidP="005952A5">
            <w:pPr>
              <w:spacing w:before="60" w:after="60"/>
              <w:rPr>
                <w:rStyle w:val="Hyperlink"/>
                <w:color w:val="000000"/>
                <w:u w:val="none"/>
              </w:rPr>
            </w:pPr>
            <w:hyperlink r:id="rId10" w:history="1">
              <w:r w:rsidR="00FF5260">
                <w:rPr>
                  <w:rStyle w:val="Hyperlink"/>
                </w:rPr>
                <w:t>seungwook.hong@nokia.com</w:t>
              </w:r>
            </w:hyperlink>
          </w:p>
          <w:p w14:paraId="32C2ABFD" w14:textId="79CFDBE6" w:rsidR="00E61DAC" w:rsidRPr="005B217D" w:rsidRDefault="00BD06A4" w:rsidP="005952A5">
            <w:pPr>
              <w:spacing w:before="60" w:after="60"/>
              <w:rPr>
                <w:szCs w:val="22"/>
                <w:lang w:val="en-CA"/>
              </w:rPr>
            </w:pPr>
            <w:hyperlink r:id="rId11" w:history="1">
              <w:r w:rsidR="00FF5260"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21C08A" w14:textId="69DEF823" w:rsidR="003176E5" w:rsidRPr="008E0D44" w:rsidRDefault="00B54F82" w:rsidP="003176E5">
      <w:r>
        <w:t>A gradual decoding refresh (</w:t>
      </w:r>
      <w:r w:rsidR="002C2040">
        <w:t>GDR</w:t>
      </w:r>
      <w:r>
        <w:t>) was proposed</w:t>
      </w:r>
      <w:r w:rsidR="002C2040">
        <w:t xml:space="preserve"> for VVC</w:t>
      </w:r>
      <w:r>
        <w:t xml:space="preserve"> in [1]</w:t>
      </w:r>
      <w:r w:rsidR="0041626A">
        <w:t>,</w:t>
      </w:r>
      <w:r w:rsidR="003176E5" w:rsidRPr="008E0D44">
        <w:t xml:space="preserve"> </w:t>
      </w:r>
      <w:r>
        <w:t>where a</w:t>
      </w:r>
      <w:r w:rsidR="003176E5" w:rsidRPr="008E0D44">
        <w:t xml:space="preserve"> GDR picture is separated by a virtual boundary into clean area and dirty area. </w:t>
      </w:r>
      <w:r w:rsidR="002C2040">
        <w:t xml:space="preserve">In </w:t>
      </w:r>
      <w:r>
        <w:t>the</w:t>
      </w:r>
      <w:r w:rsidR="002C2040">
        <w:t xml:space="preserve"> GDR </w:t>
      </w:r>
      <w:r>
        <w:t>implementation</w:t>
      </w:r>
      <w:r w:rsidR="00381CBF">
        <w:t xml:space="preserve"> </w:t>
      </w:r>
      <w:r w:rsidR="006502FF">
        <w:t xml:space="preserve">of [1], each GDR picture contains </w:t>
      </w:r>
      <w:r w:rsidR="00381CBF">
        <w:t xml:space="preserve">a forced intra area </w:t>
      </w:r>
      <w:r w:rsidR="006502FF">
        <w:t>in clean area next to the virtual boundary</w:t>
      </w:r>
      <w:r w:rsidR="00381CBF">
        <w:t xml:space="preserve"> </w:t>
      </w:r>
      <w:r w:rsidR="002C2040">
        <w:t>for progressive intra refresh.</w:t>
      </w:r>
      <w:r w:rsidR="002C2040" w:rsidRPr="002C2040">
        <w:t xml:space="preserve"> </w:t>
      </w:r>
      <w:r w:rsidR="002C2040" w:rsidRPr="008E0D44">
        <w:t xml:space="preserve">This contribution </w:t>
      </w:r>
      <w:r w:rsidR="002C2040">
        <w:t>presents</w:t>
      </w:r>
      <w:r w:rsidR="002C2040" w:rsidRPr="008E0D44">
        <w:t xml:space="preserve"> </w:t>
      </w:r>
      <w:r w:rsidR="006502FF">
        <w:t xml:space="preserve">a </w:t>
      </w:r>
      <w:r w:rsidR="002C2040">
        <w:t>GDR implementation without forcing intra areas per GDR pictur</w:t>
      </w:r>
      <w:r w:rsidR="00381CBF">
        <w:t xml:space="preserve">e, and </w:t>
      </w:r>
      <w:r w:rsidR="00004AEC">
        <w:t xml:space="preserve">the simulation results </w:t>
      </w:r>
      <w:r w:rsidR="00381CBF">
        <w:t xml:space="preserve">show </w:t>
      </w:r>
      <w:r w:rsidR="00004AEC">
        <w:t xml:space="preserve">an </w:t>
      </w:r>
      <w:r w:rsidR="002C2040">
        <w:t xml:space="preserve">overall performance </w:t>
      </w:r>
      <w:r w:rsidR="00381CBF">
        <w:t xml:space="preserve">gain of </w:t>
      </w:r>
      <w:r w:rsidR="002C2040" w:rsidRPr="002D74E1">
        <w:rPr>
          <w:highlight w:val="yellow"/>
        </w:rPr>
        <w:t>xxx%.</w:t>
      </w:r>
      <w:r w:rsidR="002C2040">
        <w:t xml:space="preserve"> </w:t>
      </w:r>
    </w:p>
    <w:p w14:paraId="7BF669D8" w14:textId="28F2AABA" w:rsidR="00B54B4C" w:rsidRDefault="00745F6B" w:rsidP="00E11923">
      <w:pPr>
        <w:pStyle w:val="Heading1"/>
        <w:rPr>
          <w:lang w:val="en-CA"/>
        </w:rPr>
      </w:pPr>
      <w:r w:rsidRPr="005B217D">
        <w:rPr>
          <w:lang w:val="en-CA"/>
        </w:rPr>
        <w:t xml:space="preserve">Introduction </w:t>
      </w:r>
    </w:p>
    <w:p w14:paraId="1FB4DC61" w14:textId="71281CA9" w:rsidR="00DE194C" w:rsidRDefault="003176E5" w:rsidP="003176E5">
      <w:r w:rsidRPr="008E0D44">
        <w:t>Picture Header was adopted in VVC at the 16</w:t>
      </w:r>
      <w:r w:rsidRPr="008E0D44">
        <w:rPr>
          <w:vertAlign w:val="superscript"/>
        </w:rPr>
        <w:t>th</w:t>
      </w:r>
      <w:r w:rsidRPr="008E0D44">
        <w:t xml:space="preserve"> JVET meeting, Geneva, Oct. 2019, which includes Virtual Boundary syntax</w:t>
      </w:r>
      <w:r>
        <w:t xml:space="preserve"> [</w:t>
      </w:r>
      <w:r w:rsidR="00133B42">
        <w:t>2</w:t>
      </w:r>
      <w:r>
        <w:t>]</w:t>
      </w:r>
      <w:r w:rsidRPr="008E0D44">
        <w:t>. Virtual boundary can be vertical or horizontal line(s). With virtual boundary syntax included in picture header, a GDR picture can define its own virtual boundaries. A typical GDR picture consists of clean area and dirty area, where clean area may contain a forced intra area next to dirty area for progressive intra refresh (PIR). A virtual boundary signaled at Picture Header can be used to indicate the boundary between clean area and dirty area of a GDR picture.</w:t>
      </w:r>
    </w:p>
    <w:p w14:paraId="5D52F480" w14:textId="77777777" w:rsidR="00DE194C" w:rsidRPr="008E0D44" w:rsidRDefault="00DE194C" w:rsidP="00DE194C">
      <w:r w:rsidRPr="008E0D44">
        <w:t xml:space="preserve">For </w:t>
      </w:r>
      <w:proofErr w:type="spellStart"/>
      <w:r w:rsidRPr="008E0D44">
        <w:rPr>
          <w:b/>
          <w:bCs/>
        </w:rPr>
        <w:t>exact_match</w:t>
      </w:r>
      <w:proofErr w:type="spellEnd"/>
      <w:r w:rsidRPr="008E0D44">
        <w:rPr>
          <w:b/>
          <w:bCs/>
        </w:rPr>
        <w:t xml:space="preserve"> </w:t>
      </w:r>
      <w:r w:rsidRPr="008E0D44">
        <w:t xml:space="preserve">at recovery point, CUs in clean area cannot use any coding information (e.g. reconstructed pixels, code mode, MVs, </w:t>
      </w:r>
      <w:proofErr w:type="spellStart"/>
      <w:r w:rsidRPr="008E0D44">
        <w:t>refIdx</w:t>
      </w:r>
      <w:proofErr w:type="spellEnd"/>
      <w:r w:rsidRPr="008E0D44">
        <w:t xml:space="preserve">, etc.) from dirty area. It is the encoder responsibility to make sure </w:t>
      </w:r>
      <w:proofErr w:type="spellStart"/>
      <w:r w:rsidRPr="008E0D44">
        <w:rPr>
          <w:b/>
          <w:bCs/>
        </w:rPr>
        <w:t>exact_match</w:t>
      </w:r>
      <w:proofErr w:type="spellEnd"/>
      <w:r w:rsidRPr="008E0D44">
        <w:rPr>
          <w:b/>
          <w:bCs/>
        </w:rPr>
        <w:t xml:space="preserve"> </w:t>
      </w:r>
      <w:r w:rsidRPr="008E0D44">
        <w:t xml:space="preserve">at recovery point. </w:t>
      </w:r>
    </w:p>
    <w:p w14:paraId="04CD8F02" w14:textId="347A5932" w:rsidR="00DE194C" w:rsidRPr="004B2FD1" w:rsidRDefault="00DE194C" w:rsidP="004B2FD1">
      <w:r w:rsidRPr="008E0D44">
        <w:t xml:space="preserve">Practically, a VVC encoder needs to impose the necessary restrictions on almost all the possible coding tools for CUs in clean area and make sure they will not </w:t>
      </w:r>
      <w:r w:rsidR="00FD1654">
        <w:t>refer to</w:t>
      </w:r>
      <w:r w:rsidRPr="008E0D44">
        <w:t xml:space="preserve"> any coding information in dirty area</w:t>
      </w:r>
      <w:r w:rsidR="004B2FD1">
        <w:t xml:space="preserve">. </w:t>
      </w:r>
      <w:r w:rsidRPr="003176E5">
        <w:rPr>
          <w:szCs w:val="22"/>
        </w:rPr>
        <w:t xml:space="preserve">It can be very complicated and costly to impose and validate the restrictions on the coding tools for CUs in clean area, which will likely lead to expensive encoder with GDR functionality, as compared to regular encoder. </w:t>
      </w:r>
    </w:p>
    <w:p w14:paraId="359C5911" w14:textId="75BA8C71" w:rsidR="003A369D" w:rsidRPr="008E0D44" w:rsidRDefault="004B2FD1" w:rsidP="003A369D">
      <w:r>
        <w:t xml:space="preserve">To avoid the validation process, </w:t>
      </w:r>
      <w:r w:rsidR="003A369D">
        <w:t>[</w:t>
      </w:r>
      <w:r w:rsidR="00B54F82">
        <w:t>1</w:t>
      </w:r>
      <w:r w:rsidR="003A369D">
        <w:t xml:space="preserve">] </w:t>
      </w:r>
      <w:r w:rsidR="003A369D" w:rsidRPr="008E0D44">
        <w:t>propos</w:t>
      </w:r>
      <w:r w:rsidR="003A369D">
        <w:t>es</w:t>
      </w:r>
      <w:r w:rsidR="003A369D" w:rsidRPr="008E0D44">
        <w:t xml:space="preserve"> a few minor changes to the current VVC spec for GDR applications. Specifically,  </w:t>
      </w:r>
    </w:p>
    <w:p w14:paraId="4A11A7D5" w14:textId="77777777" w:rsidR="003A369D" w:rsidRPr="008E0D44"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CUs in clean area, virtual boundaries are treated as picture boundaries. All the clauses associated with picture boundaries in the current VVC spec apply.</w:t>
      </w:r>
    </w:p>
    <w:p w14:paraId="22607B3C" w14:textId="77777777" w:rsidR="003A369D" w:rsidRPr="008E0D44"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CUs in dirty area, virtual boundaries are treated as no boundaries. </w:t>
      </w:r>
    </w:p>
    <w:p w14:paraId="6A647301" w14:textId="738F558E" w:rsidR="003A369D"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In addition, for CUs in clean area, a separate HMVP table is maintained and updated, where the candidates only come from previously-coded CUs in clean area.</w:t>
      </w:r>
    </w:p>
    <w:p w14:paraId="7EBCB46C" w14:textId="74D4FA66" w:rsidR="004B2FD1" w:rsidRPr="008E0D44" w:rsidRDefault="004B2FD1" w:rsidP="004B2FD1">
      <w:r>
        <w:t xml:space="preserve">In [1], a vertical GDR with forced intra strip per GDR picture is implemented, as illustrated in </w:t>
      </w:r>
      <w:r w:rsidRPr="008E0D44">
        <w:t>Fig. 1</w:t>
      </w:r>
      <w:r>
        <w:t>,</w:t>
      </w:r>
      <w:r w:rsidRPr="008E0D44">
        <w:t xml:space="preserve"> where with forced intra coded areas (green) moving from left to right, the clean area (yellow) expends gradually from random access point of POC(n) to recovery point of POC(</w:t>
      </w:r>
      <w:proofErr w:type="spellStart"/>
      <w:r w:rsidRPr="008E0D44">
        <w:t>N+n</w:t>
      </w:r>
      <w:proofErr w:type="spellEnd"/>
      <w:r w:rsidRPr="008E0D44">
        <w:t>). And a virtual boundary (red) separates the clean area and the dirty area of a GDR picture.</w:t>
      </w:r>
    </w:p>
    <w:p w14:paraId="286284E7" w14:textId="77777777" w:rsidR="004B2FD1" w:rsidRPr="008E0D44" w:rsidRDefault="004B2FD1" w:rsidP="004B2FD1">
      <w:r w:rsidRPr="008E0D44">
        <w:rPr>
          <w:noProof/>
        </w:rPr>
        <w:lastRenderedPageBreak/>
        <w:drawing>
          <wp:inline distT="0" distB="0" distL="0" distR="0" wp14:anchorId="714AA0E4" wp14:editId="570B3F57">
            <wp:extent cx="5943600" cy="1457960"/>
            <wp:effectExtent l="0" t="0" r="0" b="8890"/>
            <wp:docPr id="25" name="Picture 7">
              <a:extLst xmlns:a="http://schemas.openxmlformats.org/drawingml/2006/main">
                <a:ext uri="{FF2B5EF4-FFF2-40B4-BE49-F238E27FC236}">
                  <a16:creationId xmlns:a16="http://schemas.microsoft.com/office/drawing/2014/main" id="{1AC394B6-B3C9-4737-8BEE-88D91EF1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394B6-B3C9-4737-8BEE-88D91EF1C370}"/>
                        </a:ext>
                      </a:extLst>
                    </pic:cNvPr>
                    <pic:cNvPicPr>
                      <a:picLocks noChangeAspect="1"/>
                    </pic:cNvPicPr>
                  </pic:nvPicPr>
                  <pic:blipFill>
                    <a:blip r:embed="rId12"/>
                    <a:stretch>
                      <a:fillRect/>
                    </a:stretch>
                  </pic:blipFill>
                  <pic:spPr>
                    <a:xfrm>
                      <a:off x="0" y="0"/>
                      <a:ext cx="5943600" cy="1457960"/>
                    </a:xfrm>
                    <a:prstGeom prst="rect">
                      <a:avLst/>
                    </a:prstGeom>
                  </pic:spPr>
                </pic:pic>
              </a:graphicData>
            </a:graphic>
          </wp:inline>
        </w:drawing>
      </w:r>
    </w:p>
    <w:p w14:paraId="66915A85" w14:textId="77777777" w:rsidR="004B2FD1" w:rsidRPr="008E0D44" w:rsidRDefault="004B2FD1" w:rsidP="004B2FD1">
      <w:pPr>
        <w:jc w:val="center"/>
      </w:pPr>
      <w:r w:rsidRPr="008E0D44">
        <w:t>Fig. 1. GDR pictures where clean area and dirty area are separated by a virtual boundary.</w:t>
      </w:r>
    </w:p>
    <w:p w14:paraId="2941A749" w14:textId="77777777" w:rsidR="00730674" w:rsidRDefault="00730674" w:rsidP="0095324E"/>
    <w:p w14:paraId="18B8CED7" w14:textId="66D8E2E8" w:rsidR="0095324E" w:rsidRDefault="0095324E" w:rsidP="0095324E">
      <w:r>
        <w:t xml:space="preserve">This contribution presents </w:t>
      </w:r>
      <w:r w:rsidR="004B2FD1">
        <w:t>a</w:t>
      </w:r>
      <w:r>
        <w:t xml:space="preserve"> </w:t>
      </w:r>
      <w:r w:rsidR="00730674">
        <w:t xml:space="preserve">vertical </w:t>
      </w:r>
      <w:r>
        <w:t xml:space="preserve">GDR implementation without forcing intra area per a GDR picture, as shown in Fig. 2, where </w:t>
      </w:r>
      <w:r w:rsidR="00C05FB0">
        <w:t xml:space="preserve">a virtual boundary separates a GDR picture into clean area and dirty area and </w:t>
      </w:r>
      <w:r>
        <w:t>the clean area expends gradually</w:t>
      </w:r>
      <w:r w:rsidR="00C05FB0">
        <w:t xml:space="preserve">. </w:t>
      </w:r>
      <w:r w:rsidR="00730674">
        <w:t>CUs in clean area can be coded in either intra or inter mode.</w:t>
      </w:r>
      <w:r w:rsidR="00C05FB0">
        <w:t xml:space="preserve"> F</w:t>
      </w:r>
      <w:r>
        <w:t xml:space="preserve">or </w:t>
      </w:r>
      <w:proofErr w:type="spellStart"/>
      <w:r w:rsidRPr="0095324E">
        <w:rPr>
          <w:b/>
        </w:rPr>
        <w:t>exact_match</w:t>
      </w:r>
      <w:proofErr w:type="spellEnd"/>
      <w:r w:rsidR="0068555F">
        <w:rPr>
          <w:b/>
        </w:rPr>
        <w:t xml:space="preserve"> </w:t>
      </w:r>
      <w:r w:rsidR="0068555F" w:rsidRPr="0068555F">
        <w:t>at the recovery point</w:t>
      </w:r>
      <w:r>
        <w:t xml:space="preserve">, CUs in clean will not use any </w:t>
      </w:r>
      <w:r w:rsidR="0068555F">
        <w:t xml:space="preserve">coding </w:t>
      </w:r>
      <w:r>
        <w:t>information from the dirty areas of the current picture and the reference pictures</w:t>
      </w:r>
      <w:r w:rsidR="00730674">
        <w:t>, and the same minor changes proposed in [1] apply</w:t>
      </w:r>
      <w:r>
        <w:t>.</w:t>
      </w:r>
    </w:p>
    <w:p w14:paraId="04E3C82E" w14:textId="77777777" w:rsidR="0095324E" w:rsidRDefault="0095324E" w:rsidP="0095324E">
      <w:pPr>
        <w:jc w:val="center"/>
      </w:pPr>
      <w:r>
        <w:object w:dxaOrig="13931" w:dyaOrig="3351" w14:anchorId="7E8AD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12.5pt" o:ole="">
            <v:imagedata r:id="rId13" o:title=""/>
          </v:shape>
          <o:OLEObject Type="Embed" ProgID="Visio.Drawing.15" ShapeID="_x0000_i1025" DrawAspect="Content" ObjectID="_1639570733" r:id="rId14"/>
        </w:object>
      </w:r>
    </w:p>
    <w:p w14:paraId="3DFF5DFF" w14:textId="1C35590D" w:rsidR="00B32669" w:rsidRPr="00730674" w:rsidRDefault="0095324E" w:rsidP="00730674">
      <w:pPr>
        <w:jc w:val="center"/>
      </w:pPr>
      <w:r>
        <w:t xml:space="preserve">Fig. 2. </w:t>
      </w:r>
      <w:r w:rsidR="00730674">
        <w:t xml:space="preserve">GDR without forcing intra strips, </w:t>
      </w:r>
      <w:r>
        <w:t xml:space="preserve">where clean area gradually expends. </w:t>
      </w:r>
    </w:p>
    <w:p w14:paraId="2F2905AA" w14:textId="3CF37F0D" w:rsidR="009B5503" w:rsidRDefault="004F695F" w:rsidP="009B5503">
      <w:pPr>
        <w:pStyle w:val="Heading1"/>
        <w:rPr>
          <w:lang w:val="en-CA"/>
        </w:rPr>
      </w:pPr>
      <w:r>
        <w:rPr>
          <w:lang w:val="en-CA"/>
        </w:rPr>
        <w:t xml:space="preserve">Experimental </w:t>
      </w:r>
      <w:r w:rsidR="009B5503">
        <w:rPr>
          <w:lang w:val="en-CA"/>
        </w:rPr>
        <w:t>Results</w:t>
      </w:r>
    </w:p>
    <w:p w14:paraId="59C77F81" w14:textId="5F45565E" w:rsidR="003176E5" w:rsidRPr="008E0D44" w:rsidRDefault="003176E5" w:rsidP="00293CA5">
      <w:r w:rsidRPr="008E0D44">
        <w:t xml:space="preserve">The proposed GDR </w:t>
      </w:r>
      <w:r w:rsidR="00293CA5">
        <w:t xml:space="preserve">(with vertical strips set to </w:t>
      </w:r>
      <w:proofErr w:type="spellStart"/>
      <w:r w:rsidR="00293CA5">
        <w:t>pic_width</w:t>
      </w:r>
      <w:proofErr w:type="spellEnd"/>
      <w:r w:rsidR="00293CA5">
        <w:t xml:space="preserve"> / </w:t>
      </w:r>
      <w:proofErr w:type="spellStart"/>
      <w:r w:rsidR="00293CA5">
        <w:t>frame_rate</w:t>
      </w:r>
      <w:proofErr w:type="spellEnd"/>
      <w:r w:rsidR="00293CA5">
        <w:t xml:space="preserve">) </w:t>
      </w:r>
      <w:r w:rsidRPr="00934B38">
        <w:t>was implemented on</w:t>
      </w:r>
      <w:r w:rsidRPr="008E0D44">
        <w:t xml:space="preserve"> VTM7.0. Simulations</w:t>
      </w:r>
      <w:r w:rsidRPr="008E0D44">
        <w:rPr>
          <w:lang w:val="en-CA"/>
        </w:rPr>
        <w:t xml:space="preserve"> were conducted over JVET test sequences, and e</w:t>
      </w:r>
      <w:r w:rsidRPr="008E0D44">
        <w:t xml:space="preserve">ach test is performed </w:t>
      </w:r>
      <w:r w:rsidR="00293CA5">
        <w:t xml:space="preserve">using </w:t>
      </w:r>
      <w:r w:rsidRPr="008E0D44">
        <w:t xml:space="preserve">low-delay B configuration in current common test condition (CTC) (i.e., </w:t>
      </w:r>
      <w:proofErr w:type="spellStart"/>
      <w:r w:rsidRPr="008E0D44">
        <w:t>encoder_lowdelay_vtm.cfg</w:t>
      </w:r>
      <w:proofErr w:type="spellEnd"/>
      <w:r w:rsidRPr="008E0D44">
        <w:t>) with the following changes:</w:t>
      </w:r>
    </w:p>
    <w:p w14:paraId="55735C31"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3F22E6F9" w14:textId="77777777" w:rsidR="00293CA5"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45A4A5F5" w14:textId="2381A1A4"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68555872"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IntraQPOffset</w:t>
      </w:r>
      <w:proofErr w:type="spellEnd"/>
      <w:r w:rsidRPr="008E0D44">
        <w:t xml:space="preserve"> and </w:t>
      </w:r>
      <w:proofErr w:type="spellStart"/>
      <w:r w:rsidRPr="008E0D44">
        <w:t>QPoffset</w:t>
      </w:r>
      <w:proofErr w:type="spellEnd"/>
      <w:r w:rsidRPr="008E0D44">
        <w:t xml:space="preserve"> are set equal to 0.</w:t>
      </w:r>
    </w:p>
    <w:p w14:paraId="48265604" w14:textId="77777777" w:rsidR="003176E5" w:rsidRPr="008E0D44"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SEIDecodedPictureHash</w:t>
      </w:r>
      <w:proofErr w:type="spellEnd"/>
      <w:r w:rsidRPr="008E0D44">
        <w:t xml:space="preserve"> is set to 1.</w:t>
      </w:r>
    </w:p>
    <w:p w14:paraId="0A11EE07" w14:textId="20F9B473" w:rsidR="003176E5" w:rsidRPr="00067150"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LoopFilterAcrossVirtualBoundariesDisabledFlag</w:t>
      </w:r>
      <w:proofErr w:type="spellEnd"/>
      <w:r w:rsidRPr="00067150">
        <w:t xml:space="preserve"> is 1</w:t>
      </w:r>
      <w:r w:rsidR="002F6A52" w:rsidRPr="00067150">
        <w:t>,</w:t>
      </w:r>
    </w:p>
    <w:p w14:paraId="7B79FE5C" w14:textId="51A779D5" w:rsidR="00293CA5" w:rsidRPr="00067150"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HashME</w:t>
      </w:r>
      <w:proofErr w:type="spellEnd"/>
      <w:r w:rsidRPr="00067150">
        <w:t xml:space="preserve"> is off for class F</w:t>
      </w:r>
      <w:r w:rsidR="002F6A52" w:rsidRPr="00067150">
        <w:t>,</w:t>
      </w:r>
    </w:p>
    <w:p w14:paraId="6BDC4CA8" w14:textId="6B5AF5D3" w:rsidR="002F6A52" w:rsidRPr="00067150" w:rsidRDefault="002F6A52" w:rsidP="002F6A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GDR refresh period is set to frame rate.</w:t>
      </w:r>
    </w:p>
    <w:p w14:paraId="29D08FA8" w14:textId="3513BCFD" w:rsidR="003176E5" w:rsidRPr="008E0D44" w:rsidRDefault="003176E5" w:rsidP="002F6A52">
      <w:r w:rsidRPr="008E0D44">
        <w:t>The test results are compared with GDR anchor</w:t>
      </w:r>
      <w:r w:rsidR="001B752B">
        <w:t xml:space="preserve"> [3</w:t>
      </w:r>
      <w:r w:rsidR="00E04D71">
        <w:t>-4</w:t>
      </w:r>
      <w:r w:rsidR="001B752B">
        <w:t>]</w:t>
      </w:r>
      <w:r w:rsidRPr="008E0D44">
        <w:t xml:space="preserve">. Anchor bitstreams are encoded </w:t>
      </w:r>
      <w:r w:rsidR="002F6A52">
        <w:t xml:space="preserve">using </w:t>
      </w:r>
      <w:r w:rsidRPr="008E0D44">
        <w:t xml:space="preserve">low-delay B configuration in current common test condition (CTC) (i.e., </w:t>
      </w:r>
      <w:proofErr w:type="spellStart"/>
      <w:r w:rsidRPr="008E0D44">
        <w:t>encoder_lowdelay_vtm.cfg</w:t>
      </w:r>
      <w:proofErr w:type="spellEnd"/>
      <w:r w:rsidRPr="008E0D44">
        <w:t>) with the following changes:</w:t>
      </w:r>
    </w:p>
    <w:p w14:paraId="4123D95A" w14:textId="77777777"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751A93B2" w14:textId="77777777" w:rsidR="002F6A52"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17563551" w14:textId="77D9AEFA"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05098E72" w14:textId="14FBC081"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8E0D44">
        <w:t>IntraQPOffset</w:t>
      </w:r>
      <w:proofErr w:type="spellEnd"/>
      <w:r w:rsidRPr="008E0D44">
        <w:t xml:space="preserve"> and </w:t>
      </w:r>
      <w:proofErr w:type="spellStart"/>
      <w:r w:rsidRPr="008E0D44">
        <w:t>Qpoffset</w:t>
      </w:r>
      <w:proofErr w:type="spellEnd"/>
      <w:r w:rsidRPr="008E0D44">
        <w:t xml:space="preserve"> are set equal to 0</w:t>
      </w:r>
    </w:p>
    <w:p w14:paraId="5AAA6B54" w14:textId="311D169B" w:rsidR="003176E5" w:rsidRPr="00067150"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proofErr w:type="spellStart"/>
      <w:r w:rsidRPr="00067150">
        <w:t>SEIDecodedPictureHash</w:t>
      </w:r>
      <w:proofErr w:type="spellEnd"/>
      <w:r w:rsidRPr="00067150">
        <w:t xml:space="preserve"> is set to 1.</w:t>
      </w:r>
    </w:p>
    <w:p w14:paraId="38104826" w14:textId="070F819D" w:rsidR="002F6A52" w:rsidRPr="00067150" w:rsidRDefault="002F6A52"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rPr>
          <w:lang w:eastAsia="zh-CN"/>
        </w:rPr>
        <w:t>CRA picture is inserted every second.</w:t>
      </w:r>
    </w:p>
    <w:p w14:paraId="3F0B37B6" w14:textId="13621434" w:rsidR="003176E5" w:rsidRPr="00067150" w:rsidRDefault="003176E5" w:rsidP="003176E5">
      <w:r w:rsidRPr="00067150">
        <w:lastRenderedPageBreak/>
        <w:t xml:space="preserve">All the GDR test bitstreams were checked for leaks, and none of them shows leak. </w:t>
      </w:r>
    </w:p>
    <w:p w14:paraId="0BAE2313" w14:textId="29F19CA9" w:rsidR="00B96040" w:rsidRPr="00067150" w:rsidRDefault="003176E5" w:rsidP="003176E5">
      <w:r w:rsidRPr="00067150">
        <w:t xml:space="preserve">The performance results are shown in Table 1 in terms of BD rate. The loss against </w:t>
      </w:r>
      <w:r w:rsidR="008213B9" w:rsidRPr="00067150">
        <w:t xml:space="preserve">GDR </w:t>
      </w:r>
      <w:r w:rsidRPr="00067150">
        <w:t xml:space="preserve">anchor is </w:t>
      </w:r>
      <w:r w:rsidR="000B484C" w:rsidRPr="00067150">
        <w:t xml:space="preserve">now down to </w:t>
      </w:r>
      <w:r w:rsidR="000F69A6" w:rsidRPr="00067150">
        <w:rPr>
          <w:highlight w:val="yellow"/>
        </w:rPr>
        <w:t>xxx</w:t>
      </w:r>
      <w:r w:rsidRPr="00067150">
        <w:t>%. Note that a loss should be expected because CUs in clean area are not allowed to use any coding information from dirty areas.</w:t>
      </w:r>
    </w:p>
    <w:p w14:paraId="32F6CE9F" w14:textId="6E6F8DA8" w:rsidR="00252879" w:rsidRDefault="003176E5" w:rsidP="00252879">
      <w:pPr>
        <w:jc w:val="center"/>
      </w:pPr>
      <w:r w:rsidRPr="00067150">
        <w:t xml:space="preserve">Table 1. </w:t>
      </w:r>
      <w:r w:rsidR="000903AA" w:rsidRPr="00067150">
        <w:t>Simulation</w:t>
      </w:r>
      <w:r w:rsidR="000B3AA3" w:rsidRPr="00067150">
        <w:t xml:space="preserve"> </w:t>
      </w:r>
      <w:r w:rsidR="006B6467" w:rsidRPr="00067150">
        <w:t xml:space="preserve">Results </w:t>
      </w:r>
      <w:r w:rsidR="000B3AA3" w:rsidRPr="00067150">
        <w:t xml:space="preserve">of proposed </w:t>
      </w:r>
      <w:r w:rsidRPr="00067150">
        <w:t xml:space="preserve">GDR </w:t>
      </w:r>
    </w:p>
    <w:tbl>
      <w:tblPr>
        <w:tblW w:w="0" w:type="auto"/>
        <w:jc w:val="center"/>
        <w:tblLayout w:type="fixed"/>
        <w:tblLook w:val="04A0" w:firstRow="1" w:lastRow="0" w:firstColumn="1" w:lastColumn="0" w:noHBand="0" w:noVBand="1"/>
      </w:tblPr>
      <w:tblGrid>
        <w:gridCol w:w="1640"/>
        <w:gridCol w:w="1156"/>
        <w:gridCol w:w="1156"/>
        <w:gridCol w:w="1156"/>
        <w:gridCol w:w="886"/>
        <w:gridCol w:w="946"/>
      </w:tblGrid>
      <w:tr w:rsidR="00252879" w:rsidRPr="00252879" w14:paraId="7637A663"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0E8BDA5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4312D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 xml:space="preserve">Low delay B Main10 </w:t>
            </w:r>
          </w:p>
        </w:tc>
      </w:tr>
      <w:tr w:rsidR="00252879" w:rsidRPr="00252879" w14:paraId="7F99281A"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4FF718B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7B8B3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Over VTM7.0 GDR Anchor vs VTM 7.0 GDR2</w:t>
            </w:r>
          </w:p>
        </w:tc>
      </w:tr>
      <w:tr w:rsidR="00252879" w:rsidRPr="00252879" w14:paraId="43205F70"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31A46D3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0BFE0BD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2C1896B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465B988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w:t>
            </w:r>
          </w:p>
        </w:tc>
        <w:tc>
          <w:tcPr>
            <w:tcW w:w="886" w:type="dxa"/>
            <w:tcBorders>
              <w:top w:val="nil"/>
              <w:left w:val="nil"/>
              <w:bottom w:val="single" w:sz="8" w:space="0" w:color="auto"/>
              <w:right w:val="nil"/>
            </w:tcBorders>
            <w:shd w:val="clear" w:color="auto" w:fill="auto"/>
            <w:noWrap/>
            <w:vAlign w:val="center"/>
            <w:hideMark/>
          </w:tcPr>
          <w:p w14:paraId="42F6E136"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52879">
              <w:rPr>
                <w:rFonts w:ascii="Arial" w:hAnsi="Arial" w:cs="Arial"/>
                <w:color w:val="000000"/>
                <w:sz w:val="18"/>
                <w:szCs w:val="18"/>
                <w:lang w:eastAsia="zh-CN"/>
              </w:rPr>
              <w:t>EncT</w:t>
            </w:r>
            <w:proofErr w:type="spellEnd"/>
          </w:p>
        </w:tc>
        <w:tc>
          <w:tcPr>
            <w:tcW w:w="946" w:type="dxa"/>
            <w:tcBorders>
              <w:top w:val="nil"/>
              <w:left w:val="nil"/>
              <w:bottom w:val="single" w:sz="8" w:space="0" w:color="auto"/>
              <w:right w:val="single" w:sz="8" w:space="0" w:color="auto"/>
            </w:tcBorders>
            <w:shd w:val="clear" w:color="auto" w:fill="auto"/>
            <w:noWrap/>
            <w:vAlign w:val="center"/>
            <w:hideMark/>
          </w:tcPr>
          <w:p w14:paraId="142AA59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52879">
              <w:rPr>
                <w:rFonts w:ascii="Arial" w:hAnsi="Arial" w:cs="Arial"/>
                <w:color w:val="000000"/>
                <w:sz w:val="18"/>
                <w:szCs w:val="18"/>
                <w:lang w:eastAsia="zh-CN"/>
              </w:rPr>
              <w:t>DecT</w:t>
            </w:r>
            <w:proofErr w:type="spellEnd"/>
          </w:p>
        </w:tc>
      </w:tr>
      <w:tr w:rsidR="00252879" w:rsidRPr="00252879" w14:paraId="36F04803" w14:textId="77777777" w:rsidTr="002D7F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A18A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549013F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365A89A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1156" w:type="dxa"/>
            <w:tcBorders>
              <w:top w:val="nil"/>
              <w:left w:val="nil"/>
              <w:bottom w:val="nil"/>
              <w:right w:val="single" w:sz="4" w:space="0" w:color="auto"/>
            </w:tcBorders>
            <w:shd w:val="clear" w:color="auto" w:fill="auto"/>
            <w:noWrap/>
            <w:vAlign w:val="center"/>
            <w:hideMark/>
          </w:tcPr>
          <w:p w14:paraId="4A608C5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886" w:type="dxa"/>
            <w:tcBorders>
              <w:top w:val="nil"/>
              <w:left w:val="nil"/>
              <w:bottom w:val="nil"/>
              <w:right w:val="nil"/>
            </w:tcBorders>
            <w:shd w:val="clear" w:color="auto" w:fill="auto"/>
            <w:noWrap/>
            <w:vAlign w:val="center"/>
            <w:hideMark/>
          </w:tcPr>
          <w:p w14:paraId="74F58F7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946" w:type="dxa"/>
            <w:tcBorders>
              <w:top w:val="nil"/>
              <w:left w:val="nil"/>
              <w:bottom w:val="nil"/>
              <w:right w:val="single" w:sz="8" w:space="0" w:color="auto"/>
            </w:tcBorders>
            <w:shd w:val="clear" w:color="auto" w:fill="auto"/>
            <w:noWrap/>
            <w:vAlign w:val="center"/>
            <w:hideMark/>
          </w:tcPr>
          <w:p w14:paraId="0B8CE31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r>
      <w:tr w:rsidR="00252879" w:rsidRPr="00252879" w14:paraId="3A47E0BE"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077B7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2917B4E2"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0D830E3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77C5B5E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886" w:type="dxa"/>
            <w:tcBorders>
              <w:top w:val="nil"/>
              <w:left w:val="nil"/>
              <w:bottom w:val="nil"/>
              <w:right w:val="nil"/>
            </w:tcBorders>
            <w:shd w:val="clear" w:color="auto" w:fill="auto"/>
            <w:noWrap/>
            <w:vAlign w:val="center"/>
            <w:hideMark/>
          </w:tcPr>
          <w:p w14:paraId="76DFB81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c>
          <w:tcPr>
            <w:tcW w:w="946" w:type="dxa"/>
            <w:tcBorders>
              <w:top w:val="nil"/>
              <w:left w:val="nil"/>
              <w:bottom w:val="nil"/>
              <w:right w:val="single" w:sz="8" w:space="0" w:color="auto"/>
            </w:tcBorders>
            <w:shd w:val="clear" w:color="auto" w:fill="auto"/>
            <w:noWrap/>
            <w:vAlign w:val="center"/>
            <w:hideMark/>
          </w:tcPr>
          <w:p w14:paraId="7FA6BA5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 </w:t>
            </w:r>
          </w:p>
        </w:tc>
      </w:tr>
      <w:tr w:rsidR="00252879" w:rsidRPr="00252879" w14:paraId="1210B689"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85AEF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0D9620A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56" w:type="dxa"/>
            <w:tcBorders>
              <w:top w:val="nil"/>
              <w:left w:val="nil"/>
              <w:bottom w:val="nil"/>
              <w:right w:val="nil"/>
            </w:tcBorders>
            <w:shd w:val="clear" w:color="auto" w:fill="auto"/>
            <w:noWrap/>
            <w:vAlign w:val="center"/>
            <w:hideMark/>
          </w:tcPr>
          <w:p w14:paraId="5370A33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56" w:type="dxa"/>
            <w:tcBorders>
              <w:top w:val="nil"/>
              <w:left w:val="nil"/>
              <w:bottom w:val="nil"/>
              <w:right w:val="single" w:sz="4" w:space="0" w:color="auto"/>
            </w:tcBorders>
            <w:shd w:val="clear" w:color="auto" w:fill="auto"/>
            <w:noWrap/>
            <w:vAlign w:val="center"/>
            <w:hideMark/>
          </w:tcPr>
          <w:p w14:paraId="2332D71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86" w:type="dxa"/>
            <w:tcBorders>
              <w:top w:val="nil"/>
              <w:left w:val="nil"/>
              <w:bottom w:val="nil"/>
              <w:right w:val="nil"/>
            </w:tcBorders>
            <w:shd w:val="clear" w:color="auto" w:fill="auto"/>
            <w:noWrap/>
            <w:vAlign w:val="center"/>
            <w:hideMark/>
          </w:tcPr>
          <w:p w14:paraId="707354B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946" w:type="dxa"/>
            <w:tcBorders>
              <w:top w:val="nil"/>
              <w:left w:val="nil"/>
              <w:bottom w:val="nil"/>
              <w:right w:val="single" w:sz="8" w:space="0" w:color="auto"/>
            </w:tcBorders>
            <w:shd w:val="clear" w:color="auto" w:fill="auto"/>
            <w:noWrap/>
            <w:vAlign w:val="center"/>
            <w:hideMark/>
          </w:tcPr>
          <w:p w14:paraId="1385E0E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#DIV/0!</w:t>
            </w:r>
          </w:p>
        </w:tc>
      </w:tr>
      <w:tr w:rsidR="00252879" w:rsidRPr="00252879" w14:paraId="01A06338"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37725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382A8C3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1.20%</w:t>
            </w:r>
          </w:p>
        </w:tc>
        <w:tc>
          <w:tcPr>
            <w:tcW w:w="1156" w:type="dxa"/>
            <w:tcBorders>
              <w:top w:val="nil"/>
              <w:left w:val="nil"/>
              <w:bottom w:val="nil"/>
              <w:right w:val="nil"/>
            </w:tcBorders>
            <w:shd w:val="clear" w:color="auto" w:fill="auto"/>
            <w:noWrap/>
            <w:vAlign w:val="center"/>
            <w:hideMark/>
          </w:tcPr>
          <w:p w14:paraId="5352B3B6"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2.71%</w:t>
            </w:r>
          </w:p>
        </w:tc>
        <w:tc>
          <w:tcPr>
            <w:tcW w:w="1156" w:type="dxa"/>
            <w:tcBorders>
              <w:top w:val="nil"/>
              <w:left w:val="nil"/>
              <w:bottom w:val="nil"/>
              <w:right w:val="single" w:sz="4" w:space="0" w:color="auto"/>
            </w:tcBorders>
            <w:shd w:val="clear" w:color="000000" w:fill="FFC7CE"/>
            <w:noWrap/>
            <w:vAlign w:val="center"/>
            <w:hideMark/>
          </w:tcPr>
          <w:p w14:paraId="26C525C2"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3.07%</w:t>
            </w:r>
          </w:p>
        </w:tc>
        <w:tc>
          <w:tcPr>
            <w:tcW w:w="886" w:type="dxa"/>
            <w:tcBorders>
              <w:top w:val="nil"/>
              <w:left w:val="nil"/>
              <w:bottom w:val="nil"/>
              <w:right w:val="nil"/>
            </w:tcBorders>
            <w:shd w:val="clear" w:color="auto" w:fill="auto"/>
            <w:noWrap/>
            <w:vAlign w:val="center"/>
            <w:hideMark/>
          </w:tcPr>
          <w:p w14:paraId="744658B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97%</w:t>
            </w:r>
          </w:p>
        </w:tc>
        <w:tc>
          <w:tcPr>
            <w:tcW w:w="946" w:type="dxa"/>
            <w:tcBorders>
              <w:top w:val="nil"/>
              <w:left w:val="nil"/>
              <w:bottom w:val="nil"/>
              <w:right w:val="single" w:sz="8" w:space="0" w:color="auto"/>
            </w:tcBorders>
            <w:shd w:val="clear" w:color="auto" w:fill="auto"/>
            <w:noWrap/>
            <w:vAlign w:val="center"/>
            <w:hideMark/>
          </w:tcPr>
          <w:p w14:paraId="49C765F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#DIV/0!</w:t>
            </w:r>
          </w:p>
        </w:tc>
      </w:tr>
      <w:tr w:rsidR="00252879" w:rsidRPr="00252879" w14:paraId="3FDFFADC"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0B19B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E</w:t>
            </w:r>
          </w:p>
        </w:tc>
        <w:tc>
          <w:tcPr>
            <w:tcW w:w="1156" w:type="dxa"/>
            <w:tcBorders>
              <w:top w:val="nil"/>
              <w:left w:val="single" w:sz="8" w:space="0" w:color="auto"/>
              <w:bottom w:val="nil"/>
              <w:right w:val="nil"/>
            </w:tcBorders>
            <w:shd w:val="clear" w:color="000000" w:fill="FFC7CE"/>
            <w:noWrap/>
            <w:vAlign w:val="center"/>
            <w:hideMark/>
          </w:tcPr>
          <w:p w14:paraId="21E52D36"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4.51%</w:t>
            </w:r>
          </w:p>
        </w:tc>
        <w:tc>
          <w:tcPr>
            <w:tcW w:w="1156" w:type="dxa"/>
            <w:tcBorders>
              <w:top w:val="nil"/>
              <w:left w:val="nil"/>
              <w:bottom w:val="nil"/>
              <w:right w:val="nil"/>
            </w:tcBorders>
            <w:shd w:val="clear" w:color="000000" w:fill="FFC7CE"/>
            <w:noWrap/>
            <w:vAlign w:val="center"/>
            <w:hideMark/>
          </w:tcPr>
          <w:p w14:paraId="70043F66"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5.85%</w:t>
            </w:r>
          </w:p>
        </w:tc>
        <w:tc>
          <w:tcPr>
            <w:tcW w:w="1156" w:type="dxa"/>
            <w:tcBorders>
              <w:top w:val="nil"/>
              <w:left w:val="nil"/>
              <w:bottom w:val="nil"/>
              <w:right w:val="single" w:sz="4" w:space="0" w:color="auto"/>
            </w:tcBorders>
            <w:shd w:val="clear" w:color="000000" w:fill="FFC7CE"/>
            <w:noWrap/>
            <w:vAlign w:val="center"/>
            <w:hideMark/>
          </w:tcPr>
          <w:p w14:paraId="6E01283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8.73%</w:t>
            </w:r>
          </w:p>
        </w:tc>
        <w:tc>
          <w:tcPr>
            <w:tcW w:w="886" w:type="dxa"/>
            <w:tcBorders>
              <w:top w:val="nil"/>
              <w:left w:val="nil"/>
              <w:bottom w:val="nil"/>
              <w:right w:val="nil"/>
            </w:tcBorders>
            <w:shd w:val="clear" w:color="auto" w:fill="auto"/>
            <w:noWrap/>
            <w:vAlign w:val="center"/>
            <w:hideMark/>
          </w:tcPr>
          <w:p w14:paraId="3D71E89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96%</w:t>
            </w:r>
          </w:p>
        </w:tc>
        <w:tc>
          <w:tcPr>
            <w:tcW w:w="946" w:type="dxa"/>
            <w:tcBorders>
              <w:top w:val="nil"/>
              <w:left w:val="nil"/>
              <w:bottom w:val="nil"/>
              <w:right w:val="single" w:sz="8" w:space="0" w:color="auto"/>
            </w:tcBorders>
            <w:shd w:val="clear" w:color="auto" w:fill="auto"/>
            <w:noWrap/>
            <w:vAlign w:val="center"/>
            <w:hideMark/>
          </w:tcPr>
          <w:p w14:paraId="55F5558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#DIV/0!</w:t>
            </w:r>
          </w:p>
        </w:tc>
      </w:tr>
      <w:tr w:rsidR="00252879" w:rsidRPr="00252879" w14:paraId="4660CA1D" w14:textId="77777777" w:rsidTr="002D7F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A78E56"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4D0C268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56" w:type="dxa"/>
            <w:tcBorders>
              <w:top w:val="single" w:sz="8" w:space="0" w:color="auto"/>
              <w:left w:val="nil"/>
              <w:bottom w:val="nil"/>
              <w:right w:val="nil"/>
            </w:tcBorders>
            <w:shd w:val="clear" w:color="auto" w:fill="auto"/>
            <w:noWrap/>
            <w:vAlign w:val="center"/>
            <w:hideMark/>
          </w:tcPr>
          <w:p w14:paraId="662DCB3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56" w:type="dxa"/>
            <w:tcBorders>
              <w:top w:val="single" w:sz="8" w:space="0" w:color="auto"/>
              <w:left w:val="nil"/>
              <w:bottom w:val="nil"/>
              <w:right w:val="single" w:sz="4" w:space="0" w:color="auto"/>
            </w:tcBorders>
            <w:shd w:val="clear" w:color="auto" w:fill="auto"/>
            <w:noWrap/>
            <w:vAlign w:val="center"/>
            <w:hideMark/>
          </w:tcPr>
          <w:p w14:paraId="05DB2C6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86" w:type="dxa"/>
            <w:tcBorders>
              <w:top w:val="single" w:sz="8" w:space="0" w:color="auto"/>
              <w:left w:val="nil"/>
              <w:bottom w:val="nil"/>
              <w:right w:val="nil"/>
            </w:tcBorders>
            <w:shd w:val="clear" w:color="auto" w:fill="auto"/>
            <w:noWrap/>
            <w:vAlign w:val="center"/>
            <w:hideMark/>
          </w:tcPr>
          <w:p w14:paraId="4443DA5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946" w:type="dxa"/>
            <w:tcBorders>
              <w:top w:val="single" w:sz="8" w:space="0" w:color="auto"/>
              <w:left w:val="nil"/>
              <w:bottom w:val="nil"/>
              <w:right w:val="single" w:sz="8" w:space="0" w:color="auto"/>
            </w:tcBorders>
            <w:shd w:val="clear" w:color="auto" w:fill="auto"/>
            <w:noWrap/>
            <w:vAlign w:val="center"/>
            <w:hideMark/>
          </w:tcPr>
          <w:p w14:paraId="7A1D054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#DIV/0!</w:t>
            </w:r>
          </w:p>
        </w:tc>
      </w:tr>
      <w:tr w:rsidR="00252879" w:rsidRPr="00252879" w14:paraId="4E64E067" w14:textId="77777777" w:rsidTr="002D7F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36997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6BAA6FC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1.62%</w:t>
            </w:r>
          </w:p>
        </w:tc>
        <w:tc>
          <w:tcPr>
            <w:tcW w:w="1156" w:type="dxa"/>
            <w:tcBorders>
              <w:top w:val="single" w:sz="8" w:space="0" w:color="auto"/>
              <w:left w:val="nil"/>
              <w:bottom w:val="nil"/>
              <w:right w:val="nil"/>
            </w:tcBorders>
            <w:shd w:val="clear" w:color="000000" w:fill="FFC7CE"/>
            <w:noWrap/>
            <w:vAlign w:val="center"/>
            <w:hideMark/>
          </w:tcPr>
          <w:p w14:paraId="048E0CD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4.73%</w:t>
            </w:r>
          </w:p>
        </w:tc>
        <w:tc>
          <w:tcPr>
            <w:tcW w:w="1156" w:type="dxa"/>
            <w:tcBorders>
              <w:top w:val="single" w:sz="8" w:space="0" w:color="auto"/>
              <w:left w:val="nil"/>
              <w:bottom w:val="nil"/>
              <w:right w:val="single" w:sz="4" w:space="0" w:color="auto"/>
            </w:tcBorders>
            <w:shd w:val="clear" w:color="000000" w:fill="FFC7CE"/>
            <w:noWrap/>
            <w:vAlign w:val="center"/>
            <w:hideMark/>
          </w:tcPr>
          <w:p w14:paraId="588E6F56"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4.90%</w:t>
            </w:r>
          </w:p>
        </w:tc>
        <w:tc>
          <w:tcPr>
            <w:tcW w:w="886" w:type="dxa"/>
            <w:tcBorders>
              <w:top w:val="single" w:sz="8" w:space="0" w:color="auto"/>
              <w:left w:val="nil"/>
              <w:bottom w:val="nil"/>
              <w:right w:val="nil"/>
            </w:tcBorders>
            <w:shd w:val="clear" w:color="auto" w:fill="auto"/>
            <w:noWrap/>
            <w:vAlign w:val="center"/>
            <w:hideMark/>
          </w:tcPr>
          <w:p w14:paraId="6B52260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98%</w:t>
            </w:r>
          </w:p>
        </w:tc>
        <w:tc>
          <w:tcPr>
            <w:tcW w:w="946" w:type="dxa"/>
            <w:tcBorders>
              <w:top w:val="single" w:sz="8" w:space="0" w:color="auto"/>
              <w:left w:val="nil"/>
              <w:bottom w:val="nil"/>
              <w:right w:val="single" w:sz="8" w:space="0" w:color="auto"/>
            </w:tcBorders>
            <w:shd w:val="clear" w:color="auto" w:fill="auto"/>
            <w:noWrap/>
            <w:vAlign w:val="center"/>
            <w:hideMark/>
          </w:tcPr>
          <w:p w14:paraId="498A016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#DIV/0!</w:t>
            </w:r>
          </w:p>
        </w:tc>
      </w:tr>
      <w:tr w:rsidR="00252879" w:rsidRPr="00252879" w14:paraId="12045B27" w14:textId="77777777" w:rsidTr="002D7F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019F4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4C48CBD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56" w:type="dxa"/>
            <w:tcBorders>
              <w:top w:val="nil"/>
              <w:left w:val="nil"/>
              <w:bottom w:val="single" w:sz="8" w:space="0" w:color="auto"/>
              <w:right w:val="nil"/>
            </w:tcBorders>
            <w:shd w:val="clear" w:color="auto" w:fill="auto"/>
            <w:noWrap/>
            <w:vAlign w:val="center"/>
            <w:hideMark/>
          </w:tcPr>
          <w:p w14:paraId="1FC1283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56" w:type="dxa"/>
            <w:tcBorders>
              <w:top w:val="nil"/>
              <w:left w:val="nil"/>
              <w:bottom w:val="single" w:sz="8" w:space="0" w:color="auto"/>
              <w:right w:val="single" w:sz="4" w:space="0" w:color="auto"/>
            </w:tcBorders>
            <w:shd w:val="clear" w:color="auto" w:fill="auto"/>
            <w:noWrap/>
            <w:vAlign w:val="center"/>
            <w:hideMark/>
          </w:tcPr>
          <w:p w14:paraId="50316EE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86" w:type="dxa"/>
            <w:tcBorders>
              <w:top w:val="nil"/>
              <w:left w:val="nil"/>
              <w:bottom w:val="single" w:sz="8" w:space="0" w:color="auto"/>
              <w:right w:val="nil"/>
            </w:tcBorders>
            <w:shd w:val="clear" w:color="auto" w:fill="auto"/>
            <w:noWrap/>
            <w:vAlign w:val="center"/>
            <w:hideMark/>
          </w:tcPr>
          <w:p w14:paraId="13792782"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946" w:type="dxa"/>
            <w:tcBorders>
              <w:top w:val="nil"/>
              <w:left w:val="nil"/>
              <w:bottom w:val="single" w:sz="8" w:space="0" w:color="auto"/>
              <w:right w:val="single" w:sz="8" w:space="0" w:color="auto"/>
            </w:tcBorders>
            <w:shd w:val="clear" w:color="auto" w:fill="auto"/>
            <w:noWrap/>
            <w:vAlign w:val="center"/>
            <w:hideMark/>
          </w:tcPr>
          <w:p w14:paraId="29ED5C8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#DIV/0!</w:t>
            </w:r>
          </w:p>
        </w:tc>
      </w:tr>
    </w:tbl>
    <w:p w14:paraId="543385ED" w14:textId="2C28084A" w:rsidR="00252879" w:rsidRDefault="00252879" w:rsidP="003176E5">
      <w:pPr>
        <w:jc w:val="center"/>
      </w:pPr>
      <w:bookmarkStart w:id="0" w:name="_GoBack"/>
      <w:bookmarkEnd w:id="0"/>
    </w:p>
    <w:p w14:paraId="3AA309B7" w14:textId="4C4BC9BF" w:rsidR="00252879" w:rsidRPr="00067150" w:rsidRDefault="00252879" w:rsidP="00252879">
      <w:r w:rsidRPr="00067150">
        <w:t xml:space="preserve">For </w:t>
      </w:r>
      <w:r>
        <w:t>comparison</w:t>
      </w:r>
      <w:r w:rsidRPr="00067150">
        <w:t xml:space="preserve"> purpose, </w:t>
      </w:r>
      <w:r>
        <w:t xml:space="preserve">the simulation results of </w:t>
      </w:r>
      <w:r w:rsidRPr="00067150">
        <w:t>[</w:t>
      </w:r>
      <w:r>
        <w:t>1</w:t>
      </w:r>
      <w:r w:rsidRPr="00067150">
        <w:t xml:space="preserve">] </w:t>
      </w:r>
      <w:r>
        <w:t xml:space="preserve">are presented in Table 2. As seen, the overall performance without forcing intra area per GDR picture is increased by </w:t>
      </w:r>
      <w:r w:rsidRPr="002D74E1">
        <w:rPr>
          <w:highlight w:val="yellow"/>
        </w:rPr>
        <w:t>xxx%</w:t>
      </w:r>
      <w:r>
        <w:t>.</w:t>
      </w:r>
    </w:p>
    <w:p w14:paraId="16D2CF95" w14:textId="087AA470" w:rsidR="00252879" w:rsidRDefault="00FD1654" w:rsidP="003176E5">
      <w:pPr>
        <w:jc w:val="center"/>
      </w:pPr>
      <w:r>
        <w:t>Table 2. Simulations Results of [1]</w:t>
      </w:r>
    </w:p>
    <w:tbl>
      <w:tblPr>
        <w:tblW w:w="6940" w:type="dxa"/>
        <w:jc w:val="center"/>
        <w:tblLook w:val="04A0" w:firstRow="1" w:lastRow="0" w:firstColumn="1" w:lastColumn="0" w:noHBand="0" w:noVBand="1"/>
      </w:tblPr>
      <w:tblGrid>
        <w:gridCol w:w="1640"/>
        <w:gridCol w:w="1170"/>
        <w:gridCol w:w="1169"/>
        <w:gridCol w:w="1169"/>
        <w:gridCol w:w="896"/>
        <w:gridCol w:w="896"/>
      </w:tblGrid>
      <w:tr w:rsidR="00252879" w:rsidRPr="00252879" w14:paraId="4C7387C5"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1EDC4CF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806371" w14:textId="1AE5DFDA"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Low delay B Main10</w:t>
            </w:r>
          </w:p>
        </w:tc>
      </w:tr>
      <w:tr w:rsidR="00252879" w:rsidRPr="00252879" w14:paraId="74FF732E"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072C605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79BAC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Over VTM7.0 GDR Anchor vs VTM 7.0 GDR2</w:t>
            </w:r>
          </w:p>
        </w:tc>
      </w:tr>
      <w:tr w:rsidR="00252879" w:rsidRPr="00252879" w14:paraId="5079F174" w14:textId="77777777" w:rsidTr="002D7F7D">
        <w:trPr>
          <w:trHeight w:val="255"/>
          <w:jc w:val="center"/>
        </w:trPr>
        <w:tc>
          <w:tcPr>
            <w:tcW w:w="1640" w:type="dxa"/>
            <w:tcBorders>
              <w:top w:val="nil"/>
              <w:left w:val="nil"/>
              <w:bottom w:val="nil"/>
              <w:right w:val="nil"/>
            </w:tcBorders>
            <w:shd w:val="clear" w:color="auto" w:fill="auto"/>
            <w:noWrap/>
            <w:vAlign w:val="center"/>
            <w:hideMark/>
          </w:tcPr>
          <w:p w14:paraId="06F2947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3364A5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74CD919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D562B7D"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DCF1CB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52879">
              <w:rPr>
                <w:rFonts w:ascii="Arial"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D8DB58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52879">
              <w:rPr>
                <w:rFonts w:ascii="Arial" w:hAnsi="Arial" w:cs="Arial"/>
                <w:color w:val="000000"/>
                <w:sz w:val="18"/>
                <w:szCs w:val="18"/>
                <w:lang w:eastAsia="zh-CN"/>
              </w:rPr>
              <w:t>DecT</w:t>
            </w:r>
            <w:proofErr w:type="spellEnd"/>
          </w:p>
        </w:tc>
      </w:tr>
      <w:tr w:rsidR="00252879" w:rsidRPr="00252879" w14:paraId="20653239" w14:textId="77777777" w:rsidTr="002D7F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30E12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7B3B8D14" w14:textId="7FC96A6F"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36A043B5" w14:textId="6D052606"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D5251F1" w14:textId="79909E33"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hideMark/>
          </w:tcPr>
          <w:p w14:paraId="1A1E6691" w14:textId="3C120BA1"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hideMark/>
          </w:tcPr>
          <w:p w14:paraId="1B517E41" w14:textId="1B54F822"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52879" w:rsidRPr="00252879" w14:paraId="69C2E34A"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4676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0C40E60B" w14:textId="25BFDF42"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30C5E9D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33A9DA7E" w14:textId="4CE4B593"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hideMark/>
          </w:tcPr>
          <w:p w14:paraId="162FDC62" w14:textId="7D16B6FE"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hideMark/>
          </w:tcPr>
          <w:p w14:paraId="45264F74" w14:textId="6B77325F"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52879" w:rsidRPr="00252879" w14:paraId="2840B45D"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6790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4BADF80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nil"/>
              <w:left w:val="nil"/>
              <w:bottom w:val="nil"/>
              <w:right w:val="nil"/>
            </w:tcBorders>
            <w:shd w:val="clear" w:color="auto" w:fill="auto"/>
            <w:noWrap/>
            <w:vAlign w:val="center"/>
            <w:hideMark/>
          </w:tcPr>
          <w:p w14:paraId="6C101EF2"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nil"/>
              <w:left w:val="nil"/>
              <w:bottom w:val="nil"/>
              <w:right w:val="single" w:sz="4" w:space="0" w:color="auto"/>
            </w:tcBorders>
            <w:shd w:val="clear" w:color="auto" w:fill="auto"/>
            <w:noWrap/>
            <w:vAlign w:val="center"/>
            <w:hideMark/>
          </w:tcPr>
          <w:p w14:paraId="418008E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96" w:type="dxa"/>
            <w:tcBorders>
              <w:top w:val="nil"/>
              <w:left w:val="nil"/>
              <w:bottom w:val="nil"/>
              <w:right w:val="nil"/>
            </w:tcBorders>
            <w:shd w:val="clear" w:color="auto" w:fill="auto"/>
            <w:noWrap/>
            <w:vAlign w:val="center"/>
            <w:hideMark/>
          </w:tcPr>
          <w:p w14:paraId="67E32BD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896" w:type="dxa"/>
            <w:tcBorders>
              <w:top w:val="nil"/>
              <w:left w:val="nil"/>
              <w:bottom w:val="nil"/>
              <w:right w:val="single" w:sz="8" w:space="0" w:color="auto"/>
            </w:tcBorders>
            <w:shd w:val="clear" w:color="auto" w:fill="auto"/>
            <w:noWrap/>
            <w:vAlign w:val="center"/>
            <w:hideMark/>
          </w:tcPr>
          <w:p w14:paraId="111686DE"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024BEC98"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412B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155F333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2.24%</w:t>
            </w:r>
          </w:p>
        </w:tc>
        <w:tc>
          <w:tcPr>
            <w:tcW w:w="1169" w:type="dxa"/>
            <w:tcBorders>
              <w:top w:val="nil"/>
              <w:left w:val="nil"/>
              <w:bottom w:val="nil"/>
              <w:right w:val="nil"/>
            </w:tcBorders>
            <w:shd w:val="clear" w:color="000000" w:fill="FFC7CE"/>
            <w:noWrap/>
            <w:vAlign w:val="center"/>
            <w:hideMark/>
          </w:tcPr>
          <w:p w14:paraId="003D00C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3.41%</w:t>
            </w:r>
          </w:p>
        </w:tc>
        <w:tc>
          <w:tcPr>
            <w:tcW w:w="1169" w:type="dxa"/>
            <w:tcBorders>
              <w:top w:val="nil"/>
              <w:left w:val="nil"/>
              <w:bottom w:val="nil"/>
              <w:right w:val="single" w:sz="4" w:space="0" w:color="auto"/>
            </w:tcBorders>
            <w:shd w:val="clear" w:color="000000" w:fill="FFC7CE"/>
            <w:noWrap/>
            <w:vAlign w:val="center"/>
            <w:hideMark/>
          </w:tcPr>
          <w:p w14:paraId="3F52A6E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3.99%</w:t>
            </w:r>
          </w:p>
        </w:tc>
        <w:tc>
          <w:tcPr>
            <w:tcW w:w="896" w:type="dxa"/>
            <w:tcBorders>
              <w:top w:val="nil"/>
              <w:left w:val="nil"/>
              <w:bottom w:val="nil"/>
              <w:right w:val="nil"/>
            </w:tcBorders>
            <w:shd w:val="clear" w:color="auto" w:fill="auto"/>
            <w:noWrap/>
            <w:vAlign w:val="center"/>
            <w:hideMark/>
          </w:tcPr>
          <w:p w14:paraId="60DAE8D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99%</w:t>
            </w:r>
          </w:p>
        </w:tc>
        <w:tc>
          <w:tcPr>
            <w:tcW w:w="896" w:type="dxa"/>
            <w:tcBorders>
              <w:top w:val="nil"/>
              <w:left w:val="nil"/>
              <w:bottom w:val="nil"/>
              <w:right w:val="single" w:sz="8" w:space="0" w:color="auto"/>
            </w:tcBorders>
            <w:shd w:val="clear" w:color="auto" w:fill="auto"/>
            <w:noWrap/>
            <w:vAlign w:val="center"/>
            <w:hideMark/>
          </w:tcPr>
          <w:p w14:paraId="4923ED1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2FE1C6D7" w14:textId="77777777" w:rsidTr="002D7F7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0372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E</w:t>
            </w:r>
          </w:p>
        </w:tc>
        <w:tc>
          <w:tcPr>
            <w:tcW w:w="1170" w:type="dxa"/>
            <w:tcBorders>
              <w:top w:val="nil"/>
              <w:left w:val="single" w:sz="8" w:space="0" w:color="auto"/>
              <w:bottom w:val="nil"/>
              <w:right w:val="nil"/>
            </w:tcBorders>
            <w:shd w:val="clear" w:color="000000" w:fill="FFC7CE"/>
            <w:noWrap/>
            <w:vAlign w:val="center"/>
            <w:hideMark/>
          </w:tcPr>
          <w:p w14:paraId="2A105B90"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7.49%</w:t>
            </w:r>
          </w:p>
        </w:tc>
        <w:tc>
          <w:tcPr>
            <w:tcW w:w="1169" w:type="dxa"/>
            <w:tcBorders>
              <w:top w:val="nil"/>
              <w:left w:val="nil"/>
              <w:bottom w:val="nil"/>
              <w:right w:val="nil"/>
            </w:tcBorders>
            <w:shd w:val="clear" w:color="000000" w:fill="FFC7CE"/>
            <w:noWrap/>
            <w:vAlign w:val="center"/>
            <w:hideMark/>
          </w:tcPr>
          <w:p w14:paraId="50957AFA"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11.34%</w:t>
            </w:r>
          </w:p>
        </w:tc>
        <w:tc>
          <w:tcPr>
            <w:tcW w:w="1169" w:type="dxa"/>
            <w:tcBorders>
              <w:top w:val="nil"/>
              <w:left w:val="nil"/>
              <w:bottom w:val="nil"/>
              <w:right w:val="single" w:sz="4" w:space="0" w:color="auto"/>
            </w:tcBorders>
            <w:shd w:val="clear" w:color="000000" w:fill="FFC7CE"/>
            <w:noWrap/>
            <w:vAlign w:val="center"/>
            <w:hideMark/>
          </w:tcPr>
          <w:p w14:paraId="119BB69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13.38%</w:t>
            </w:r>
          </w:p>
        </w:tc>
        <w:tc>
          <w:tcPr>
            <w:tcW w:w="896" w:type="dxa"/>
            <w:tcBorders>
              <w:top w:val="nil"/>
              <w:left w:val="nil"/>
              <w:bottom w:val="nil"/>
              <w:right w:val="nil"/>
            </w:tcBorders>
            <w:shd w:val="clear" w:color="auto" w:fill="auto"/>
            <w:noWrap/>
            <w:vAlign w:val="center"/>
            <w:hideMark/>
          </w:tcPr>
          <w:p w14:paraId="1DB89CA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4E5F0F7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6F91E8C9" w14:textId="77777777" w:rsidTr="002D7F7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95E1D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2879">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28052C9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single" w:sz="8" w:space="0" w:color="auto"/>
              <w:left w:val="nil"/>
              <w:bottom w:val="nil"/>
              <w:right w:val="nil"/>
            </w:tcBorders>
            <w:shd w:val="clear" w:color="auto" w:fill="auto"/>
            <w:noWrap/>
            <w:vAlign w:val="center"/>
            <w:hideMark/>
          </w:tcPr>
          <w:p w14:paraId="698BE3D5"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6B059D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#VALUE!</w:t>
            </w:r>
          </w:p>
        </w:tc>
        <w:tc>
          <w:tcPr>
            <w:tcW w:w="896" w:type="dxa"/>
            <w:tcBorders>
              <w:top w:val="single" w:sz="8" w:space="0" w:color="auto"/>
              <w:left w:val="nil"/>
              <w:bottom w:val="nil"/>
              <w:right w:val="nil"/>
            </w:tcBorders>
            <w:shd w:val="clear" w:color="auto" w:fill="auto"/>
            <w:noWrap/>
            <w:vAlign w:val="center"/>
            <w:hideMark/>
          </w:tcPr>
          <w:p w14:paraId="26726EE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F168FA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6A5C010B" w14:textId="77777777" w:rsidTr="002D7F7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C4F2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696110B"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2.80%</w:t>
            </w:r>
          </w:p>
        </w:tc>
        <w:tc>
          <w:tcPr>
            <w:tcW w:w="1169" w:type="dxa"/>
            <w:tcBorders>
              <w:top w:val="single" w:sz="8" w:space="0" w:color="auto"/>
              <w:left w:val="nil"/>
              <w:bottom w:val="nil"/>
              <w:right w:val="nil"/>
            </w:tcBorders>
            <w:shd w:val="clear" w:color="000000" w:fill="FFC7CE"/>
            <w:noWrap/>
            <w:vAlign w:val="center"/>
            <w:hideMark/>
          </w:tcPr>
          <w:p w14:paraId="0618A678"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5.68%</w:t>
            </w:r>
          </w:p>
        </w:tc>
        <w:tc>
          <w:tcPr>
            <w:tcW w:w="1169" w:type="dxa"/>
            <w:tcBorders>
              <w:top w:val="single" w:sz="8" w:space="0" w:color="auto"/>
              <w:left w:val="nil"/>
              <w:bottom w:val="nil"/>
              <w:right w:val="single" w:sz="4" w:space="0" w:color="auto"/>
            </w:tcBorders>
            <w:shd w:val="clear" w:color="000000" w:fill="FFC7CE"/>
            <w:noWrap/>
            <w:vAlign w:val="center"/>
            <w:hideMark/>
          </w:tcPr>
          <w:p w14:paraId="7AB70A67"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6.27%</w:t>
            </w:r>
          </w:p>
        </w:tc>
        <w:tc>
          <w:tcPr>
            <w:tcW w:w="896" w:type="dxa"/>
            <w:tcBorders>
              <w:top w:val="single" w:sz="8" w:space="0" w:color="auto"/>
              <w:left w:val="nil"/>
              <w:bottom w:val="nil"/>
              <w:right w:val="nil"/>
            </w:tcBorders>
            <w:shd w:val="clear" w:color="auto" w:fill="auto"/>
            <w:noWrap/>
            <w:vAlign w:val="center"/>
            <w:hideMark/>
          </w:tcPr>
          <w:p w14:paraId="5B17163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98%</w:t>
            </w:r>
          </w:p>
        </w:tc>
        <w:tc>
          <w:tcPr>
            <w:tcW w:w="896" w:type="dxa"/>
            <w:tcBorders>
              <w:top w:val="single" w:sz="8" w:space="0" w:color="auto"/>
              <w:left w:val="nil"/>
              <w:bottom w:val="nil"/>
              <w:right w:val="single" w:sz="8" w:space="0" w:color="auto"/>
            </w:tcBorders>
            <w:shd w:val="clear" w:color="auto" w:fill="auto"/>
            <w:noWrap/>
            <w:vAlign w:val="center"/>
            <w:hideMark/>
          </w:tcPr>
          <w:p w14:paraId="1FBB2A8C"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r w:rsidR="00252879" w:rsidRPr="00252879" w14:paraId="464FF02F" w14:textId="77777777" w:rsidTr="002D7F7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A0E81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000000" w:fill="FFC7CE"/>
            <w:noWrap/>
            <w:vAlign w:val="center"/>
            <w:hideMark/>
          </w:tcPr>
          <w:p w14:paraId="45F3FC04"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9.64%</w:t>
            </w:r>
          </w:p>
        </w:tc>
        <w:tc>
          <w:tcPr>
            <w:tcW w:w="1169" w:type="dxa"/>
            <w:tcBorders>
              <w:top w:val="nil"/>
              <w:left w:val="nil"/>
              <w:bottom w:val="single" w:sz="8" w:space="0" w:color="auto"/>
              <w:right w:val="nil"/>
            </w:tcBorders>
            <w:shd w:val="clear" w:color="000000" w:fill="FFC7CE"/>
            <w:noWrap/>
            <w:vAlign w:val="center"/>
            <w:hideMark/>
          </w:tcPr>
          <w:p w14:paraId="3C17FA7F"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11.51%</w:t>
            </w:r>
          </w:p>
        </w:tc>
        <w:tc>
          <w:tcPr>
            <w:tcW w:w="1169" w:type="dxa"/>
            <w:tcBorders>
              <w:top w:val="nil"/>
              <w:left w:val="nil"/>
              <w:bottom w:val="single" w:sz="8" w:space="0" w:color="auto"/>
              <w:right w:val="single" w:sz="4" w:space="0" w:color="auto"/>
            </w:tcBorders>
            <w:shd w:val="clear" w:color="000000" w:fill="FFC7CE"/>
            <w:noWrap/>
            <w:vAlign w:val="center"/>
            <w:hideMark/>
          </w:tcPr>
          <w:p w14:paraId="7EF1BA31"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252879">
              <w:rPr>
                <w:rFonts w:ascii="Arial" w:hAnsi="Arial" w:cs="Arial"/>
                <w:sz w:val="18"/>
                <w:szCs w:val="18"/>
                <w:lang w:eastAsia="zh-CN"/>
              </w:rPr>
              <w:t>12.42%</w:t>
            </w:r>
          </w:p>
        </w:tc>
        <w:tc>
          <w:tcPr>
            <w:tcW w:w="896" w:type="dxa"/>
            <w:tcBorders>
              <w:top w:val="nil"/>
              <w:left w:val="nil"/>
              <w:bottom w:val="single" w:sz="8" w:space="0" w:color="auto"/>
              <w:right w:val="nil"/>
            </w:tcBorders>
            <w:shd w:val="clear" w:color="auto" w:fill="auto"/>
            <w:noWrap/>
            <w:vAlign w:val="center"/>
            <w:hideMark/>
          </w:tcPr>
          <w:p w14:paraId="1A80E4C3"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99%</w:t>
            </w:r>
          </w:p>
        </w:tc>
        <w:tc>
          <w:tcPr>
            <w:tcW w:w="896" w:type="dxa"/>
            <w:tcBorders>
              <w:top w:val="nil"/>
              <w:left w:val="nil"/>
              <w:bottom w:val="single" w:sz="8" w:space="0" w:color="auto"/>
              <w:right w:val="single" w:sz="8" w:space="0" w:color="auto"/>
            </w:tcBorders>
            <w:shd w:val="clear" w:color="auto" w:fill="auto"/>
            <w:noWrap/>
            <w:vAlign w:val="center"/>
            <w:hideMark/>
          </w:tcPr>
          <w:p w14:paraId="5DD4C329" w14:textId="77777777" w:rsidR="00252879" w:rsidRPr="00252879" w:rsidRDefault="00252879" w:rsidP="002528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2879">
              <w:rPr>
                <w:rFonts w:ascii="Arial" w:hAnsi="Arial" w:cs="Arial"/>
                <w:color w:val="000000"/>
                <w:sz w:val="18"/>
                <w:szCs w:val="18"/>
                <w:lang w:eastAsia="zh-CN"/>
              </w:rPr>
              <w:t>#NUM!</w:t>
            </w:r>
          </w:p>
        </w:tc>
      </w:tr>
    </w:tbl>
    <w:p w14:paraId="65C9C38C" w14:textId="77777777" w:rsidR="00252879" w:rsidRDefault="00252879" w:rsidP="00252879">
      <w:pPr>
        <w:jc w:val="center"/>
      </w:pPr>
    </w:p>
    <w:p w14:paraId="1034C135" w14:textId="0771E7AD" w:rsidR="003C3AA0" w:rsidRPr="00067150" w:rsidRDefault="003C3AA0" w:rsidP="003C3AA0">
      <w:pPr>
        <w:pStyle w:val="Heading1"/>
        <w:rPr>
          <w:lang w:val="en-CA"/>
        </w:rPr>
      </w:pPr>
      <w:r w:rsidRPr="00067150">
        <w:rPr>
          <w:lang w:val="en-CA"/>
        </w:rPr>
        <w:t>Conclusions</w:t>
      </w:r>
    </w:p>
    <w:p w14:paraId="4CAE77ED" w14:textId="77777777" w:rsidR="00DB1A40" w:rsidRDefault="0057153D" w:rsidP="0057153D">
      <w:r w:rsidRPr="00067150">
        <w:t xml:space="preserve">The </w:t>
      </w:r>
      <w:r w:rsidR="00DB1A40">
        <w:t>contribution presents a</w:t>
      </w:r>
      <w:r w:rsidRPr="00067150">
        <w:t xml:space="preserve"> GDR </w:t>
      </w:r>
      <w:r w:rsidR="00DB1A40">
        <w:t xml:space="preserve">implementation without forcing intra area per GDR picture. As compared to GDR with forcing intra area per GDR picture, the overall performance is increased by </w:t>
      </w:r>
      <w:r w:rsidR="00DB1A40" w:rsidRPr="002D74E1">
        <w:rPr>
          <w:highlight w:val="yellow"/>
        </w:rPr>
        <w:t>xxx</w:t>
      </w:r>
      <w:r w:rsidR="00DB1A40">
        <w:t>%.</w:t>
      </w:r>
    </w:p>
    <w:p w14:paraId="65B82390" w14:textId="0234835C" w:rsidR="009B5503" w:rsidRPr="00067150" w:rsidRDefault="009B5503" w:rsidP="00E11923">
      <w:pPr>
        <w:pStyle w:val="Heading1"/>
        <w:rPr>
          <w:lang w:val="en-CA"/>
        </w:rPr>
      </w:pPr>
      <w:r w:rsidRPr="00067150">
        <w:rPr>
          <w:lang w:val="en-CA"/>
        </w:rPr>
        <w:t xml:space="preserve">References </w:t>
      </w:r>
    </w:p>
    <w:p w14:paraId="414FC6C2" w14:textId="5E625046" w:rsidR="003176E5" w:rsidRPr="00133B42" w:rsidRDefault="008A1A1D" w:rsidP="003176E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noProof/>
          <w:lang w:val="en-CA"/>
        </w:rPr>
        <w:t xml:space="preserve">L. Wang, S. Hong and K. Panusopone, </w:t>
      </w:r>
      <w:r w:rsidR="003176E5" w:rsidRPr="00D55D3D">
        <w:rPr>
          <w:noProof/>
          <w:lang w:val="en-CA"/>
        </w:rPr>
        <w:t>“</w:t>
      </w:r>
      <w:r w:rsidR="00161776">
        <w:rPr>
          <w:noProof/>
          <w:lang w:val="en-CA"/>
        </w:rPr>
        <w:t>AHG9: Gradual Decoding Refresh for VVC</w:t>
      </w:r>
      <w:r w:rsidR="003176E5" w:rsidRPr="00D55D3D">
        <w:rPr>
          <w:noProof/>
          <w:lang w:val="en-CA"/>
        </w:rPr>
        <w:t>”, JVET</w:t>
      </w:r>
      <w:r w:rsidR="003176E5" w:rsidRPr="008F7A3E">
        <w:rPr>
          <w:noProof/>
          <w:lang w:val="en-CA"/>
        </w:rPr>
        <w:t>-</w:t>
      </w:r>
      <w:r w:rsidR="00161776">
        <w:rPr>
          <w:noProof/>
          <w:lang w:val="en-CA"/>
        </w:rPr>
        <w:t>Q0527</w:t>
      </w:r>
      <w:r w:rsidR="003176E5" w:rsidRPr="008F7A3E">
        <w:rPr>
          <w:noProof/>
          <w:lang w:val="en-CA"/>
        </w:rPr>
        <w:t>,</w:t>
      </w:r>
      <w:r w:rsidR="00161776">
        <w:rPr>
          <w:noProof/>
          <w:lang w:val="en-CA"/>
        </w:rPr>
        <w:t xml:space="preserve"> Jan 2020</w:t>
      </w:r>
      <w:r w:rsidR="003176E5" w:rsidRPr="008F7A3E">
        <w:rPr>
          <w:noProof/>
          <w:lang w:val="en-CA"/>
        </w:rPr>
        <w:t>.</w:t>
      </w:r>
    </w:p>
    <w:p w14:paraId="7CAE81F1" w14:textId="58823FDC" w:rsidR="00133B42" w:rsidRPr="008F7A3E" w:rsidRDefault="00133B42" w:rsidP="00133B4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7A3E">
        <w:rPr>
          <w:noProof/>
          <w:lang w:val="en-CA"/>
        </w:rPr>
        <w:t>B</w:t>
      </w:r>
      <w:r>
        <w:rPr>
          <w:noProof/>
          <w:lang w:val="en-CA"/>
        </w:rPr>
        <w:t xml:space="preserve">. </w:t>
      </w:r>
      <w:r w:rsidRPr="008F7A3E">
        <w:rPr>
          <w:noProof/>
          <w:lang w:val="en-CA"/>
        </w:rPr>
        <w:t>Bross, J</w:t>
      </w:r>
      <w:r>
        <w:rPr>
          <w:noProof/>
          <w:lang w:val="en-CA"/>
        </w:rPr>
        <w:t xml:space="preserve">. </w:t>
      </w:r>
      <w:r w:rsidRPr="008F7A3E">
        <w:rPr>
          <w:noProof/>
          <w:lang w:val="en-CA"/>
        </w:rPr>
        <w:t>Chen,  S</w:t>
      </w:r>
      <w:r>
        <w:rPr>
          <w:noProof/>
          <w:lang w:val="en-CA"/>
        </w:rPr>
        <w:t xml:space="preserve">. </w:t>
      </w:r>
      <w:r w:rsidRPr="008F7A3E">
        <w:rPr>
          <w:noProof/>
          <w:lang w:val="en-CA"/>
        </w:rPr>
        <w:t>Liu,  and Y</w:t>
      </w:r>
      <w:r>
        <w:rPr>
          <w:noProof/>
          <w:lang w:val="en-CA"/>
        </w:rPr>
        <w:t>.</w:t>
      </w:r>
      <w:r w:rsidRPr="008F7A3E">
        <w:rPr>
          <w:noProof/>
          <w:lang w:val="en-CA"/>
        </w:rPr>
        <w:t>-K</w:t>
      </w:r>
      <w:r>
        <w:rPr>
          <w:noProof/>
          <w:lang w:val="en-CA"/>
        </w:rPr>
        <w:t>.</w:t>
      </w:r>
      <w:r w:rsidRPr="008F7A3E">
        <w:rPr>
          <w:noProof/>
          <w:lang w:val="en-CA"/>
        </w:rPr>
        <w:t xml:space="preserve"> </w:t>
      </w:r>
      <w:r w:rsidRPr="00D55D3D">
        <w:rPr>
          <w:noProof/>
          <w:lang w:val="en-CA"/>
        </w:rPr>
        <w:t>Wang, “Versatile Video Coding”, JVET</w:t>
      </w:r>
      <w:r w:rsidRPr="008F7A3E">
        <w:rPr>
          <w:noProof/>
          <w:lang w:val="en-CA"/>
        </w:rPr>
        <w:t>-P2001-v</w:t>
      </w:r>
      <w:r>
        <w:rPr>
          <w:noProof/>
          <w:lang w:val="en-CA"/>
        </w:rPr>
        <w:t>14</w:t>
      </w:r>
      <w:r w:rsidRPr="008F7A3E">
        <w:rPr>
          <w:noProof/>
          <w:lang w:val="en-CA"/>
        </w:rPr>
        <w:t>, Oct 2019.</w:t>
      </w:r>
    </w:p>
    <w:p w14:paraId="75E581BB" w14:textId="07EA3023" w:rsidR="00B92CFB" w:rsidRPr="00B92CFB" w:rsidRDefault="003176E5" w:rsidP="00B92CFB">
      <w:pPr>
        <w:numPr>
          <w:ilvl w:val="0"/>
          <w:numId w:val="22"/>
        </w:numPr>
        <w:rPr>
          <w:lang w:eastAsia="zh-CN"/>
        </w:rPr>
      </w:pPr>
      <w:r>
        <w:rPr>
          <w:szCs w:val="22"/>
          <w:lang w:val="en-CA"/>
        </w:rPr>
        <w:t>K</w:t>
      </w:r>
      <w:r w:rsidRPr="00B92CFB">
        <w:rPr>
          <w:szCs w:val="22"/>
          <w:lang w:val="en-CA"/>
        </w:rPr>
        <w:t xml:space="preserve">. </w:t>
      </w:r>
      <w:proofErr w:type="spellStart"/>
      <w:r w:rsidRPr="00B92CFB">
        <w:rPr>
          <w:szCs w:val="22"/>
          <w:lang w:val="en-CA"/>
        </w:rPr>
        <w:t>Kazui</w:t>
      </w:r>
      <w:proofErr w:type="spellEnd"/>
      <w:r w:rsidRPr="00B92CFB">
        <w:rPr>
          <w:szCs w:val="22"/>
          <w:lang w:val="en-CA"/>
        </w:rPr>
        <w:t>, J.M Thiesse, H</w:t>
      </w:r>
      <w:r w:rsidR="00BE3EF2">
        <w:rPr>
          <w:szCs w:val="22"/>
          <w:lang w:val="en-CA"/>
        </w:rPr>
        <w:t>e</w:t>
      </w:r>
      <w:r w:rsidRPr="00B92CFB">
        <w:rPr>
          <w:szCs w:val="22"/>
          <w:lang w:val="en-CA"/>
        </w:rPr>
        <w:t>ndry, L. Wang and K. Kawamura, “Description of Core Experiment 2 (CE</w:t>
      </w:r>
      <w:r w:rsidRPr="00B92CFB">
        <w:rPr>
          <w:rFonts w:hint="eastAsia"/>
          <w:szCs w:val="22"/>
          <w:lang w:val="en-CA" w:eastAsia="ja-JP"/>
        </w:rPr>
        <w:t>2</w:t>
      </w:r>
      <w:r w:rsidRPr="00B92CFB">
        <w:rPr>
          <w:szCs w:val="22"/>
          <w:lang w:val="en-CA"/>
        </w:rPr>
        <w:t>): Gradual decoding refresh”, JVET-O2022, July 2019.</w:t>
      </w:r>
      <w:r w:rsidR="00B92CFB" w:rsidRPr="00B92CFB">
        <w:rPr>
          <w:szCs w:val="22"/>
          <w:lang w:val="en-CA"/>
        </w:rPr>
        <w:t xml:space="preserve"> </w:t>
      </w:r>
    </w:p>
    <w:p w14:paraId="4FCD79AC" w14:textId="02C4C026" w:rsidR="00B92CFB" w:rsidRPr="00B92CFB" w:rsidRDefault="00B92CFB" w:rsidP="00B92CFB">
      <w:pPr>
        <w:numPr>
          <w:ilvl w:val="0"/>
          <w:numId w:val="22"/>
        </w:numPr>
        <w:rPr>
          <w:lang w:eastAsia="zh-CN"/>
        </w:rPr>
      </w:pPr>
      <w:r w:rsidRPr="00B92CFB">
        <w:rPr>
          <w:szCs w:val="22"/>
          <w:lang w:val="en-CA"/>
        </w:rPr>
        <w:t xml:space="preserve">K. </w:t>
      </w:r>
      <w:proofErr w:type="spellStart"/>
      <w:r w:rsidRPr="00B92CFB">
        <w:rPr>
          <w:szCs w:val="22"/>
          <w:lang w:val="en-CA"/>
        </w:rPr>
        <w:t>Kazui</w:t>
      </w:r>
      <w:proofErr w:type="spellEnd"/>
      <w:r w:rsidRPr="00B92CFB">
        <w:rPr>
          <w:szCs w:val="22"/>
          <w:lang w:val="en-CA"/>
        </w:rPr>
        <w:t>, J.M Thiesse, H</w:t>
      </w:r>
      <w:r w:rsidR="003C23D8">
        <w:rPr>
          <w:szCs w:val="22"/>
          <w:lang w:val="en-CA"/>
        </w:rPr>
        <w:t>e</w:t>
      </w:r>
      <w:r w:rsidRPr="00B92CFB">
        <w:rPr>
          <w:szCs w:val="22"/>
          <w:lang w:val="en-CA"/>
        </w:rPr>
        <w:t xml:space="preserve">ndry, L. Wang and K. Kawamura, “CE2: Summary Report </w:t>
      </w:r>
      <w:r w:rsidRPr="00B92CFB">
        <w:rPr>
          <w:rFonts w:hint="eastAsia"/>
          <w:szCs w:val="22"/>
          <w:lang w:val="en-CA" w:eastAsia="ja-JP"/>
        </w:rPr>
        <w:t>o</w:t>
      </w:r>
      <w:r w:rsidRPr="00B92CFB">
        <w:rPr>
          <w:szCs w:val="22"/>
          <w:lang w:val="en-CA" w:eastAsia="ja-JP"/>
        </w:rPr>
        <w:t xml:space="preserve">n </w:t>
      </w:r>
      <w:r w:rsidRPr="00B92CFB">
        <w:rPr>
          <w:szCs w:val="22"/>
          <w:lang w:val="en-CA"/>
        </w:rPr>
        <w:t>Gradual Decoding Refresh”, JVET-P0022, Oct</w:t>
      </w:r>
      <w:r w:rsidR="00BE3EF2">
        <w:rPr>
          <w:szCs w:val="22"/>
          <w:lang w:val="en-CA"/>
        </w:rPr>
        <w:t>.</w:t>
      </w:r>
      <w:r w:rsidRPr="00B92CFB">
        <w:rPr>
          <w:szCs w:val="22"/>
          <w:lang w:val="en-CA"/>
        </w:rPr>
        <w:t xml:space="preserve"> 2019.</w:t>
      </w:r>
    </w:p>
    <w:p w14:paraId="5F0CF8E4" w14:textId="1C578C9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A13B3" w14:textId="77777777" w:rsidR="00BD06A4" w:rsidRDefault="00BD06A4">
      <w:r>
        <w:separator/>
      </w:r>
    </w:p>
  </w:endnote>
  <w:endnote w:type="continuationSeparator" w:id="0">
    <w:p w14:paraId="06FE4881" w14:textId="77777777" w:rsidR="00BD06A4" w:rsidRDefault="00BD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C9A1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74E1">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EF2DD" w14:textId="77777777" w:rsidR="00BD06A4" w:rsidRDefault="00BD06A4">
      <w:r>
        <w:separator/>
      </w:r>
    </w:p>
  </w:footnote>
  <w:footnote w:type="continuationSeparator" w:id="0">
    <w:p w14:paraId="0707DBAE" w14:textId="77777777" w:rsidR="00BD06A4" w:rsidRDefault="00BD0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37D8D"/>
    <w:multiLevelType w:val="hybridMultilevel"/>
    <w:tmpl w:val="A5FC5136"/>
    <w:lvl w:ilvl="0" w:tplc="DC4A9832">
      <w:start w:val="1"/>
      <w:numFmt w:val="bullet"/>
      <w:lvlText w:val="•"/>
      <w:lvlJc w:val="left"/>
      <w:pPr>
        <w:tabs>
          <w:tab w:val="num" w:pos="720"/>
        </w:tabs>
        <w:ind w:left="720" w:hanging="360"/>
      </w:pPr>
      <w:rPr>
        <w:rFonts w:ascii="Arial" w:hAnsi="Arial" w:hint="default"/>
      </w:rPr>
    </w:lvl>
    <w:lvl w:ilvl="1" w:tplc="255A53AA">
      <w:start w:val="251"/>
      <w:numFmt w:val="bullet"/>
      <w:lvlText w:val="•"/>
      <w:lvlJc w:val="left"/>
      <w:pPr>
        <w:tabs>
          <w:tab w:val="num" w:pos="1440"/>
        </w:tabs>
        <w:ind w:left="1440" w:hanging="360"/>
      </w:pPr>
      <w:rPr>
        <w:rFonts w:ascii="Arial" w:hAnsi="Arial" w:hint="default"/>
      </w:rPr>
    </w:lvl>
    <w:lvl w:ilvl="2" w:tplc="320420FA" w:tentative="1">
      <w:start w:val="1"/>
      <w:numFmt w:val="bullet"/>
      <w:lvlText w:val="•"/>
      <w:lvlJc w:val="left"/>
      <w:pPr>
        <w:tabs>
          <w:tab w:val="num" w:pos="2160"/>
        </w:tabs>
        <w:ind w:left="2160" w:hanging="360"/>
      </w:pPr>
      <w:rPr>
        <w:rFonts w:ascii="Arial" w:hAnsi="Arial" w:hint="default"/>
      </w:rPr>
    </w:lvl>
    <w:lvl w:ilvl="3" w:tplc="9E70C71C" w:tentative="1">
      <w:start w:val="1"/>
      <w:numFmt w:val="bullet"/>
      <w:lvlText w:val="•"/>
      <w:lvlJc w:val="left"/>
      <w:pPr>
        <w:tabs>
          <w:tab w:val="num" w:pos="2880"/>
        </w:tabs>
        <w:ind w:left="2880" w:hanging="360"/>
      </w:pPr>
      <w:rPr>
        <w:rFonts w:ascii="Arial" w:hAnsi="Arial" w:hint="default"/>
      </w:rPr>
    </w:lvl>
    <w:lvl w:ilvl="4" w:tplc="1C10D984" w:tentative="1">
      <w:start w:val="1"/>
      <w:numFmt w:val="bullet"/>
      <w:lvlText w:val="•"/>
      <w:lvlJc w:val="left"/>
      <w:pPr>
        <w:tabs>
          <w:tab w:val="num" w:pos="3600"/>
        </w:tabs>
        <w:ind w:left="3600" w:hanging="360"/>
      </w:pPr>
      <w:rPr>
        <w:rFonts w:ascii="Arial" w:hAnsi="Arial" w:hint="default"/>
      </w:rPr>
    </w:lvl>
    <w:lvl w:ilvl="5" w:tplc="2E7A48A8" w:tentative="1">
      <w:start w:val="1"/>
      <w:numFmt w:val="bullet"/>
      <w:lvlText w:val="•"/>
      <w:lvlJc w:val="left"/>
      <w:pPr>
        <w:tabs>
          <w:tab w:val="num" w:pos="4320"/>
        </w:tabs>
        <w:ind w:left="4320" w:hanging="360"/>
      </w:pPr>
      <w:rPr>
        <w:rFonts w:ascii="Arial" w:hAnsi="Arial" w:hint="default"/>
      </w:rPr>
    </w:lvl>
    <w:lvl w:ilvl="6" w:tplc="DC80C02E" w:tentative="1">
      <w:start w:val="1"/>
      <w:numFmt w:val="bullet"/>
      <w:lvlText w:val="•"/>
      <w:lvlJc w:val="left"/>
      <w:pPr>
        <w:tabs>
          <w:tab w:val="num" w:pos="5040"/>
        </w:tabs>
        <w:ind w:left="5040" w:hanging="360"/>
      </w:pPr>
      <w:rPr>
        <w:rFonts w:ascii="Arial" w:hAnsi="Arial" w:hint="default"/>
      </w:rPr>
    </w:lvl>
    <w:lvl w:ilvl="7" w:tplc="4CDAD42E" w:tentative="1">
      <w:start w:val="1"/>
      <w:numFmt w:val="bullet"/>
      <w:lvlText w:val="•"/>
      <w:lvlJc w:val="left"/>
      <w:pPr>
        <w:tabs>
          <w:tab w:val="num" w:pos="5760"/>
        </w:tabs>
        <w:ind w:left="5760" w:hanging="360"/>
      </w:pPr>
      <w:rPr>
        <w:rFonts w:ascii="Arial" w:hAnsi="Arial" w:hint="default"/>
      </w:rPr>
    </w:lvl>
    <w:lvl w:ilvl="8" w:tplc="96140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83015"/>
    <w:multiLevelType w:val="hybridMultilevel"/>
    <w:tmpl w:val="B09E0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tentative="1">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C70"/>
    <w:multiLevelType w:val="hybridMultilevel"/>
    <w:tmpl w:val="5618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378B4"/>
    <w:multiLevelType w:val="hybridMultilevel"/>
    <w:tmpl w:val="B4489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3"/>
  </w:num>
  <w:num w:numId="8">
    <w:abstractNumId w:val="10"/>
  </w:num>
  <w:num w:numId="9">
    <w:abstractNumId w:val="3"/>
  </w:num>
  <w:num w:numId="10">
    <w:abstractNumId w:val="9"/>
  </w:num>
  <w:num w:numId="11">
    <w:abstractNumId w:val="6"/>
  </w:num>
  <w:num w:numId="12">
    <w:abstractNumId w:val="11"/>
  </w:num>
  <w:num w:numId="13">
    <w:abstractNumId w:val="2"/>
  </w:num>
  <w:num w:numId="14">
    <w:abstractNumId w:val="12"/>
  </w:num>
  <w:num w:numId="15">
    <w:abstractNumId w:val="15"/>
  </w:num>
  <w:num w:numId="16">
    <w:abstractNumId w:val="7"/>
  </w:num>
  <w:num w:numId="17">
    <w:abstractNumId w:val="5"/>
  </w:num>
  <w:num w:numId="18">
    <w:abstractNumId w:val="16"/>
  </w:num>
  <w:num w:numId="19">
    <w:abstractNumId w:val="22"/>
  </w:num>
  <w:num w:numId="20">
    <w:abstractNumId w:val="21"/>
  </w:num>
  <w:num w:numId="21">
    <w:abstractNumId w:val="26"/>
  </w:num>
  <w:num w:numId="22">
    <w:abstractNumId w:val="27"/>
  </w:num>
  <w:num w:numId="23">
    <w:abstractNumId w:val="24"/>
  </w:num>
  <w:num w:numId="24">
    <w:abstractNumId w:val="1"/>
  </w:num>
  <w:num w:numId="25">
    <w:abstractNumId w:val="14"/>
  </w:num>
  <w:num w:numId="26">
    <w:abstractNumId w:val="25"/>
  </w:num>
  <w:num w:numId="27">
    <w:abstractNumId w:val="8"/>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EC"/>
    <w:rsid w:val="0000700B"/>
    <w:rsid w:val="00017FB5"/>
    <w:rsid w:val="000308A3"/>
    <w:rsid w:val="00032685"/>
    <w:rsid w:val="000458BC"/>
    <w:rsid w:val="00045C41"/>
    <w:rsid w:val="00046C03"/>
    <w:rsid w:val="00046E0B"/>
    <w:rsid w:val="000630F2"/>
    <w:rsid w:val="00065039"/>
    <w:rsid w:val="00067150"/>
    <w:rsid w:val="00073B89"/>
    <w:rsid w:val="0007614F"/>
    <w:rsid w:val="00081398"/>
    <w:rsid w:val="000814BE"/>
    <w:rsid w:val="00081C5C"/>
    <w:rsid w:val="00081EFB"/>
    <w:rsid w:val="000903AA"/>
    <w:rsid w:val="00092C10"/>
    <w:rsid w:val="00094479"/>
    <w:rsid w:val="000962AC"/>
    <w:rsid w:val="000B0C0F"/>
    <w:rsid w:val="000B1C6B"/>
    <w:rsid w:val="000B3AA3"/>
    <w:rsid w:val="000B484C"/>
    <w:rsid w:val="000B4FF9"/>
    <w:rsid w:val="000C09AC"/>
    <w:rsid w:val="000D29AA"/>
    <w:rsid w:val="000D599A"/>
    <w:rsid w:val="000E00F3"/>
    <w:rsid w:val="000E1D03"/>
    <w:rsid w:val="000F10C1"/>
    <w:rsid w:val="000F158C"/>
    <w:rsid w:val="000F69A6"/>
    <w:rsid w:val="000F6B9D"/>
    <w:rsid w:val="00102F3D"/>
    <w:rsid w:val="00124E38"/>
    <w:rsid w:val="0012580B"/>
    <w:rsid w:val="00127486"/>
    <w:rsid w:val="00131F90"/>
    <w:rsid w:val="00133B42"/>
    <w:rsid w:val="00133D4B"/>
    <w:rsid w:val="0013458C"/>
    <w:rsid w:val="0013526E"/>
    <w:rsid w:val="001367DA"/>
    <w:rsid w:val="00141D9E"/>
    <w:rsid w:val="00146152"/>
    <w:rsid w:val="00146431"/>
    <w:rsid w:val="00155526"/>
    <w:rsid w:val="00161776"/>
    <w:rsid w:val="001636D5"/>
    <w:rsid w:val="00171371"/>
    <w:rsid w:val="00175A24"/>
    <w:rsid w:val="00182FE9"/>
    <w:rsid w:val="00187344"/>
    <w:rsid w:val="00187E58"/>
    <w:rsid w:val="001A297E"/>
    <w:rsid w:val="001A368E"/>
    <w:rsid w:val="001A7329"/>
    <w:rsid w:val="001A792F"/>
    <w:rsid w:val="001B4E28"/>
    <w:rsid w:val="001B752B"/>
    <w:rsid w:val="001C3525"/>
    <w:rsid w:val="001C3AFB"/>
    <w:rsid w:val="001D1BD2"/>
    <w:rsid w:val="001D2E9B"/>
    <w:rsid w:val="001E0248"/>
    <w:rsid w:val="001E02BE"/>
    <w:rsid w:val="001E3B37"/>
    <w:rsid w:val="001F2594"/>
    <w:rsid w:val="00200432"/>
    <w:rsid w:val="002055A6"/>
    <w:rsid w:val="00205F35"/>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51499"/>
    <w:rsid w:val="00252879"/>
    <w:rsid w:val="00263398"/>
    <w:rsid w:val="00263B99"/>
    <w:rsid w:val="00266F06"/>
    <w:rsid w:val="00270E55"/>
    <w:rsid w:val="00275BCF"/>
    <w:rsid w:val="00276C3C"/>
    <w:rsid w:val="00284714"/>
    <w:rsid w:val="002861DA"/>
    <w:rsid w:val="00291E36"/>
    <w:rsid w:val="00292257"/>
    <w:rsid w:val="00293CA5"/>
    <w:rsid w:val="002A1E16"/>
    <w:rsid w:val="002A54E0"/>
    <w:rsid w:val="002A7EEB"/>
    <w:rsid w:val="002B1595"/>
    <w:rsid w:val="002B191D"/>
    <w:rsid w:val="002B2E83"/>
    <w:rsid w:val="002B405D"/>
    <w:rsid w:val="002B41D0"/>
    <w:rsid w:val="002B7B39"/>
    <w:rsid w:val="002C2040"/>
    <w:rsid w:val="002D0AF6"/>
    <w:rsid w:val="002D74E1"/>
    <w:rsid w:val="002D7F7D"/>
    <w:rsid w:val="002F164D"/>
    <w:rsid w:val="002F4B1F"/>
    <w:rsid w:val="002F6A52"/>
    <w:rsid w:val="00301982"/>
    <w:rsid w:val="003021BC"/>
    <w:rsid w:val="00306206"/>
    <w:rsid w:val="003176E5"/>
    <w:rsid w:val="00317D85"/>
    <w:rsid w:val="00327C56"/>
    <w:rsid w:val="003315A1"/>
    <w:rsid w:val="003373EC"/>
    <w:rsid w:val="00342FF4"/>
    <w:rsid w:val="00344E5A"/>
    <w:rsid w:val="00346148"/>
    <w:rsid w:val="00347497"/>
    <w:rsid w:val="003669EA"/>
    <w:rsid w:val="00366E30"/>
    <w:rsid w:val="003706CC"/>
    <w:rsid w:val="00377710"/>
    <w:rsid w:val="00381CBF"/>
    <w:rsid w:val="003866FE"/>
    <w:rsid w:val="003A2D8E"/>
    <w:rsid w:val="003A369D"/>
    <w:rsid w:val="003A7CE6"/>
    <w:rsid w:val="003B3F37"/>
    <w:rsid w:val="003B5CA8"/>
    <w:rsid w:val="003C20E4"/>
    <w:rsid w:val="003C23D8"/>
    <w:rsid w:val="003C3AA0"/>
    <w:rsid w:val="003D3895"/>
    <w:rsid w:val="003D6342"/>
    <w:rsid w:val="003D6D25"/>
    <w:rsid w:val="003E6F90"/>
    <w:rsid w:val="003E73ED"/>
    <w:rsid w:val="003F5D0F"/>
    <w:rsid w:val="003F67A3"/>
    <w:rsid w:val="00406527"/>
    <w:rsid w:val="00414101"/>
    <w:rsid w:val="0041626A"/>
    <w:rsid w:val="004219CF"/>
    <w:rsid w:val="004234F0"/>
    <w:rsid w:val="00433DDB"/>
    <w:rsid w:val="00435A29"/>
    <w:rsid w:val="00437619"/>
    <w:rsid w:val="00441045"/>
    <w:rsid w:val="00445F1B"/>
    <w:rsid w:val="00460E44"/>
    <w:rsid w:val="00465A1E"/>
    <w:rsid w:val="00470F79"/>
    <w:rsid w:val="0048544E"/>
    <w:rsid w:val="00485773"/>
    <w:rsid w:val="00493113"/>
    <w:rsid w:val="0049445A"/>
    <w:rsid w:val="00496664"/>
    <w:rsid w:val="00497214"/>
    <w:rsid w:val="004A2A63"/>
    <w:rsid w:val="004A39FB"/>
    <w:rsid w:val="004B07FB"/>
    <w:rsid w:val="004B210C"/>
    <w:rsid w:val="004B2FD1"/>
    <w:rsid w:val="004B6B1A"/>
    <w:rsid w:val="004D405F"/>
    <w:rsid w:val="004D693A"/>
    <w:rsid w:val="004D6AFB"/>
    <w:rsid w:val="004E4F4F"/>
    <w:rsid w:val="004E6789"/>
    <w:rsid w:val="004F61E3"/>
    <w:rsid w:val="004F695F"/>
    <w:rsid w:val="00501E38"/>
    <w:rsid w:val="00502E10"/>
    <w:rsid w:val="00507C78"/>
    <w:rsid w:val="0051015C"/>
    <w:rsid w:val="00516CF1"/>
    <w:rsid w:val="0052735F"/>
    <w:rsid w:val="00531AE9"/>
    <w:rsid w:val="00531D90"/>
    <w:rsid w:val="00536188"/>
    <w:rsid w:val="00550A66"/>
    <w:rsid w:val="005619B7"/>
    <w:rsid w:val="00567B8C"/>
    <w:rsid w:val="00567EC7"/>
    <w:rsid w:val="00570013"/>
    <w:rsid w:val="0057153D"/>
    <w:rsid w:val="005753EC"/>
    <w:rsid w:val="005801A2"/>
    <w:rsid w:val="00587555"/>
    <w:rsid w:val="005952A5"/>
    <w:rsid w:val="005A33A1"/>
    <w:rsid w:val="005B053C"/>
    <w:rsid w:val="005B217D"/>
    <w:rsid w:val="005C385F"/>
    <w:rsid w:val="005C7C26"/>
    <w:rsid w:val="005D2112"/>
    <w:rsid w:val="005D75C3"/>
    <w:rsid w:val="005E1AC6"/>
    <w:rsid w:val="005E2D0D"/>
    <w:rsid w:val="005E3F2B"/>
    <w:rsid w:val="005E4D24"/>
    <w:rsid w:val="005F431E"/>
    <w:rsid w:val="005F6F1B"/>
    <w:rsid w:val="006140D1"/>
    <w:rsid w:val="00615995"/>
    <w:rsid w:val="00616155"/>
    <w:rsid w:val="00623036"/>
    <w:rsid w:val="00624B33"/>
    <w:rsid w:val="0063041A"/>
    <w:rsid w:val="006307BC"/>
    <w:rsid w:val="00630AA2"/>
    <w:rsid w:val="006335E4"/>
    <w:rsid w:val="00634810"/>
    <w:rsid w:val="00635DE2"/>
    <w:rsid w:val="0064265D"/>
    <w:rsid w:val="00646707"/>
    <w:rsid w:val="006502FF"/>
    <w:rsid w:val="00657F7E"/>
    <w:rsid w:val="00662A76"/>
    <w:rsid w:val="00662E58"/>
    <w:rsid w:val="006637F2"/>
    <w:rsid w:val="006642A5"/>
    <w:rsid w:val="00664DCF"/>
    <w:rsid w:val="00665F65"/>
    <w:rsid w:val="00666187"/>
    <w:rsid w:val="00667469"/>
    <w:rsid w:val="00672334"/>
    <w:rsid w:val="0067699F"/>
    <w:rsid w:val="0068555F"/>
    <w:rsid w:val="006861B2"/>
    <w:rsid w:val="006915A5"/>
    <w:rsid w:val="00694EC4"/>
    <w:rsid w:val="006B6467"/>
    <w:rsid w:val="006B7AE4"/>
    <w:rsid w:val="006C5D39"/>
    <w:rsid w:val="006D6D9B"/>
    <w:rsid w:val="006D74A1"/>
    <w:rsid w:val="006E2810"/>
    <w:rsid w:val="006E3C05"/>
    <w:rsid w:val="006E5417"/>
    <w:rsid w:val="006F0794"/>
    <w:rsid w:val="006F7528"/>
    <w:rsid w:val="007023DE"/>
    <w:rsid w:val="00712F60"/>
    <w:rsid w:val="00720E3B"/>
    <w:rsid w:val="00724055"/>
    <w:rsid w:val="007265E0"/>
    <w:rsid w:val="0072679B"/>
    <w:rsid w:val="00730674"/>
    <w:rsid w:val="0074393F"/>
    <w:rsid w:val="00745F6B"/>
    <w:rsid w:val="0075175B"/>
    <w:rsid w:val="0075585E"/>
    <w:rsid w:val="00770571"/>
    <w:rsid w:val="007768FF"/>
    <w:rsid w:val="007824D3"/>
    <w:rsid w:val="00796EE3"/>
    <w:rsid w:val="007A55C5"/>
    <w:rsid w:val="007A74E6"/>
    <w:rsid w:val="007A7D29"/>
    <w:rsid w:val="007B43AD"/>
    <w:rsid w:val="007B4AB8"/>
    <w:rsid w:val="007B5650"/>
    <w:rsid w:val="007C3A55"/>
    <w:rsid w:val="007D05F8"/>
    <w:rsid w:val="007D1181"/>
    <w:rsid w:val="007E01A3"/>
    <w:rsid w:val="007E2C91"/>
    <w:rsid w:val="007F1F8B"/>
    <w:rsid w:val="007F6205"/>
    <w:rsid w:val="007F67A1"/>
    <w:rsid w:val="00811C05"/>
    <w:rsid w:val="008206C8"/>
    <w:rsid w:val="008213B9"/>
    <w:rsid w:val="00823B48"/>
    <w:rsid w:val="00833966"/>
    <w:rsid w:val="00836792"/>
    <w:rsid w:val="0086387C"/>
    <w:rsid w:val="00874A6C"/>
    <w:rsid w:val="008754EE"/>
    <w:rsid w:val="00876C65"/>
    <w:rsid w:val="00882F72"/>
    <w:rsid w:val="00892015"/>
    <w:rsid w:val="008A1A1D"/>
    <w:rsid w:val="008A4B4C"/>
    <w:rsid w:val="008B7318"/>
    <w:rsid w:val="008C0868"/>
    <w:rsid w:val="008C239F"/>
    <w:rsid w:val="008D0DE5"/>
    <w:rsid w:val="008D0FC1"/>
    <w:rsid w:val="008E480C"/>
    <w:rsid w:val="008E5A92"/>
    <w:rsid w:val="008F1508"/>
    <w:rsid w:val="009025FB"/>
    <w:rsid w:val="0090316B"/>
    <w:rsid w:val="00907757"/>
    <w:rsid w:val="00920D74"/>
    <w:rsid w:val="009212B0"/>
    <w:rsid w:val="00921FA1"/>
    <w:rsid w:val="009234A5"/>
    <w:rsid w:val="00923DA7"/>
    <w:rsid w:val="00933453"/>
    <w:rsid w:val="009336F7"/>
    <w:rsid w:val="0093636C"/>
    <w:rsid w:val="009374A7"/>
    <w:rsid w:val="0095324E"/>
    <w:rsid w:val="00953580"/>
    <w:rsid w:val="00955610"/>
    <w:rsid w:val="00955F6D"/>
    <w:rsid w:val="009641D6"/>
    <w:rsid w:val="0097316F"/>
    <w:rsid w:val="0097537D"/>
    <w:rsid w:val="00977C16"/>
    <w:rsid w:val="0098551D"/>
    <w:rsid w:val="00985DCB"/>
    <w:rsid w:val="0099518F"/>
    <w:rsid w:val="009A0F49"/>
    <w:rsid w:val="009A2874"/>
    <w:rsid w:val="009A523D"/>
    <w:rsid w:val="009B02A1"/>
    <w:rsid w:val="009B1064"/>
    <w:rsid w:val="009B3361"/>
    <w:rsid w:val="009B5503"/>
    <w:rsid w:val="009B58A5"/>
    <w:rsid w:val="009B7F3F"/>
    <w:rsid w:val="009D25C7"/>
    <w:rsid w:val="009D4B44"/>
    <w:rsid w:val="009D6C74"/>
    <w:rsid w:val="009D7CE6"/>
    <w:rsid w:val="009E2FFE"/>
    <w:rsid w:val="009F496B"/>
    <w:rsid w:val="00A01439"/>
    <w:rsid w:val="00A02E61"/>
    <w:rsid w:val="00A05CFF"/>
    <w:rsid w:val="00A07FA2"/>
    <w:rsid w:val="00A13048"/>
    <w:rsid w:val="00A1378A"/>
    <w:rsid w:val="00A21595"/>
    <w:rsid w:val="00A40E69"/>
    <w:rsid w:val="00A430C6"/>
    <w:rsid w:val="00A46843"/>
    <w:rsid w:val="00A56B97"/>
    <w:rsid w:val="00A56BE6"/>
    <w:rsid w:val="00A57F8F"/>
    <w:rsid w:val="00A6093D"/>
    <w:rsid w:val="00A767DC"/>
    <w:rsid w:val="00A76A6D"/>
    <w:rsid w:val="00A83253"/>
    <w:rsid w:val="00A91ACE"/>
    <w:rsid w:val="00AA6E84"/>
    <w:rsid w:val="00AA73EE"/>
    <w:rsid w:val="00AB1A1C"/>
    <w:rsid w:val="00AB7566"/>
    <w:rsid w:val="00AD05A8"/>
    <w:rsid w:val="00AD56B4"/>
    <w:rsid w:val="00AD78FD"/>
    <w:rsid w:val="00AE341B"/>
    <w:rsid w:val="00AF08D3"/>
    <w:rsid w:val="00B01905"/>
    <w:rsid w:val="00B06181"/>
    <w:rsid w:val="00B07CA7"/>
    <w:rsid w:val="00B1279A"/>
    <w:rsid w:val="00B32669"/>
    <w:rsid w:val="00B3640F"/>
    <w:rsid w:val="00B4194A"/>
    <w:rsid w:val="00B437E8"/>
    <w:rsid w:val="00B46810"/>
    <w:rsid w:val="00B5222E"/>
    <w:rsid w:val="00B52FC4"/>
    <w:rsid w:val="00B53179"/>
    <w:rsid w:val="00B542B5"/>
    <w:rsid w:val="00B54B4C"/>
    <w:rsid w:val="00B54F82"/>
    <w:rsid w:val="00B57A23"/>
    <w:rsid w:val="00B600CD"/>
    <w:rsid w:val="00B61C96"/>
    <w:rsid w:val="00B66B30"/>
    <w:rsid w:val="00B7295A"/>
    <w:rsid w:val="00B73A2A"/>
    <w:rsid w:val="00B75A51"/>
    <w:rsid w:val="00B827C6"/>
    <w:rsid w:val="00B87C2F"/>
    <w:rsid w:val="00B92CFB"/>
    <w:rsid w:val="00B94B06"/>
    <w:rsid w:val="00B94C28"/>
    <w:rsid w:val="00B96040"/>
    <w:rsid w:val="00BA780A"/>
    <w:rsid w:val="00BB0574"/>
    <w:rsid w:val="00BB4F01"/>
    <w:rsid w:val="00BC10BA"/>
    <w:rsid w:val="00BC5AFD"/>
    <w:rsid w:val="00BC6E7E"/>
    <w:rsid w:val="00BD06A4"/>
    <w:rsid w:val="00BD22D1"/>
    <w:rsid w:val="00BE2F5B"/>
    <w:rsid w:val="00BE3EF2"/>
    <w:rsid w:val="00BE6D7E"/>
    <w:rsid w:val="00BF47C7"/>
    <w:rsid w:val="00C00DDE"/>
    <w:rsid w:val="00C04F43"/>
    <w:rsid w:val="00C05FB0"/>
    <w:rsid w:val="00C0609D"/>
    <w:rsid w:val="00C072D3"/>
    <w:rsid w:val="00C1027D"/>
    <w:rsid w:val="00C105F0"/>
    <w:rsid w:val="00C115AB"/>
    <w:rsid w:val="00C1737C"/>
    <w:rsid w:val="00C204E6"/>
    <w:rsid w:val="00C26CCB"/>
    <w:rsid w:val="00C30249"/>
    <w:rsid w:val="00C3723B"/>
    <w:rsid w:val="00C42466"/>
    <w:rsid w:val="00C43AB2"/>
    <w:rsid w:val="00C606C9"/>
    <w:rsid w:val="00C75520"/>
    <w:rsid w:val="00C80288"/>
    <w:rsid w:val="00C84003"/>
    <w:rsid w:val="00C90650"/>
    <w:rsid w:val="00C90E81"/>
    <w:rsid w:val="00C96FE3"/>
    <w:rsid w:val="00C97D78"/>
    <w:rsid w:val="00CC2AAE"/>
    <w:rsid w:val="00CC35C2"/>
    <w:rsid w:val="00CC5A42"/>
    <w:rsid w:val="00CD0EAB"/>
    <w:rsid w:val="00CD3110"/>
    <w:rsid w:val="00CE23EA"/>
    <w:rsid w:val="00CE5CE4"/>
    <w:rsid w:val="00CE5E02"/>
    <w:rsid w:val="00CF34DB"/>
    <w:rsid w:val="00CF3917"/>
    <w:rsid w:val="00CF558F"/>
    <w:rsid w:val="00D010C0"/>
    <w:rsid w:val="00D05881"/>
    <w:rsid w:val="00D073E2"/>
    <w:rsid w:val="00D1356D"/>
    <w:rsid w:val="00D17F2A"/>
    <w:rsid w:val="00D30DE0"/>
    <w:rsid w:val="00D446EC"/>
    <w:rsid w:val="00D51BF0"/>
    <w:rsid w:val="00D531DB"/>
    <w:rsid w:val="00D53F4A"/>
    <w:rsid w:val="00D5488E"/>
    <w:rsid w:val="00D55942"/>
    <w:rsid w:val="00D61451"/>
    <w:rsid w:val="00D64F96"/>
    <w:rsid w:val="00D807BF"/>
    <w:rsid w:val="00D82FCC"/>
    <w:rsid w:val="00D8462D"/>
    <w:rsid w:val="00DA17FC"/>
    <w:rsid w:val="00DA37D0"/>
    <w:rsid w:val="00DA7887"/>
    <w:rsid w:val="00DB1A40"/>
    <w:rsid w:val="00DB2C26"/>
    <w:rsid w:val="00DC722C"/>
    <w:rsid w:val="00DC76F9"/>
    <w:rsid w:val="00DC7DED"/>
    <w:rsid w:val="00DD02F4"/>
    <w:rsid w:val="00DD6622"/>
    <w:rsid w:val="00DE194C"/>
    <w:rsid w:val="00DE1C7C"/>
    <w:rsid w:val="00DE6B43"/>
    <w:rsid w:val="00DE6C93"/>
    <w:rsid w:val="00DF6306"/>
    <w:rsid w:val="00E04D71"/>
    <w:rsid w:val="00E11877"/>
    <w:rsid w:val="00E11923"/>
    <w:rsid w:val="00E13EAD"/>
    <w:rsid w:val="00E14780"/>
    <w:rsid w:val="00E262D4"/>
    <w:rsid w:val="00E36250"/>
    <w:rsid w:val="00E43ED3"/>
    <w:rsid w:val="00E47F2D"/>
    <w:rsid w:val="00E50631"/>
    <w:rsid w:val="00E51453"/>
    <w:rsid w:val="00E52EFF"/>
    <w:rsid w:val="00E54511"/>
    <w:rsid w:val="00E60EDC"/>
    <w:rsid w:val="00E61DAC"/>
    <w:rsid w:val="00E6255F"/>
    <w:rsid w:val="00E63390"/>
    <w:rsid w:val="00E72B80"/>
    <w:rsid w:val="00E75AAB"/>
    <w:rsid w:val="00E75FE3"/>
    <w:rsid w:val="00E86C4C"/>
    <w:rsid w:val="00E907A3"/>
    <w:rsid w:val="00E91168"/>
    <w:rsid w:val="00E93CB9"/>
    <w:rsid w:val="00EA5AE0"/>
    <w:rsid w:val="00EB47B1"/>
    <w:rsid w:val="00EB48B6"/>
    <w:rsid w:val="00EB56E1"/>
    <w:rsid w:val="00EB7AB1"/>
    <w:rsid w:val="00EC32BD"/>
    <w:rsid w:val="00EE0D89"/>
    <w:rsid w:val="00EE4D0F"/>
    <w:rsid w:val="00EE7CD8"/>
    <w:rsid w:val="00EF37F6"/>
    <w:rsid w:val="00EF48CC"/>
    <w:rsid w:val="00EF5698"/>
    <w:rsid w:val="00F00801"/>
    <w:rsid w:val="00F23180"/>
    <w:rsid w:val="00F2488D"/>
    <w:rsid w:val="00F251FE"/>
    <w:rsid w:val="00F25B36"/>
    <w:rsid w:val="00F36193"/>
    <w:rsid w:val="00F601A0"/>
    <w:rsid w:val="00F63A38"/>
    <w:rsid w:val="00F712E9"/>
    <w:rsid w:val="00F73032"/>
    <w:rsid w:val="00F8342F"/>
    <w:rsid w:val="00F848FC"/>
    <w:rsid w:val="00F906F6"/>
    <w:rsid w:val="00F9282A"/>
    <w:rsid w:val="00F96BAD"/>
    <w:rsid w:val="00FA139D"/>
    <w:rsid w:val="00FA42CF"/>
    <w:rsid w:val="00FA4FBB"/>
    <w:rsid w:val="00FA60F5"/>
    <w:rsid w:val="00FB0E84"/>
    <w:rsid w:val="00FB68AF"/>
    <w:rsid w:val="00FC2405"/>
    <w:rsid w:val="00FD01C2"/>
    <w:rsid w:val="00FD1654"/>
    <w:rsid w:val="00FE3D2C"/>
    <w:rsid w:val="00FE511B"/>
    <w:rsid w:val="00FE595C"/>
    <w:rsid w:val="00FF0CE3"/>
    <w:rsid w:val="00FF526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7294">
      <w:bodyDiv w:val="1"/>
      <w:marLeft w:val="0"/>
      <w:marRight w:val="0"/>
      <w:marTop w:val="0"/>
      <w:marBottom w:val="0"/>
      <w:divBdr>
        <w:top w:val="none" w:sz="0" w:space="0" w:color="auto"/>
        <w:left w:val="none" w:sz="0" w:space="0" w:color="auto"/>
        <w:bottom w:val="none" w:sz="0" w:space="0" w:color="auto"/>
        <w:right w:val="none" w:sz="0" w:space="0" w:color="auto"/>
      </w:divBdr>
    </w:div>
    <w:div w:id="92018687">
      <w:bodyDiv w:val="1"/>
      <w:marLeft w:val="0"/>
      <w:marRight w:val="0"/>
      <w:marTop w:val="0"/>
      <w:marBottom w:val="0"/>
      <w:divBdr>
        <w:top w:val="none" w:sz="0" w:space="0" w:color="auto"/>
        <w:left w:val="none" w:sz="0" w:space="0" w:color="auto"/>
        <w:bottom w:val="none" w:sz="0" w:space="0" w:color="auto"/>
        <w:right w:val="none" w:sz="0" w:space="0" w:color="auto"/>
      </w:divBdr>
    </w:div>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06821537">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185247792">
      <w:bodyDiv w:val="1"/>
      <w:marLeft w:val="0"/>
      <w:marRight w:val="0"/>
      <w:marTop w:val="0"/>
      <w:marBottom w:val="0"/>
      <w:divBdr>
        <w:top w:val="none" w:sz="0" w:space="0" w:color="auto"/>
        <w:left w:val="none" w:sz="0" w:space="0" w:color="auto"/>
        <w:bottom w:val="none" w:sz="0" w:space="0" w:color="auto"/>
        <w:right w:val="none" w:sz="0" w:space="0" w:color="auto"/>
      </w:divBdr>
    </w:div>
    <w:div w:id="1230386327">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409503157">
      <w:bodyDiv w:val="1"/>
      <w:marLeft w:val="0"/>
      <w:marRight w:val="0"/>
      <w:marTop w:val="0"/>
      <w:marBottom w:val="0"/>
      <w:divBdr>
        <w:top w:val="none" w:sz="0" w:space="0" w:color="auto"/>
        <w:left w:val="none" w:sz="0" w:space="0" w:color="auto"/>
        <w:bottom w:val="none" w:sz="0" w:space="0" w:color="auto"/>
        <w:right w:val="none" w:sz="0" w:space="0" w:color="auto"/>
      </w:divBdr>
    </w:div>
    <w:div w:id="1448280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 w:id="205187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1132</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7</cp:revision>
  <cp:lastPrinted>1900-01-01T08:00:00Z</cp:lastPrinted>
  <dcterms:created xsi:type="dcterms:W3CDTF">2020-01-03T22:36:00Z</dcterms:created>
  <dcterms:modified xsi:type="dcterms:W3CDTF">2020-01-03T23:32:00Z</dcterms:modified>
</cp:coreProperties>
</file>