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A9BF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869D4">
              <w:rPr>
                <w:lang w:val="en-CA"/>
              </w:rPr>
              <w:t>0349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5B217D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53582A09" w:rsidR="00E61DAC" w:rsidRPr="005B217D" w:rsidRDefault="001B27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Triangle and Weighted-Prediction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r w:rsidRPr="001B27BC">
              <w:rPr>
                <w:szCs w:val="22"/>
                <w:lang w:val="fr-FR"/>
              </w:rPr>
              <w:t>P.Bordes,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F. Le Léannec</w:t>
            </w:r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B7233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86F0E0" w14:textId="48602895" w:rsidR="00D97F56" w:rsidRDefault="00D97F56" w:rsidP="00C97D78">
      <w:pPr>
        <w:rPr>
          <w:lang w:val="en-CA"/>
        </w:rPr>
      </w:pPr>
      <w:r>
        <w:rPr>
          <w:lang w:val="en-CA"/>
        </w:rPr>
        <w:t>In the current VTM-7.0 software, the weighted prediction (WP) is not enabled with TPM. In the last JVET meeting (Geneva, Oct-2019), it was agreed that combining WP and TPM was desirable feature. In this last meeting, it has been proposed to either cascade WP and TPM or to re-</w:t>
      </w:r>
      <w:r w:rsidR="00411322">
        <w:rPr>
          <w:lang w:val="en-CA"/>
        </w:rPr>
        <w:t xml:space="preserve">scale the blending weights with WP parameters prior the TPM blending stage. However, these methods </w:t>
      </w:r>
      <w:r w:rsidR="00411322">
        <w:t>have a latency issue since they add an additional stage and/or need an additional multiplier for the blending.</w:t>
      </w:r>
    </w:p>
    <w:p w14:paraId="2367EB70" w14:textId="68EEF786" w:rsidR="002912D2" w:rsidRDefault="00411322" w:rsidP="00C97D78">
      <w:pPr>
        <w:rPr>
          <w:lang w:val="en-CA"/>
        </w:rPr>
      </w:pPr>
      <w:r>
        <w:rPr>
          <w:lang w:val="en-CA"/>
        </w:rPr>
        <w:t>It is proposed to replace the combination of WP and TPM with either regular bi-prediction or regular weighted bi-prediction.</w:t>
      </w:r>
      <w:r w:rsidR="005A376F">
        <w:rPr>
          <w:lang w:val="en-CA"/>
        </w:rPr>
        <w:t xml:space="preserve"> </w:t>
      </w:r>
      <w:r w:rsidR="002912D2">
        <w:rPr>
          <w:lang w:val="en-CA"/>
        </w:rPr>
        <w:t>It states that no additional process nor weighting stage is added to the inter-prediction pipeline</w:t>
      </w:r>
      <w:r w:rsidR="00DF6819">
        <w:rPr>
          <w:lang w:val="en-CA"/>
        </w:rPr>
        <w:t xml:space="preserve"> compared to regular TPM or regular bi-prediction.</w:t>
      </w:r>
    </w:p>
    <w:p w14:paraId="34FC381A" w14:textId="19AD2B6E" w:rsidR="00275BCF" w:rsidRPr="005B217D" w:rsidRDefault="005A376F" w:rsidP="00C97D78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 xml:space="preserve">that </w:t>
      </w:r>
      <w:r>
        <w:rPr>
          <w:lang w:val="en-CA"/>
        </w:rPr>
        <w:t xml:space="preserve">the </w:t>
      </w:r>
      <w:r w:rsidR="00326FC5">
        <w:rPr>
          <w:lang w:val="en-CA"/>
        </w:rPr>
        <w:t>proposed method provides</w:t>
      </w:r>
      <w:r>
        <w:rPr>
          <w:lang w:val="en-CA"/>
        </w:rPr>
        <w:t xml:space="preserve"> </w:t>
      </w:r>
      <w:r w:rsidR="00326FC5">
        <w:rPr>
          <w:lang w:val="en-CA"/>
        </w:rPr>
        <w:t>BD-rate gains of -0.12%(Y),-0.11%(U),-0.24%(V) / 0.09%(Y),-0.28%(U),0.14%(V) in RA / LDB configurations with fade-to-black sequences, and -0.28%(Y),-0.21%(U),-0.20%(V) / -0.17%(Y),-0.27%(U),-0.12%(V) in RA / LDB configurations with fade-to-white sequences.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8C68846" w14:textId="77777777" w:rsidR="00930E0A" w:rsidRDefault="00930E0A" w:rsidP="004234F0">
      <w:pPr>
        <w:rPr>
          <w:lang w:val="en-CA"/>
        </w:rPr>
      </w:pPr>
      <w:r>
        <w:rPr>
          <w:lang w:val="en-CA"/>
        </w:rPr>
        <w:t xml:space="preserve">In the current VTM-7.0 software, the weighted prediction (WP) is not enabled with TPM. In the last JVET meeting (Geneva, Oct-2019), it was agreed that combining WP and TPM was a desirable feature. In this last meeting, it has been proposed to either cascade WP and TPM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_Ref28599891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or to re-scale the blending weights with WP parameters prior the TPM blending stage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_Ref28599902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A0292F7" w14:textId="6AE65231" w:rsidR="00930E0A" w:rsidRPr="00930E0A" w:rsidRDefault="00930E0A" w:rsidP="004234F0">
      <w:r>
        <w:rPr>
          <w:lang w:val="en-CA"/>
        </w:rPr>
        <w:t xml:space="preserve">However, these methods </w:t>
      </w:r>
      <w:r>
        <w:t>have a latency issue since they add an additional stage and/or need an additional multiplier for the blending. Additionally, s</w:t>
      </w:r>
      <w:r w:rsidRPr="00930E0A">
        <w:t>ome participants commented that we should not add this extra complexity for a benefit that is only found on special content such as fading content.</w:t>
      </w: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38E3DD0" w14:textId="3777B76E" w:rsidR="00BE35B0" w:rsidRPr="0015396A" w:rsidRDefault="00AF48F6" w:rsidP="0015396A">
      <w:pPr>
        <w:rPr>
          <w:lang w:val="en-CA"/>
        </w:rPr>
      </w:pPr>
      <w:r>
        <w:rPr>
          <w:lang w:val="en-CA"/>
        </w:rPr>
        <w:t>In VVC, when t</w:t>
      </w:r>
      <w:r w:rsidR="00B44194">
        <w:rPr>
          <w:lang w:val="en-CA"/>
        </w:rPr>
        <w:t>he TPM mode</w:t>
      </w:r>
      <w:r>
        <w:rPr>
          <w:lang w:val="en-CA"/>
        </w:rPr>
        <w:t xml:space="preserve"> is used, a CU is split evenly into two triangle-shaped partitions</w:t>
      </w:r>
      <w:r w:rsidR="00AF1DA4">
        <w:rPr>
          <w:lang w:val="en-CA"/>
        </w:rPr>
        <w:t xml:space="preserve"> (A and B)</w:t>
      </w:r>
      <w:r>
        <w:rPr>
          <w:lang w:val="en-CA"/>
        </w:rPr>
        <w:t>, using either the diagonal split (</w:t>
      </w:r>
      <w:r w:rsidRPr="00AF48F6">
        <w:rPr>
          <w:i/>
          <w:iCs/>
          <w:lang w:val="en-CA"/>
        </w:rPr>
        <w:t>triangleDir=0</w:t>
      </w:r>
      <w:r>
        <w:rPr>
          <w:lang w:val="en-CA"/>
        </w:rPr>
        <w:t>) or the anti-diagonal split (</w:t>
      </w:r>
      <w:r w:rsidRPr="00AF48F6">
        <w:rPr>
          <w:i/>
          <w:iCs/>
          <w:lang w:val="en-CA"/>
        </w:rPr>
        <w:t>triangleDir=1</w:t>
      </w:r>
      <w:r>
        <w:rPr>
          <w:lang w:val="en-CA"/>
        </w:rPr>
        <w:t>).</w:t>
      </w:r>
      <w:r w:rsidR="00030C80">
        <w:rPr>
          <w:lang w:val="en-CA"/>
        </w:rPr>
        <w:t xml:space="preserve"> The prediction samples are derived from uni-prediction motion compensation process, with MV (</w:t>
      </w:r>
      <w:r w:rsidR="00030C80" w:rsidRPr="00BE35B0">
        <w:rPr>
          <w:i/>
          <w:iCs/>
          <w:lang w:val="en-CA"/>
        </w:rPr>
        <w:t>mvA,</w:t>
      </w:r>
      <w:r w:rsidR="00AF1DA4" w:rsidRPr="00BE35B0">
        <w:rPr>
          <w:i/>
          <w:iCs/>
          <w:lang w:val="en-CA"/>
        </w:rPr>
        <w:t xml:space="preserve"> </w:t>
      </w:r>
      <w:r w:rsidR="00030C80" w:rsidRPr="00BE35B0">
        <w:rPr>
          <w:i/>
          <w:iCs/>
          <w:lang w:val="en-CA"/>
        </w:rPr>
        <w:t>mvB</w:t>
      </w:r>
      <w:r w:rsidR="00030C80">
        <w:rPr>
          <w:lang w:val="en-CA"/>
        </w:rPr>
        <w:t>) and reference indexes (</w:t>
      </w:r>
      <w:r w:rsidR="00030C80" w:rsidRPr="00BE35B0">
        <w:rPr>
          <w:i/>
          <w:iCs/>
          <w:lang w:val="en-CA"/>
        </w:rPr>
        <w:t>refIdxA,</w:t>
      </w:r>
      <w:r w:rsidR="00AF1DA4" w:rsidRPr="00BE35B0">
        <w:rPr>
          <w:i/>
          <w:iCs/>
          <w:lang w:val="en-CA"/>
        </w:rPr>
        <w:t xml:space="preserve"> </w:t>
      </w:r>
      <w:r w:rsidR="00030C80" w:rsidRPr="00BE35B0">
        <w:rPr>
          <w:i/>
          <w:iCs/>
          <w:lang w:val="en-CA"/>
        </w:rPr>
        <w:t>refIdxB</w:t>
      </w:r>
      <w:r w:rsidR="00030C80">
        <w:rPr>
          <w:lang w:val="en-CA"/>
        </w:rPr>
        <w:t xml:space="preserve">) derived from the triangle </w:t>
      </w:r>
      <w:r w:rsidR="00030C80">
        <w:rPr>
          <w:rFonts w:hint="eastAsia"/>
          <w:lang w:val="en-CA"/>
        </w:rPr>
        <w:t xml:space="preserve">merge </w:t>
      </w:r>
      <w:r w:rsidR="00030C80">
        <w:rPr>
          <w:lang w:val="en-CA"/>
        </w:rPr>
        <w:t xml:space="preserve">candidate </w:t>
      </w:r>
      <w:r w:rsidR="00030C80">
        <w:rPr>
          <w:rFonts w:hint="eastAsia"/>
          <w:lang w:val="en-CA"/>
        </w:rPr>
        <w:t>list</w:t>
      </w:r>
      <w:r w:rsidR="00AF1DA4">
        <w:rPr>
          <w:lang w:val="en-CA"/>
        </w:rPr>
        <w:t xml:space="preserve"> and candidate indexes</w:t>
      </w:r>
      <w:r w:rsidR="00030C80">
        <w:rPr>
          <w:lang w:val="en-CA"/>
        </w:rPr>
        <w:t>.</w:t>
      </w:r>
    </w:p>
    <w:p w14:paraId="1D02F1E8" w14:textId="7D2CD078" w:rsidR="007B43BE" w:rsidRDefault="00B44194" w:rsidP="003C64AA">
      <w:pPr>
        <w:rPr>
          <w:lang w:val="en-CA"/>
        </w:rPr>
      </w:pPr>
      <w:r>
        <w:rPr>
          <w:lang w:val="en-CA"/>
        </w:rPr>
        <w:t xml:space="preserve">In case the weighted prediction is enabled for </w:t>
      </w:r>
      <w:r w:rsidR="0015396A">
        <w:rPr>
          <w:lang w:val="en-CA"/>
        </w:rPr>
        <w:t>at least one of the reference</w:t>
      </w:r>
      <w:r>
        <w:rPr>
          <w:lang w:val="en-CA"/>
        </w:rPr>
        <w:t xml:space="preserve"> </w:t>
      </w:r>
      <w:r w:rsidR="0015396A" w:rsidRPr="00BE35B0">
        <w:rPr>
          <w:i/>
          <w:iCs/>
          <w:lang w:val="en-CA"/>
        </w:rPr>
        <w:t xml:space="preserve">refIdxA, </w:t>
      </w:r>
      <w:r w:rsidR="0015396A" w:rsidRPr="0015396A">
        <w:rPr>
          <w:lang w:val="en-CA"/>
        </w:rPr>
        <w:t>or</w:t>
      </w:r>
      <w:r w:rsidR="0015396A">
        <w:rPr>
          <w:i/>
          <w:iCs/>
          <w:lang w:val="en-CA"/>
        </w:rPr>
        <w:t xml:space="preserve"> </w:t>
      </w:r>
      <w:r w:rsidR="0015396A" w:rsidRPr="00BE35B0">
        <w:rPr>
          <w:i/>
          <w:iCs/>
          <w:lang w:val="en-CA"/>
        </w:rPr>
        <w:t>refIdxB</w:t>
      </w:r>
      <w:r w:rsidR="0015396A">
        <w:rPr>
          <w:lang w:val="en-CA"/>
        </w:rPr>
        <w:t xml:space="preserve"> </w:t>
      </w:r>
      <w:r w:rsidR="003971E3">
        <w:rPr>
          <w:lang w:val="en-CA"/>
        </w:rPr>
        <w:t>(</w:t>
      </w:r>
      <w:r w:rsidR="007B43BE">
        <w:rPr>
          <w:lang w:val="en-CA"/>
        </w:rPr>
        <w:t>WP enabled at slice level and</w:t>
      </w:r>
      <w:r w:rsidR="003971E3">
        <w:rPr>
          <w:lang w:val="en-CA"/>
        </w:rPr>
        <w:t xml:space="preserve"> </w:t>
      </w:r>
      <w:r w:rsidR="00483A36">
        <w:rPr>
          <w:lang w:val="en-CA"/>
        </w:rPr>
        <w:t xml:space="preserve">at least one </w:t>
      </w:r>
      <w:r w:rsidR="003971E3">
        <w:rPr>
          <w:lang w:val="en-CA"/>
        </w:rPr>
        <w:t xml:space="preserve">WP weights </w:t>
      </w:r>
      <w:r w:rsidR="00483A36">
        <w:rPr>
          <w:lang w:val="en-CA"/>
        </w:rPr>
        <w:t xml:space="preserve">associated with </w:t>
      </w:r>
      <w:r w:rsidR="00483A36" w:rsidRPr="00483A36">
        <w:rPr>
          <w:i/>
          <w:iCs/>
          <w:lang w:val="en-CA"/>
        </w:rPr>
        <w:t>refIdxA</w:t>
      </w:r>
      <w:r w:rsidR="00483A36">
        <w:rPr>
          <w:lang w:val="en-CA"/>
        </w:rPr>
        <w:t xml:space="preserve"> or </w:t>
      </w:r>
      <w:r w:rsidR="00483A36" w:rsidRPr="00483A36">
        <w:rPr>
          <w:i/>
          <w:iCs/>
          <w:lang w:val="en-CA"/>
        </w:rPr>
        <w:t>refIdxB</w:t>
      </w:r>
      <w:r w:rsidR="00483A36">
        <w:rPr>
          <w:lang w:val="en-CA"/>
        </w:rPr>
        <w:t xml:space="preserve"> is</w:t>
      </w:r>
      <w:r w:rsidR="003971E3">
        <w:rPr>
          <w:lang w:val="en-CA"/>
        </w:rPr>
        <w:t xml:space="preserve"> not default), it </w:t>
      </w:r>
      <w:r>
        <w:rPr>
          <w:lang w:val="en-CA"/>
        </w:rPr>
        <w:t>is proposed to</w:t>
      </w:r>
      <w:r w:rsidR="003971E3">
        <w:rPr>
          <w:lang w:val="en-CA"/>
        </w:rPr>
        <w:t xml:space="preserve"> replace the two triangle-shaped partitions with regular bi-prediction (</w:t>
      </w:r>
      <w:r w:rsidR="003971E3" w:rsidRPr="00AF48F6">
        <w:rPr>
          <w:i/>
          <w:iCs/>
          <w:lang w:val="en-CA"/>
        </w:rPr>
        <w:t>triangleDir=0</w:t>
      </w:r>
      <w:r w:rsidR="003971E3">
        <w:rPr>
          <w:lang w:val="en-CA"/>
        </w:rPr>
        <w:t xml:space="preserve">) or regular weighted </w:t>
      </w:r>
      <w:r w:rsidR="003971E3">
        <w:rPr>
          <w:lang w:val="en-CA"/>
        </w:rPr>
        <w:lastRenderedPageBreak/>
        <w:t>bi-prediction using WP weights (</w:t>
      </w:r>
      <w:r w:rsidR="003971E3" w:rsidRPr="00AF48F6">
        <w:rPr>
          <w:i/>
          <w:iCs/>
          <w:lang w:val="en-CA"/>
        </w:rPr>
        <w:t>triangleDir=1</w:t>
      </w:r>
      <w:r w:rsidR="003971E3">
        <w:rPr>
          <w:lang w:val="en-CA"/>
        </w:rPr>
        <w:t>).</w:t>
      </w:r>
      <w:r w:rsidR="00030C80">
        <w:rPr>
          <w:lang w:val="en-CA"/>
        </w:rPr>
        <w:t xml:space="preserve"> </w:t>
      </w:r>
      <w:r w:rsidR="007B43BE">
        <w:rPr>
          <w:lang w:val="en-CA"/>
        </w:rPr>
        <w:t xml:space="preserve">In case the weighted prediction is disabled </w:t>
      </w:r>
      <w:r w:rsidR="0015396A">
        <w:rPr>
          <w:lang w:val="en-CA"/>
        </w:rPr>
        <w:t xml:space="preserve">for both the reference </w:t>
      </w:r>
      <w:r w:rsidR="0015396A" w:rsidRPr="00BE35B0">
        <w:rPr>
          <w:i/>
          <w:iCs/>
          <w:lang w:val="en-CA"/>
        </w:rPr>
        <w:t xml:space="preserve">refIdxA, </w:t>
      </w:r>
      <w:r w:rsidR="0015396A">
        <w:rPr>
          <w:lang w:val="en-CA"/>
        </w:rPr>
        <w:t>and</w:t>
      </w:r>
      <w:r w:rsidR="0015396A">
        <w:rPr>
          <w:i/>
          <w:iCs/>
          <w:lang w:val="en-CA"/>
        </w:rPr>
        <w:t xml:space="preserve"> </w:t>
      </w:r>
      <w:r w:rsidR="0015396A" w:rsidRPr="00BE35B0">
        <w:rPr>
          <w:i/>
          <w:iCs/>
          <w:lang w:val="en-CA"/>
        </w:rPr>
        <w:t>refIdxB</w:t>
      </w:r>
      <w:r w:rsidR="0015396A">
        <w:rPr>
          <w:lang w:val="en-CA"/>
        </w:rPr>
        <w:t xml:space="preserve"> </w:t>
      </w:r>
      <w:r w:rsidR="007B43BE">
        <w:rPr>
          <w:lang w:val="en-CA"/>
        </w:rPr>
        <w:t xml:space="preserve">(WP disabled at slice level or WP weights </w:t>
      </w:r>
      <w:r w:rsidR="00941927">
        <w:rPr>
          <w:lang w:val="en-CA"/>
        </w:rPr>
        <w:t xml:space="preserve">associated with </w:t>
      </w:r>
      <w:r w:rsidR="00941927" w:rsidRPr="00483A36">
        <w:rPr>
          <w:i/>
          <w:iCs/>
          <w:lang w:val="en-CA"/>
        </w:rPr>
        <w:t>refIdxA</w:t>
      </w:r>
      <w:r w:rsidR="00941927">
        <w:rPr>
          <w:lang w:val="en-CA"/>
        </w:rPr>
        <w:t xml:space="preserve"> and </w:t>
      </w:r>
      <w:r w:rsidR="00941927" w:rsidRPr="00483A36">
        <w:rPr>
          <w:i/>
          <w:iCs/>
          <w:lang w:val="en-CA"/>
        </w:rPr>
        <w:t>refIdxB</w:t>
      </w:r>
      <w:r w:rsidR="00941927">
        <w:rPr>
          <w:lang w:val="en-CA"/>
        </w:rPr>
        <w:t xml:space="preserve"> </w:t>
      </w:r>
      <w:r w:rsidR="007B43BE">
        <w:rPr>
          <w:lang w:val="en-CA"/>
        </w:rPr>
        <w:t xml:space="preserve">are defaults) then </w:t>
      </w:r>
      <w:r w:rsidR="00EF1E85">
        <w:rPr>
          <w:lang w:val="en-CA"/>
        </w:rPr>
        <w:t xml:space="preserve">the </w:t>
      </w:r>
      <w:r w:rsidR="007B43BE">
        <w:rPr>
          <w:lang w:val="en-CA"/>
        </w:rPr>
        <w:t>regular two triangle-shaped partitions applies</w:t>
      </w:r>
      <w:r w:rsidR="00A667B7">
        <w:rPr>
          <w:lang w:val="en-CA"/>
        </w:rPr>
        <w:t xml:space="preserve"> (</w:t>
      </w:r>
      <w:r w:rsidR="00A667B7">
        <w:rPr>
          <w:lang w:val="en-CA"/>
        </w:rPr>
        <w:fldChar w:fldCharType="begin"/>
      </w:r>
      <w:r w:rsidR="00A667B7">
        <w:rPr>
          <w:lang w:val="en-CA"/>
        </w:rPr>
        <w:instrText xml:space="preserve"> REF _Ref9702356 \h  \* MERGEFORMAT </w:instrText>
      </w:r>
      <w:r w:rsidR="00A667B7">
        <w:rPr>
          <w:lang w:val="en-CA"/>
        </w:rPr>
      </w:r>
      <w:r w:rsidR="00A667B7">
        <w:rPr>
          <w:lang w:val="en-CA"/>
        </w:rPr>
        <w:fldChar w:fldCharType="separate"/>
      </w:r>
      <w:r w:rsidR="00A667B7" w:rsidRPr="00A667B7">
        <w:rPr>
          <w:lang w:val="en-CA"/>
        </w:rPr>
        <w:t>Figure 1</w:t>
      </w:r>
      <w:r w:rsidR="00A667B7">
        <w:rPr>
          <w:lang w:val="en-CA"/>
        </w:rPr>
        <w:fldChar w:fldCharType="end"/>
      </w:r>
      <w:r w:rsidR="00A667B7">
        <w:rPr>
          <w:lang w:val="en-CA"/>
        </w:rPr>
        <w:t>)</w:t>
      </w:r>
      <w:r w:rsidR="007B43BE">
        <w:rPr>
          <w:lang w:val="en-CA"/>
        </w:rPr>
        <w:t>.</w:t>
      </w:r>
    </w:p>
    <w:p w14:paraId="2150B9E8" w14:textId="101A9214" w:rsidR="003C64AA" w:rsidRDefault="00030C80" w:rsidP="003C64AA">
      <w:pPr>
        <w:rPr>
          <w:lang w:val="en-CA"/>
        </w:rPr>
      </w:pPr>
      <w:r>
        <w:rPr>
          <w:lang w:val="en-CA"/>
        </w:rPr>
        <w:t>Then, no additional weighting stage is added to the inter-prediction pipeline</w:t>
      </w:r>
      <w:r w:rsidR="007B43BE">
        <w:rPr>
          <w:lang w:val="en-CA"/>
        </w:rPr>
        <w:t>.</w:t>
      </w:r>
    </w:p>
    <w:p w14:paraId="6662C3C8" w14:textId="6D97BCD8" w:rsidR="00BE38D0" w:rsidRDefault="009C461D" w:rsidP="00BE38D0">
      <w:pPr>
        <w:jc w:val="center"/>
        <w:rPr>
          <w:lang w:val="en-CA"/>
        </w:rPr>
      </w:pPr>
      <w:r>
        <w:object w:dxaOrig="9612" w:dyaOrig="5154" w14:anchorId="7F148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3in" o:ole="">
            <v:imagedata r:id="rId13" o:title=""/>
          </v:shape>
          <o:OLEObject Type="Embed" ProgID="Visio.Drawing.11" ShapeID="_x0000_i1025" DrawAspect="Content" ObjectID="_1639310859" r:id="rId14"/>
        </w:object>
      </w:r>
    </w:p>
    <w:p w14:paraId="7E0139FD" w14:textId="5BFFF870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bookmarkStart w:id="0" w:name="_Ref9702356"/>
      <w:bookmarkStart w:id="1" w:name="_Ref531704912"/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0"/>
      <w:bookmarkEnd w:id="1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The regular </w:t>
      </w:r>
      <w:r w:rsidRPr="00BE35B0">
        <w:rPr>
          <w:b/>
          <w:iCs/>
          <w:sz w:val="20"/>
        </w:rPr>
        <w:t>two triangle-shaped partitions</w:t>
      </w:r>
      <w:r>
        <w:rPr>
          <w:b/>
          <w:iCs/>
          <w:sz w:val="20"/>
        </w:rPr>
        <w:t xml:space="preserve"> with blending</w:t>
      </w:r>
      <w:r w:rsidRPr="00BE35B0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(left) or bi-prediction process (right) is selected depending on whether WP is </w:t>
      </w:r>
      <w:r w:rsidR="005C488C">
        <w:rPr>
          <w:b/>
          <w:iCs/>
          <w:sz w:val="20"/>
        </w:rPr>
        <w:t>dis</w:t>
      </w:r>
      <w:r>
        <w:rPr>
          <w:b/>
          <w:iCs/>
          <w:sz w:val="20"/>
        </w:rPr>
        <w:t xml:space="preserve">abled for </w:t>
      </w:r>
      <w:r w:rsidR="005C488C">
        <w:rPr>
          <w:b/>
          <w:iCs/>
          <w:sz w:val="20"/>
        </w:rPr>
        <w:t>both reference</w:t>
      </w:r>
      <w:r>
        <w:rPr>
          <w:b/>
          <w:iCs/>
          <w:sz w:val="20"/>
        </w:rPr>
        <w:t xml:space="preserve"> </w:t>
      </w:r>
      <w:r w:rsidR="005C488C">
        <w:rPr>
          <w:b/>
          <w:iCs/>
          <w:sz w:val="20"/>
        </w:rPr>
        <w:t xml:space="preserve">partitions </w:t>
      </w:r>
      <w:r w:rsidR="00C803CD">
        <w:rPr>
          <w:b/>
          <w:iCs/>
          <w:sz w:val="20"/>
        </w:rPr>
        <w:t>or</w:t>
      </w:r>
      <w:r w:rsidR="005C488C">
        <w:rPr>
          <w:b/>
          <w:iCs/>
          <w:sz w:val="20"/>
        </w:rPr>
        <w:t xml:space="preserve"> not</w:t>
      </w:r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19C9AA56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[3]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6898592A" w14:textId="6B4B7C37" w:rsidR="00C46512" w:rsidRDefault="00C46512" w:rsidP="00B72AFA">
      <w:pPr>
        <w:rPr>
          <w:lang w:val="en-CA"/>
        </w:rPr>
      </w:pPr>
      <w:bookmarkStart w:id="2" w:name="_Hlk28686563"/>
      <w:r>
        <w:t>The anchors are VTM-7.0 with WP enabled (incl. ibc bug-fix).</w:t>
      </w:r>
      <w:r w:rsidR="00127C5F">
        <w:t xml:space="preserve"> </w:t>
      </w:r>
      <w:r w:rsidR="00B72334">
        <w:t>The encoder method-0 is used for estimating WP parameters</w:t>
      </w:r>
      <w:bookmarkStart w:id="3" w:name="_GoBack"/>
      <w:bookmarkEnd w:id="3"/>
      <w:r w:rsidR="00127C5F">
        <w:t>.</w:t>
      </w:r>
    </w:p>
    <w:bookmarkEnd w:id="2"/>
    <w:p w14:paraId="30941725" w14:textId="213E92BF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TPM mode combined with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r w:rsidR="00863166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fade-to-black and fade-to-white 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AF729A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3884DE5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6C4EDCF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2290B6F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749387A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5AC8E0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7FF9C120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52EF482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5839DE1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100E" w14:textId="57F6B4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6762E49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57E9441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665552C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6B22195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4317B29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2AE5CCCC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4CEE688E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6C69861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693BEA2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11F7AC6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1B1558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1CFA4E1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F729A" w14:paraId="17C0E417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AE418" w14:textId="43FB07C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D4D99" w14:textId="1B9A1E6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6E178" w14:textId="746AAF9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712DDD22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0789617C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0D21DE8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710A784E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1F9118C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49926C6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115546B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AF729A" w14:paraId="0B9E84DA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3C6D768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4E69513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71196BBB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73DA380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36C07B" w14:textId="4C4419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0F85D2A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1BEE84FE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F729A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79F76D7D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6A1A2029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3ECBD718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395D96F4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5674DEAA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6EB8C7DF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2F498AF5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36005EBE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2870CC95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0A652E79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83%</w:t>
            </w:r>
          </w:p>
        </w:tc>
      </w:tr>
      <w:tr w:rsidR="00AF729A" w14:paraId="72248A1B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ECD031" w14:textId="1427EBA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4FBB162" w14:textId="19F5A99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0BE51" w14:textId="0CC89B2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5C8EF94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73FEB4C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6588D06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42B0307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2E0F57E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66B4903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380DEAB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F729A" w14:paraId="7006F473" w14:textId="77777777" w:rsidTr="002C0B5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2B9452" w14:textId="06F4B48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74BDAAF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2B53BB3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0D69D3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2FE162D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1DAB758F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55C9BD7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3776B29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08F2730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5833B9BE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F729A" w14:paraId="57CD7E7F" w14:textId="77777777" w:rsidTr="00930E0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B82ED" w14:textId="0AF4E503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A813C" w14:textId="70024D4C" w:rsidR="00AF729A" w:rsidRDefault="00AF729A" w:rsidP="00AF72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5CAB0B" w14:textId="235C591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AB370" w14:textId="28D1AFC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62C5D9" w14:textId="51F881C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74D00D5" w14:textId="4596926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5AD8B" w14:textId="61F6044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F6FE2" w14:textId="360E67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40864" w14:textId="61A9D3B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2E401" w14:textId="209304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1E7FC" w14:textId="4324AEA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AF729A" w14:paraId="4E4A027F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3E4E26F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673EFE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02EA2C3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2765F5A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0D8E19C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6E963FF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7D962E7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2E59F98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4334" w14:textId="6FE22E2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1F7FC8C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044639D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71C6827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4810010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488DCEA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7FB827D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15257B6B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59FC85F2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21565A41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6A3B" w14:textId="5BAECA5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0F164D3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4C4931C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2F082EC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F729A" w14:paraId="52E9D760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81A8B" w14:textId="610482E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EFDCB" w14:textId="0A505AB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B3089" w14:textId="720C29C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47AB7918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185161F1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48E80C3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2A524A6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2D11283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67F6A5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7C3969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F729A" w14:paraId="21AD7B7B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0527145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4743695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14C2649B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3A41DD8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4D39AE" w14:textId="1D83C15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419294C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2F6227E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F729A" w14:paraId="7389C09E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49590538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221700F3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06F6746D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002D7A31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6BB54AC4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361C6CAA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332CC0BD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0DA23AA0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63A196B1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491EF2F8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79%</w:t>
            </w:r>
          </w:p>
        </w:tc>
      </w:tr>
      <w:tr w:rsidR="00AF729A" w14:paraId="37BF9F6F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13AD3A5" w14:textId="3990152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62A60" w14:textId="02D4596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2458A6" w14:textId="01CF185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25023E6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6221181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269B9C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7E520A61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3EED2F0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435BF8C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3A6488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F729A" w14:paraId="4DB2D75F" w14:textId="77777777" w:rsidTr="002C0B5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6FD24C" w14:textId="00E4E11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679C57B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74CAA0" w14:textId="73DE244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2AA5EAF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3A330F6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2C33265F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4153CEC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473047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3DDECAA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271206A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F729A" w14:paraId="39E8E67B" w14:textId="77777777" w:rsidTr="000A5F0C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1303C" w14:textId="488A091E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94513A" w14:textId="728C8F46" w:rsidR="00AF729A" w:rsidRDefault="00AF729A" w:rsidP="00AF72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FCF955" w14:textId="1561664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614DD" w14:textId="549E1A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13BE" w14:textId="0951C05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810F01" w14:textId="204D59D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96EEF" w14:textId="4F0AA83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918AEF" w14:textId="66E4F96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BD0EF" w14:textId="7941156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B400F" w14:textId="43CF19E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5541F" w14:textId="7B215A54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96379BA" w14:textId="4DA42266" w:rsidR="00890ED5" w:rsidRDefault="00890ED5" w:rsidP="003C64AA">
      <w:pPr>
        <w:rPr>
          <w:lang w:val="en-CA"/>
        </w:rPr>
      </w:pPr>
    </w:p>
    <w:p w14:paraId="2509F0BB" w14:textId="47AA753D" w:rsidR="00632F6C" w:rsidRDefault="00632F6C" w:rsidP="00632F6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Syntax </w:t>
      </w:r>
      <w:r w:rsidR="00EC559A">
        <w:rPr>
          <w:rFonts w:cs="Times New Roman"/>
          <w:lang w:val="en-CA"/>
        </w:rPr>
        <w:t>modification</w:t>
      </w:r>
      <w:r>
        <w:rPr>
          <w:rFonts w:cs="Times New Roman"/>
          <w:lang w:val="en-CA"/>
        </w:rPr>
        <w:t>s</w:t>
      </w:r>
    </w:p>
    <w:p w14:paraId="61CA4FBB" w14:textId="52716961" w:rsidR="00632F6C" w:rsidRDefault="00632F6C" w:rsidP="00632F6C">
      <w:pPr>
        <w:rPr>
          <w:lang w:val="en-CA"/>
        </w:rPr>
      </w:pPr>
      <w:r>
        <w:rPr>
          <w:lang w:val="en-CA"/>
        </w:rPr>
        <w:t xml:space="preserve">The modification of the syntax is highlighted by </w:t>
      </w:r>
      <w:r w:rsidRPr="00632F6C">
        <w:rPr>
          <w:highlight w:val="yellow"/>
          <w:lang w:val="en-CA"/>
        </w:rPr>
        <w:t>yellow</w:t>
      </w:r>
      <w:r>
        <w:rPr>
          <w:lang w:val="en-CA"/>
        </w:rPr>
        <w:t>:</w:t>
      </w:r>
    </w:p>
    <w:p w14:paraId="37DF6476" w14:textId="77777777" w:rsidR="00632F6C" w:rsidRPr="00084198" w:rsidDel="003C51E6" w:rsidRDefault="00632F6C" w:rsidP="00632F6C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101DC721" w14:textId="77777777" w:rsidR="00632F6C" w:rsidRPr="00084198" w:rsidDel="003C51E6" w:rsidRDefault="00632F6C" w:rsidP="00632F6C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616D02AB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2E0C577A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2A84B8BD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40B00732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3C10EF84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70C1796F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495C9966" w14:textId="77777777" w:rsidR="00632F6C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>
        <w:rPr>
          <w:noProof/>
          <w:color w:val="000000" w:themeColor="text1"/>
          <w:lang w:val="en-CA" w:eastAsia="ko-KR"/>
        </w:rPr>
        <w:t>,</w:t>
      </w:r>
    </w:p>
    <w:p w14:paraId="0075C47C" w14:textId="77777777" w:rsidR="00632F6C" w:rsidRPr="00632F6C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632F6C">
        <w:rPr>
          <w:noProof/>
          <w:highlight w:val="yellow"/>
          <w:lang w:val="en-CA" w:eastAsia="ko-KR"/>
        </w:rPr>
        <w:t>the picture order count pocA and pocB</w:t>
      </w:r>
    </w:p>
    <w:p w14:paraId="40FF8823" w14:textId="77777777" w:rsidR="00632F6C" w:rsidRPr="00632F6C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632F6C">
        <w:rPr>
          <w:noProof/>
          <w:highlight w:val="yellow"/>
          <w:lang w:val="en-CA" w:eastAsia="ko-KR"/>
        </w:rPr>
        <w:t>the variable weightedPredFlag.</w:t>
      </w:r>
    </w:p>
    <w:p w14:paraId="26167E4F" w14:textId="77777777" w:rsidR="00632F6C" w:rsidRPr="00084198" w:rsidDel="003C51E6" w:rsidRDefault="00632F6C" w:rsidP="00632F6C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47F8689A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1FD1B5DD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4B3A9190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0EF1695" w14:textId="77777777" w:rsidR="00632F6C" w:rsidRPr="00084198" w:rsidRDefault="00632F6C" w:rsidP="00632F6C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0F4220BB" w14:textId="77777777" w:rsidR="00632F6C" w:rsidRPr="00084198" w:rsidDel="003C51E6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7313E836" w14:textId="77777777" w:rsid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</w:t>
      </w:r>
      <w:r w:rsidRPr="00084198" w:rsidDel="003C51E6">
        <w:rPr>
          <w:noProof/>
          <w:color w:val="000000" w:themeColor="text1"/>
          <w:lang w:val="en-CA" w:eastAsia="ko-KR"/>
        </w:rPr>
        <w:lastRenderedPageBreak/>
        <w:t>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34051EFF" w14:textId="65BBDCD6" w:rsidR="00632F6C" w:rsidRP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335FD" w:rsidDel="003C51E6">
        <w:rPr>
          <w:noProof/>
          <w:color w:val="000000" w:themeColor="text1"/>
          <w:lang w:val="en-CA" w:eastAsia="ko-KR"/>
        </w:rPr>
        <w:t>The array predSamplesL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is</w:t>
      </w:r>
      <w:r w:rsidRPr="00D335FD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335FD">
        <w:rPr>
          <w:noProof/>
          <w:color w:val="000000" w:themeColor="text1"/>
          <w:lang w:val="en-CA" w:eastAsia="ko-KR"/>
        </w:rPr>
        <w:fldChar w:fldCharType="begin" w:fldLock="1"/>
      </w:r>
      <w:r w:rsidRPr="00D335FD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335FD">
        <w:rPr>
          <w:noProof/>
          <w:color w:val="000000" w:themeColor="text1"/>
          <w:lang w:val="en-CA" w:eastAsia="ko-KR"/>
        </w:rPr>
      </w:r>
      <w:r w:rsidRPr="00D335FD">
        <w:rPr>
          <w:noProof/>
          <w:color w:val="000000" w:themeColor="text1"/>
          <w:lang w:val="en-CA" w:eastAsia="ko-KR"/>
        </w:rPr>
        <w:fldChar w:fldCharType="separate"/>
      </w:r>
      <w:r w:rsidRPr="00D335FD">
        <w:rPr>
          <w:noProof/>
          <w:color w:val="000000" w:themeColor="text1"/>
          <w:lang w:val="en-CA" w:eastAsia="ko-KR"/>
        </w:rPr>
        <w:t>8.5.6.3</w:t>
      </w:r>
      <w:r w:rsidRPr="00D335FD">
        <w:rPr>
          <w:noProof/>
          <w:color w:val="000000" w:themeColor="text1"/>
          <w:lang w:val="en-CA" w:eastAsia="ko-KR"/>
        </w:rPr>
        <w:fldChar w:fldCharType="end"/>
      </w:r>
      <w:r w:rsidRPr="00D335FD">
        <w:rPr>
          <w:noProof/>
          <w:color w:val="000000" w:themeColor="text1"/>
          <w:lang w:val="en-CA" w:eastAsia="ko-KR"/>
        </w:rPr>
        <w:t xml:space="preserve"> with the luma location</w:t>
      </w:r>
      <w:r w:rsidRPr="00D335FD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335FD">
        <w:rPr>
          <w:noProof/>
          <w:color w:val="000000" w:themeColor="text1"/>
          <w:lang w:val="en-CA" w:eastAsia="ko-KR"/>
        </w:rPr>
        <w:t xml:space="preserve"> sbWidth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cbWidth</w:t>
      </w:r>
      <w:r w:rsidRPr="00D335FD" w:rsidDel="003C51E6">
        <w:rPr>
          <w:noProof/>
          <w:color w:val="000000" w:themeColor="text1"/>
          <w:lang w:val="en-CA" w:eastAsia="ko-KR"/>
        </w:rPr>
        <w:t xml:space="preserve">, the luma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335FD">
        <w:rPr>
          <w:noProof/>
          <w:color w:val="000000" w:themeColor="text1"/>
          <w:lang w:val="en-CA" w:eastAsia="ko-KR"/>
        </w:rPr>
        <w:t xml:space="preserve"> sbHeight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D335FD" w:rsidDel="003C51E6">
        <w:rPr>
          <w:noProof/>
          <w:color w:val="000000" w:themeColor="text1"/>
          <w:lang w:val="en-CA" w:eastAsia="ko-KR"/>
        </w:rPr>
        <w:t>and the reference array refPicL</w:t>
      </w:r>
      <w:r w:rsidRPr="00D335FD">
        <w:rPr>
          <w:noProof/>
          <w:color w:val="000000" w:themeColor="text1"/>
          <w:lang w:val="en-CA" w:eastAsia="ko-KR"/>
        </w:rPr>
        <w:t>X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>
        <w:rPr>
          <w:noProof/>
          <w:color w:val="000000" w:themeColor="text1"/>
          <w:lang w:val="en-CA" w:eastAsia="ko-KR"/>
        </w:rPr>
        <w:t xml:space="preserve">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refPicL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D335FD">
        <w:rPr>
          <w:noProof/>
          <w:lang w:val="en-CA" w:eastAsia="ko-KR"/>
        </w:rPr>
        <w:t>the variable cIdx is set equal to 0, and RefPicScale[ </w:t>
      </w:r>
      <w:r w:rsidRPr="00D335FD">
        <w:rPr>
          <w:noProof/>
          <w:color w:val="000000" w:themeColor="text1"/>
          <w:lang w:val="en-CA" w:eastAsia="ko-KR"/>
        </w:rPr>
        <w:t>predListFlagN </w:t>
      </w:r>
      <w:r w:rsidRPr="00D335FD">
        <w:rPr>
          <w:noProof/>
          <w:lang w:val="en-CA" w:eastAsia="ko-KR"/>
        </w:rPr>
        <w:t>][ </w:t>
      </w:r>
      <w:r w:rsidRPr="00D335FD">
        <w:rPr>
          <w:noProof/>
          <w:color w:val="000000" w:themeColor="text1"/>
          <w:lang w:val="en-CA" w:eastAsia="ko-KR"/>
        </w:rPr>
        <w:t>refIdxN </w:t>
      </w:r>
      <w:r w:rsidRPr="00D335FD">
        <w:rPr>
          <w:noProof/>
          <w:lang w:val="en-CA" w:eastAsia="ko-KR"/>
        </w:rPr>
        <w:t>]</w:t>
      </w:r>
      <w:r w:rsidRPr="00D335FD" w:rsidDel="003C51E6">
        <w:rPr>
          <w:noProof/>
          <w:lang w:val="en-CA" w:eastAsia="ko-KR"/>
        </w:rPr>
        <w:t xml:space="preserve"> </w:t>
      </w:r>
      <w:r w:rsidRPr="00D335FD" w:rsidDel="003C51E6">
        <w:rPr>
          <w:noProof/>
          <w:color w:val="000000" w:themeColor="text1"/>
          <w:lang w:val="en-CA" w:eastAsia="ko-KR"/>
        </w:rPr>
        <w:t>as inputs.</w:t>
      </w:r>
      <w:r w:rsidR="00C44890" w:rsidRPr="00D335FD">
        <w:rPr>
          <w:noProof/>
          <w:color w:val="000000" w:themeColor="text1"/>
          <w:lang w:val="en-CA" w:eastAsia="ko-KR"/>
        </w:rPr>
        <w:t xml:space="preserve">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 xml:space="preserve">The variable wpEnabledTriangle[0] is set equal to 1 if weightedPredFlag is equal to 1 and </w:t>
      </w:r>
      <w:r w:rsidR="00C44890" w:rsidRPr="00D335FD">
        <w:rPr>
          <w:noProof/>
          <w:color w:val="000000" w:themeColor="text1"/>
          <w:highlight w:val="yellow"/>
          <w:lang w:val="en-CA"/>
        </w:rPr>
        <w:t xml:space="preserve">(predListFlagN is equal to 0 and luma_weight_l0_flag[ refIdxN ] is equal to 1) or (predListFlagN is equal to 1 and luma_weight_l1_flag[ refIdxN ] is equal to 1), otherwise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>wpEnabledTriangle[0] is set equal to 0.</w:t>
      </w:r>
    </w:p>
    <w:p w14:paraId="06BE23EB" w14:textId="77777777" w:rsid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1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  <w:r w:rsidR="00C44890" w:rsidRPr="00C44890">
        <w:rPr>
          <w:noProof/>
          <w:color w:val="000000" w:themeColor="text1"/>
          <w:lang w:val="en-CA" w:eastAsia="ko-KR"/>
        </w:rPr>
        <w:t xml:space="preserve"> </w:t>
      </w:r>
      <w:r w:rsidR="00C44890" w:rsidRPr="00C44890">
        <w:rPr>
          <w:noProof/>
          <w:color w:val="000000" w:themeColor="text1"/>
          <w:highlight w:val="yellow"/>
          <w:lang w:val="en-CA" w:eastAsia="ko-KR"/>
        </w:rPr>
        <w:t xml:space="preserve">The variable wpEnabledTriangle[1] is set equal to 1 if weightedPredFlag is equal to 1 and </w:t>
      </w:r>
      <w:r w:rsidR="00C44890" w:rsidRPr="00C44890">
        <w:rPr>
          <w:noProof/>
          <w:color w:val="000000" w:themeColor="text1"/>
          <w:highlight w:val="yellow"/>
          <w:lang w:val="en-CA"/>
        </w:rPr>
        <w:t xml:space="preserve">(predListFlagN is equal to 0 and chroma_weight_l0_flag[ refIdxN ] is equal to 1) or (predListFlagN is equal to 1 and chroma_weight_l1_flag[ refIdxN ] is equal to 1), otherwise </w:t>
      </w:r>
      <w:r w:rsidR="00C44890" w:rsidRPr="00C44890">
        <w:rPr>
          <w:noProof/>
          <w:color w:val="000000" w:themeColor="text1"/>
          <w:highlight w:val="yellow"/>
          <w:lang w:val="en-CA" w:eastAsia="ko-KR"/>
        </w:rPr>
        <w:t>wpEnabledTriangle[1] is set equal to 0.</w:t>
      </w:r>
    </w:p>
    <w:p w14:paraId="0DCFAAB1" w14:textId="1F3D1E3F" w:rsidR="00632F6C" w:rsidRP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335FD" w:rsidDel="003C51E6">
        <w:rPr>
          <w:noProof/>
          <w:color w:val="000000" w:themeColor="text1"/>
          <w:lang w:val="en-CA" w:eastAsia="ko-KR"/>
        </w:rPr>
        <w:t>The array predSamplesL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D335FD">
        <w:rPr>
          <w:noProof/>
          <w:color w:val="000000" w:themeColor="text1"/>
          <w:lang w:val="en-CA" w:eastAsia="ko-KR"/>
        </w:rPr>
        <w:t>is</w:t>
      </w:r>
      <w:r w:rsidRPr="00D335FD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335FD">
        <w:rPr>
          <w:noProof/>
          <w:color w:val="000000" w:themeColor="text1"/>
          <w:lang w:val="en-CA" w:eastAsia="ko-KR"/>
        </w:rPr>
        <w:fldChar w:fldCharType="begin" w:fldLock="1"/>
      </w:r>
      <w:r w:rsidRPr="00D335FD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335FD">
        <w:rPr>
          <w:noProof/>
          <w:color w:val="000000" w:themeColor="text1"/>
          <w:lang w:val="en-CA" w:eastAsia="ko-KR"/>
        </w:rPr>
      </w:r>
      <w:r w:rsidRPr="00D335FD">
        <w:rPr>
          <w:noProof/>
          <w:color w:val="000000" w:themeColor="text1"/>
          <w:lang w:val="en-CA" w:eastAsia="ko-KR"/>
        </w:rPr>
        <w:fldChar w:fldCharType="separate"/>
      </w:r>
      <w:r w:rsidRPr="00D335FD">
        <w:rPr>
          <w:noProof/>
          <w:color w:val="000000" w:themeColor="text1"/>
          <w:lang w:val="en-CA" w:eastAsia="ko-KR"/>
        </w:rPr>
        <w:t>8.5.6.3</w:t>
      </w:r>
      <w:r w:rsidRPr="00D335FD">
        <w:rPr>
          <w:noProof/>
          <w:color w:val="000000" w:themeColor="text1"/>
          <w:lang w:val="en-CA" w:eastAsia="ko-KR"/>
        </w:rPr>
        <w:fldChar w:fldCharType="end"/>
      </w:r>
      <w:r w:rsidRPr="00D335FD">
        <w:rPr>
          <w:noProof/>
          <w:color w:val="000000" w:themeColor="text1"/>
          <w:lang w:val="en-CA" w:eastAsia="ko-KR"/>
        </w:rPr>
        <w:t xml:space="preserve"> with the luma location</w:t>
      </w:r>
      <w:r w:rsidRPr="00D335FD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335FD">
        <w:rPr>
          <w:noProof/>
          <w:color w:val="000000" w:themeColor="text1"/>
          <w:lang w:val="en-CA" w:eastAsia="ko-KR"/>
        </w:rPr>
        <w:t xml:space="preserve"> sbWidth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cbWidth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noProof/>
          <w:color w:val="000000" w:themeColor="text1"/>
          <w:lang w:val="en-CA" w:eastAsia="ko-KR"/>
        </w:rPr>
        <w:t>/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lang w:val="en-CA"/>
        </w:rPr>
        <w:t>SubWidthC</w:t>
      </w:r>
      <w:r w:rsidRPr="00D335FD" w:rsidDel="003C51E6">
        <w:rPr>
          <w:noProof/>
          <w:color w:val="000000" w:themeColor="text1"/>
          <w:lang w:val="en-CA" w:eastAsia="ko-KR"/>
        </w:rPr>
        <w:t xml:space="preserve">, the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335FD">
        <w:rPr>
          <w:noProof/>
          <w:color w:val="000000" w:themeColor="text1"/>
          <w:lang w:val="en-CA" w:eastAsia="ko-KR"/>
        </w:rPr>
        <w:t xml:space="preserve"> sbHeight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cbHeight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noProof/>
          <w:color w:val="000000" w:themeColor="text1"/>
          <w:lang w:val="en-CA" w:eastAsia="ko-KR"/>
        </w:rPr>
        <w:t>/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lang w:val="en-CA"/>
        </w:rPr>
        <w:t>SubHeightC</w:t>
      </w:r>
      <w:r w:rsidRPr="00D335FD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D335FD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D335FD">
        <w:rPr>
          <w:noProof/>
          <w:color w:val="000000" w:themeColor="text1"/>
          <w:lang w:val="en-CA" w:eastAsia="ko-KR"/>
        </w:rPr>
        <w:t>X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>r</w:t>
      </w:r>
      <w:r w:rsidRPr="00D335FD">
        <w:rPr>
          <w:noProof/>
          <w:color w:val="000000" w:themeColor="text1"/>
          <w:lang w:val="en-CA" w:eastAsia="ko-KR"/>
        </w:rPr>
        <w:t xml:space="preserve"> set equal to </w:t>
      </w:r>
      <w:r w:rsidRPr="00D335FD" w:rsidDel="003C51E6">
        <w:rPr>
          <w:noProof/>
          <w:color w:val="000000" w:themeColor="text1"/>
          <w:lang w:val="en-CA" w:eastAsia="ko-KR"/>
        </w:rPr>
        <w:t>refPicL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>r</w:t>
      </w:r>
      <w:r w:rsidRPr="00D335FD" w:rsidDel="003C51E6">
        <w:rPr>
          <w:noProof/>
          <w:color w:val="000000" w:themeColor="text1"/>
          <w:lang w:val="en-CA" w:eastAsia="ko-KR"/>
        </w:rPr>
        <w:t>,</w:t>
      </w:r>
      <w:r w:rsidRPr="00D335FD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D335FD">
        <w:rPr>
          <w:noProof/>
          <w:lang w:val="en-CA" w:eastAsia="ko-KR"/>
        </w:rPr>
        <w:t>the variable cIdx is set equal to 2, and RefPicScale[ </w:t>
      </w:r>
      <w:r w:rsidRPr="00D335FD">
        <w:rPr>
          <w:noProof/>
          <w:color w:val="000000" w:themeColor="text1"/>
          <w:lang w:val="en-CA" w:eastAsia="ko-KR"/>
        </w:rPr>
        <w:t>predListFlagN </w:t>
      </w:r>
      <w:r w:rsidRPr="00D335FD">
        <w:rPr>
          <w:noProof/>
          <w:lang w:val="en-CA" w:eastAsia="ko-KR"/>
        </w:rPr>
        <w:t>][ </w:t>
      </w:r>
      <w:r w:rsidRPr="00D335FD">
        <w:rPr>
          <w:noProof/>
          <w:color w:val="000000" w:themeColor="text1"/>
          <w:lang w:val="en-CA" w:eastAsia="ko-KR"/>
        </w:rPr>
        <w:t>refIdxN </w:t>
      </w:r>
      <w:r w:rsidRPr="00D335FD">
        <w:rPr>
          <w:noProof/>
          <w:lang w:val="en-CA" w:eastAsia="ko-KR"/>
        </w:rPr>
        <w:t xml:space="preserve">] </w:t>
      </w:r>
      <w:r w:rsidRPr="00D335FD" w:rsidDel="003C51E6">
        <w:rPr>
          <w:noProof/>
          <w:color w:val="000000" w:themeColor="text1"/>
          <w:lang w:val="en-CA" w:eastAsia="ko-KR"/>
        </w:rPr>
        <w:t>as inputs.</w:t>
      </w:r>
      <w:r w:rsidR="00C44890" w:rsidRPr="00D335FD">
        <w:rPr>
          <w:noProof/>
          <w:color w:val="000000" w:themeColor="text1"/>
          <w:lang w:val="en-CA" w:eastAsia="ko-KR"/>
        </w:rPr>
        <w:t xml:space="preserve">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 xml:space="preserve">The variable wpEnabledTriangle[2] is set equal to 1 if weightedPredFlag is equal to 1 and </w:t>
      </w:r>
      <w:r w:rsidR="00C44890" w:rsidRPr="00D335FD">
        <w:rPr>
          <w:noProof/>
          <w:color w:val="000000" w:themeColor="text1"/>
          <w:highlight w:val="yellow"/>
          <w:lang w:val="en-CA"/>
        </w:rPr>
        <w:t xml:space="preserve">(predListFlagN is equal to 0 and chroma_weight_l0_flag[ refIdxN ] is equal to 1) or (predListFlagN is equal to 1 and chroma_weight_l1_flag[ refIdxN ] is equal to 1), otherwise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>wpEnabledTriangle[2] is set equal to 0.</w:t>
      </w:r>
    </w:p>
    <w:p w14:paraId="72D3FF85" w14:textId="77777777" w:rsidR="00632F6C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23E8D230" w14:textId="77777777" w:rsidR="00C44890" w:rsidRPr="00C44890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The variable wpTriangleMode[cIdx] is derived as follows: </w:t>
      </w:r>
    </w:p>
    <w:p w14:paraId="35D44073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wpEnabledTriangle[cIdx] is equal to 1 and triangleDir is equal to 0, then wpTriangleMode[cIdx] is set equal to 0,</w:t>
      </w:r>
    </w:p>
    <w:p w14:paraId="2AB93A6B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if wpEnabledTriangle[cIdx] is equal to 1 and pocA is equal to pocB, then wpTriangleMode[cIdx] is set equal to 2,</w:t>
      </w:r>
    </w:p>
    <w:p w14:paraId="1F02EF05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if wpEnabledTriangle[cIdx] is equal to 0, then wpTriangleMode[cIdx] is set equal to 2,</w:t>
      </w:r>
    </w:p>
    <w:p w14:paraId="4E98459E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(wpEnabledTriangle[cIdx] is equal to 1 and triangleDir is equal to 1) wpTriangleMode[cIdx] is set equal to 1.</w:t>
      </w:r>
    </w:p>
    <w:p w14:paraId="37838F4D" w14:textId="729FE0DB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 − 1, are derived by invoking the weighted sample prediction </w:t>
      </w:r>
      <w:r w:rsidRPr="00084198" w:rsidDel="003C51E6">
        <w:rPr>
          <w:noProof/>
          <w:color w:val="000000" w:themeColor="text1"/>
          <w:lang w:val="en-CA" w:eastAsia="ko-KR"/>
        </w:rPr>
        <w:lastRenderedPageBreak/>
        <w:t>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wpTriangleMode[0]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wpTriangleMode[0] is equal to 1, and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wpTriangleMode[0]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4D1D48E0" w14:textId="705FB023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wpTriangleMode[1]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wpTriangleMode[1] is equal to 1,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wpTriangleMode[1]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 xml:space="preserve">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77819349" w14:textId="555247E9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wpTriangleMode[2]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wpTriangleMode[2] is equal to 1,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wpTriangleMode[2]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 xml:space="preserve">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13D95C9E" w14:textId="77777777" w:rsidR="00632F6C" w:rsidRPr="00084198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2CC88E5A" w14:textId="77777777" w:rsidR="00632F6C" w:rsidRDefault="00632F6C" w:rsidP="003C64AA">
      <w:pPr>
        <w:rPr>
          <w:lang w:val="en-CA"/>
        </w:rPr>
      </w:pPr>
    </w:p>
    <w:p w14:paraId="5178EF68" w14:textId="77777777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0ECB55B5" w:rsidR="002912D2" w:rsidRPr="0053252A" w:rsidRDefault="002912D2" w:rsidP="002912D2">
      <w:pPr>
        <w:rPr>
          <w:lang w:val="en-CA"/>
        </w:rPr>
      </w:pPr>
      <w:r>
        <w:rPr>
          <w:lang w:val="en-CA"/>
        </w:rPr>
        <w:t>It is proposed to enable the weighted</w:t>
      </w:r>
      <w:r w:rsidR="005C4A0A">
        <w:rPr>
          <w:lang w:val="en-CA"/>
        </w:rPr>
        <w:t xml:space="preserve"> </w:t>
      </w:r>
      <w:r>
        <w:rPr>
          <w:lang w:val="en-CA"/>
        </w:rPr>
        <w:t xml:space="preserve">prediction with TPM. </w:t>
      </w:r>
      <w:r w:rsidR="00A837B8">
        <w:rPr>
          <w:lang w:val="en-CA"/>
        </w:rPr>
        <w:t xml:space="preserve">It is stated that </w:t>
      </w:r>
      <w:r w:rsidR="0012545F">
        <w:rPr>
          <w:lang w:val="en-CA"/>
        </w:rPr>
        <w:t xml:space="preserve">the proposed method does not add any </w:t>
      </w:r>
      <w:r w:rsidR="00755011">
        <w:rPr>
          <w:lang w:val="en-CA"/>
        </w:rPr>
        <w:t>supplement</w:t>
      </w:r>
      <w:r w:rsidR="00A837B8">
        <w:rPr>
          <w:lang w:val="en-CA"/>
        </w:rPr>
        <w:t xml:space="preserve">al process nor weighting stage to the inter-prediction pipeline compared to </w:t>
      </w:r>
      <w:r w:rsidR="0012545F">
        <w:rPr>
          <w:lang w:val="en-CA"/>
        </w:rPr>
        <w:t xml:space="preserve">the </w:t>
      </w:r>
      <w:r w:rsidR="00A837B8">
        <w:rPr>
          <w:lang w:val="en-CA"/>
        </w:rPr>
        <w:t xml:space="preserve">regular TPM or </w:t>
      </w:r>
      <w:r w:rsidR="0012545F">
        <w:rPr>
          <w:lang w:val="en-CA"/>
        </w:rPr>
        <w:t xml:space="preserve">the </w:t>
      </w:r>
      <w:r w:rsidR="00A837B8">
        <w:rPr>
          <w:lang w:val="en-CA"/>
        </w:rPr>
        <w:t>regular bi-prediction</w:t>
      </w:r>
      <w:r w:rsidR="0012545F">
        <w:rPr>
          <w:lang w:val="en-CA"/>
        </w:rPr>
        <w:t xml:space="preserve"> modes</w:t>
      </w:r>
      <w:r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2DE39A" w14:textId="1150522D" w:rsidR="00930E0A" w:rsidRP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4" w:name="_Ref28599891"/>
      <w:bookmarkStart w:id="5" w:name="_Ref20996246"/>
      <w:r w:rsidRPr="00930E0A">
        <w:rPr>
          <w:szCs w:val="22"/>
          <w:lang w:val="en-CA"/>
        </w:rPr>
        <w:t>T.Chujoh, E.Sasaki, T.Ik</w:t>
      </w:r>
      <w:r>
        <w:rPr>
          <w:szCs w:val="22"/>
          <w:lang w:val="en-CA"/>
        </w:rPr>
        <w:t>ai, “</w:t>
      </w:r>
      <w:r w:rsidRPr="00930E0A">
        <w:rPr>
          <w:szCs w:val="22"/>
          <w:lang w:val="en-CA"/>
        </w:rPr>
        <w:t>Non-CE4: On a simplification for triangle merge mode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4"/>
    </w:p>
    <w:p w14:paraId="35775FB4" w14:textId="0660C9E4" w:rsid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6" w:name="_Ref28599902"/>
      <w:r>
        <w:rPr>
          <w:szCs w:val="22"/>
          <w:lang w:val="en-CA"/>
        </w:rPr>
        <w:t>A.Filippov, V.Rufitskiy, “</w:t>
      </w:r>
      <w:r w:rsidRPr="00930E0A">
        <w:rPr>
          <w:szCs w:val="22"/>
          <w:lang w:val="en-CA"/>
        </w:rPr>
        <w:t>Non-CE4: On TPM merge mode in the presence of weighted prediction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6"/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28617596"/>
      <w:r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5"/>
      <w:bookmarkEnd w:id="7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5AF1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2334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B6CFD"/>
    <w:multiLevelType w:val="hybridMultilevel"/>
    <w:tmpl w:val="0D40C8F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5BE0A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45F"/>
    <w:rsid w:val="0012580B"/>
    <w:rsid w:val="00127C5F"/>
    <w:rsid w:val="00131F90"/>
    <w:rsid w:val="0013458C"/>
    <w:rsid w:val="0013526E"/>
    <w:rsid w:val="00146152"/>
    <w:rsid w:val="0015396A"/>
    <w:rsid w:val="00155109"/>
    <w:rsid w:val="00155526"/>
    <w:rsid w:val="00171371"/>
    <w:rsid w:val="00175A24"/>
    <w:rsid w:val="00187E58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D2"/>
    <w:rsid w:val="00291E36"/>
    <w:rsid w:val="00292257"/>
    <w:rsid w:val="002A54E0"/>
    <w:rsid w:val="002B1595"/>
    <w:rsid w:val="002B191D"/>
    <w:rsid w:val="002B2E83"/>
    <w:rsid w:val="002C0B50"/>
    <w:rsid w:val="002D0AF6"/>
    <w:rsid w:val="002F164D"/>
    <w:rsid w:val="003021BC"/>
    <w:rsid w:val="00306206"/>
    <w:rsid w:val="00317D85"/>
    <w:rsid w:val="00326FC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1E3"/>
    <w:rsid w:val="003A2D8E"/>
    <w:rsid w:val="003A7CE6"/>
    <w:rsid w:val="003C20E4"/>
    <w:rsid w:val="003C64AA"/>
    <w:rsid w:val="003D6342"/>
    <w:rsid w:val="003E6F90"/>
    <w:rsid w:val="003E73ED"/>
    <w:rsid w:val="003F5D0F"/>
    <w:rsid w:val="004029C1"/>
    <w:rsid w:val="00411322"/>
    <w:rsid w:val="00414101"/>
    <w:rsid w:val="004219CF"/>
    <w:rsid w:val="004234F0"/>
    <w:rsid w:val="00433DDB"/>
    <w:rsid w:val="00435A29"/>
    <w:rsid w:val="00437619"/>
    <w:rsid w:val="0044443D"/>
    <w:rsid w:val="00465A1E"/>
    <w:rsid w:val="00483A36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B2F54"/>
    <w:rsid w:val="005C385F"/>
    <w:rsid w:val="005C488C"/>
    <w:rsid w:val="005C4A0A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F6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11"/>
    <w:rsid w:val="0075585E"/>
    <w:rsid w:val="00770571"/>
    <w:rsid w:val="007768FF"/>
    <w:rsid w:val="007824D3"/>
    <w:rsid w:val="00796EE3"/>
    <w:rsid w:val="007A7D29"/>
    <w:rsid w:val="007B43BE"/>
    <w:rsid w:val="007B4AB8"/>
    <w:rsid w:val="007D1181"/>
    <w:rsid w:val="007E01A3"/>
    <w:rsid w:val="007F1F8B"/>
    <w:rsid w:val="007F6205"/>
    <w:rsid w:val="007F67A1"/>
    <w:rsid w:val="00811C05"/>
    <w:rsid w:val="008206C8"/>
    <w:rsid w:val="00863166"/>
    <w:rsid w:val="0086387C"/>
    <w:rsid w:val="00874A6C"/>
    <w:rsid w:val="00876C65"/>
    <w:rsid w:val="00882F72"/>
    <w:rsid w:val="00890ED5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41927"/>
    <w:rsid w:val="00955F6D"/>
    <w:rsid w:val="00961F4C"/>
    <w:rsid w:val="00977C16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F496B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A6E84"/>
    <w:rsid w:val="00AB1A1C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334"/>
    <w:rsid w:val="00B72AFA"/>
    <w:rsid w:val="00B73A2A"/>
    <w:rsid w:val="00B75A51"/>
    <w:rsid w:val="00B827C6"/>
    <w:rsid w:val="00B94B06"/>
    <w:rsid w:val="00B94C28"/>
    <w:rsid w:val="00BA5C05"/>
    <w:rsid w:val="00BC10BA"/>
    <w:rsid w:val="00BC5AFD"/>
    <w:rsid w:val="00BE35B0"/>
    <w:rsid w:val="00BE38D0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44890"/>
    <w:rsid w:val="00C46512"/>
    <w:rsid w:val="00C606C9"/>
    <w:rsid w:val="00C80288"/>
    <w:rsid w:val="00C803CD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5FD"/>
    <w:rsid w:val="00D446EC"/>
    <w:rsid w:val="00D51BF0"/>
    <w:rsid w:val="00D531DB"/>
    <w:rsid w:val="00D55942"/>
    <w:rsid w:val="00D807BF"/>
    <w:rsid w:val="00D82FCC"/>
    <w:rsid w:val="00D97F56"/>
    <w:rsid w:val="00DA17FC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59A"/>
    <w:rsid w:val="00EE7CD8"/>
    <w:rsid w:val="00EF1E85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3D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30E0A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5E5F9-4A83-464C-A0A2-CE2D8A74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2316</Words>
  <Characters>13243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52</cp:revision>
  <cp:lastPrinted>1900-01-01T08:00:00Z</cp:lastPrinted>
  <dcterms:created xsi:type="dcterms:W3CDTF">2019-11-01T13:47:00Z</dcterms:created>
  <dcterms:modified xsi:type="dcterms:W3CDTF">2019-12-31T14:08:00Z</dcterms:modified>
</cp:coreProperties>
</file>