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BA7FB45" w:rsidR="008A4B4C" w:rsidRPr="005B217D" w:rsidRDefault="00E61DAC" w:rsidP="00B910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910AB">
              <w:rPr>
                <w:lang w:val="en-CA"/>
              </w:rPr>
              <w:t>0203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479197" w:rsidR="00E61DAC" w:rsidRPr="005B217D" w:rsidRDefault="0086387C" w:rsidP="009B13D0">
            <w:pPr>
              <w:spacing w:before="60" w:after="60"/>
              <w:rPr>
                <w:b/>
                <w:szCs w:val="22"/>
                <w:lang w:val="en-CA"/>
              </w:rPr>
            </w:pPr>
            <w:r w:rsidRPr="0086387C">
              <w:rPr>
                <w:b/>
                <w:szCs w:val="22"/>
                <w:lang w:val="en-CA"/>
              </w:rPr>
              <w:t>[</w:t>
            </w:r>
            <w:r w:rsidR="004219CF" w:rsidRPr="004219CF">
              <w:rPr>
                <w:b/>
                <w:szCs w:val="22"/>
                <w:lang w:val="en-CA"/>
              </w:rPr>
              <w:t>AHG</w:t>
            </w:r>
            <w:r w:rsidR="009B13D0">
              <w:rPr>
                <w:b/>
                <w:szCs w:val="22"/>
                <w:lang w:val="en-CA"/>
              </w:rPr>
              <w:t>12</w:t>
            </w:r>
            <w:r w:rsidRPr="0086387C">
              <w:rPr>
                <w:b/>
                <w:szCs w:val="22"/>
                <w:lang w:val="en-CA"/>
              </w:rPr>
              <w:t>]</w:t>
            </w:r>
            <w:r w:rsidR="009B13D0">
              <w:rPr>
                <w:b/>
                <w:szCs w:val="22"/>
                <w:lang w:val="en-CA"/>
              </w:rPr>
              <w:t>: On signalling of multiple rectangular slices in a tile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0EFEAB0" w:rsidR="00E61DAC" w:rsidRPr="005B217D" w:rsidRDefault="0013458C" w:rsidP="009B13D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7308CF" w:rsidR="00E61DAC" w:rsidRPr="005B217D" w:rsidRDefault="00E61DAC" w:rsidP="009B13D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FA238A" w14:textId="77777777" w:rsidR="004530C0" w:rsidRPr="00167420" w:rsidRDefault="004530C0" w:rsidP="004530C0">
            <w:pPr>
              <w:spacing w:before="60" w:after="60"/>
              <w:jc w:val="left"/>
              <w:rPr>
                <w:szCs w:val="22"/>
                <w:lang w:val="en-CA"/>
              </w:rPr>
            </w:pPr>
            <w:r w:rsidRPr="00167420">
              <w:rPr>
                <w:szCs w:val="22"/>
                <w:lang w:val="en-CA"/>
              </w:rPr>
              <w:t>Hendry</w:t>
            </w:r>
            <w:r>
              <w:rPr>
                <w:szCs w:val="22"/>
                <w:lang w:val="en-CA"/>
              </w:rPr>
              <w:br/>
            </w:r>
            <w:proofErr w:type="spellStart"/>
            <w:r w:rsidRPr="00167420">
              <w:rPr>
                <w:szCs w:val="22"/>
                <w:lang w:val="en-CA"/>
              </w:rPr>
              <w:t>Seethal</w:t>
            </w:r>
            <w:proofErr w:type="spellEnd"/>
            <w:r w:rsidRPr="00167420">
              <w:rPr>
                <w:szCs w:val="22"/>
                <w:lang w:val="en-CA"/>
              </w:rPr>
              <w:t xml:space="preserve"> </w:t>
            </w:r>
            <w:proofErr w:type="spellStart"/>
            <w:r w:rsidRPr="00167420">
              <w:rPr>
                <w:szCs w:val="22"/>
                <w:lang w:val="en-CA"/>
              </w:rPr>
              <w:t>Paluri</w:t>
            </w:r>
            <w:proofErr w:type="spellEnd"/>
          </w:p>
          <w:p w14:paraId="49D81240" w14:textId="3F19E5FD" w:rsidR="00E61DAC" w:rsidRPr="005B217D" w:rsidRDefault="004530C0" w:rsidP="004530C0">
            <w:pPr>
              <w:spacing w:before="60" w:after="60"/>
              <w:rPr>
                <w:szCs w:val="22"/>
                <w:lang w:val="en-CA"/>
              </w:rPr>
            </w:pPr>
            <w:r w:rsidRPr="00167420">
              <w:rPr>
                <w:szCs w:val="22"/>
                <w:lang w:val="en-CA"/>
              </w:rPr>
              <w:br/>
              <w:t>10225 Willow Creek Rd,</w:t>
            </w:r>
            <w:r>
              <w:rPr>
                <w:szCs w:val="22"/>
                <w:lang w:val="en-CA"/>
              </w:rPr>
              <w:br/>
            </w:r>
            <w:r w:rsidRPr="00167420">
              <w:rPr>
                <w:szCs w:val="22"/>
                <w:lang w:val="en-CA"/>
              </w:rPr>
              <w:t>San Diego, CA 92131, USA</w:t>
            </w:r>
          </w:p>
        </w:tc>
        <w:tc>
          <w:tcPr>
            <w:tcW w:w="900" w:type="dxa"/>
          </w:tcPr>
          <w:p w14:paraId="0140ECA2" w14:textId="5888C5A2" w:rsidR="00E61DAC" w:rsidRPr="005B217D" w:rsidRDefault="00E61DAC" w:rsidP="009807E4">
            <w:pPr>
              <w:spacing w:before="60" w:after="60"/>
              <w:rPr>
                <w:szCs w:val="22"/>
                <w:lang w:val="en-CA"/>
              </w:rPr>
            </w:pPr>
            <w:r w:rsidRPr="005B217D">
              <w:rPr>
                <w:szCs w:val="22"/>
                <w:lang w:val="en-CA"/>
              </w:rPr>
              <w:br/>
              <w:t>Email:</w:t>
            </w:r>
          </w:p>
        </w:tc>
        <w:tc>
          <w:tcPr>
            <w:tcW w:w="3060" w:type="dxa"/>
          </w:tcPr>
          <w:p w14:paraId="694C1949" w14:textId="77777777" w:rsidR="004530C0" w:rsidRPr="00167420" w:rsidRDefault="00E61DAC" w:rsidP="004530C0">
            <w:pPr>
              <w:spacing w:before="60" w:after="60"/>
              <w:rPr>
                <w:rStyle w:val="Hyperlink"/>
                <w:szCs w:val="22"/>
              </w:rPr>
            </w:pPr>
            <w:r w:rsidRPr="005B217D">
              <w:rPr>
                <w:szCs w:val="22"/>
                <w:lang w:val="en-CA"/>
              </w:rPr>
              <w:br/>
            </w:r>
            <w:hyperlink r:id="rId9" w:history="1">
              <w:r w:rsidR="004530C0" w:rsidRPr="00167420">
                <w:rPr>
                  <w:rStyle w:val="Hyperlink"/>
                  <w:szCs w:val="22"/>
                </w:rPr>
                <w:t>dr.hendry@lge.com</w:t>
              </w:r>
            </w:hyperlink>
            <w:r w:rsidR="004530C0">
              <w:rPr>
                <w:rStyle w:val="Hyperlink"/>
                <w:szCs w:val="22"/>
              </w:rPr>
              <w:br/>
            </w:r>
            <w:hyperlink r:id="rId10" w:history="1">
              <w:r w:rsidR="004530C0" w:rsidRPr="00167420">
                <w:rPr>
                  <w:rStyle w:val="Hyperlink"/>
                  <w:szCs w:val="22"/>
                </w:rPr>
                <w:t>seethal.paluri@lge.com</w:t>
              </w:r>
            </w:hyperlink>
          </w:p>
          <w:p w14:paraId="32C2ABFD" w14:textId="0B19B6E1"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63518" w:rsidR="00E61DAC" w:rsidRPr="005B217D" w:rsidRDefault="004530C0">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86D31C0" w:rsidR="00263398" w:rsidRPr="005B217D" w:rsidRDefault="00DC7ED4" w:rsidP="009234A5">
      <w:pPr>
        <w:rPr>
          <w:szCs w:val="22"/>
          <w:lang w:val="en-CA"/>
        </w:rPr>
      </w:pPr>
      <w:r>
        <w:rPr>
          <w:lang w:val="en-CA"/>
        </w:rPr>
        <w:t xml:space="preserve">In the current VVC specification draft, a tile may contain multiple rectangular slices. When a tile contains multiple slices, the height of all these slices, except for the last one in the tile, is explicitly signalled. It is asserted that such signalling is not necessary and inefficient for common case where </w:t>
      </w:r>
      <w:r w:rsidR="00E37232">
        <w:rPr>
          <w:lang w:val="en-CA"/>
        </w:rPr>
        <w:t>the height</w:t>
      </w:r>
      <w:r>
        <w:rPr>
          <w:lang w:val="en-CA"/>
        </w:rPr>
        <w:t xml:space="preserve"> </w:t>
      </w:r>
      <w:r w:rsidR="00E37232">
        <w:rPr>
          <w:lang w:val="en-CA"/>
        </w:rPr>
        <w:t xml:space="preserve">of slices </w:t>
      </w:r>
      <w:r>
        <w:rPr>
          <w:lang w:val="en-CA"/>
        </w:rPr>
        <w:t>are uniform within a tile. In the 16</w:t>
      </w:r>
      <w:r w:rsidRPr="00DC7ED4">
        <w:rPr>
          <w:vertAlign w:val="superscript"/>
          <w:lang w:val="en-CA"/>
        </w:rPr>
        <w:t>th</w:t>
      </w:r>
      <w:r>
        <w:rPr>
          <w:lang w:val="en-CA"/>
        </w:rPr>
        <w:t xml:space="preserve"> JVET meeting, a unified method for signalling uniform and non-uniform tile</w:t>
      </w:r>
      <w:r w:rsidR="00FD5942">
        <w:rPr>
          <w:lang w:val="en-CA"/>
        </w:rPr>
        <w:t xml:space="preserve"> structure</w:t>
      </w:r>
      <w:r>
        <w:rPr>
          <w:lang w:val="en-CA"/>
        </w:rPr>
        <w:t xml:space="preserve"> was adopted. It is asserted that the same </w:t>
      </w:r>
      <w:r w:rsidR="00E37232">
        <w:rPr>
          <w:lang w:val="en-CA"/>
        </w:rPr>
        <w:t xml:space="preserve">method </w:t>
      </w:r>
      <w:r>
        <w:rPr>
          <w:lang w:val="en-CA"/>
        </w:rPr>
        <w:t>is applicable for signal</w:t>
      </w:r>
      <w:r w:rsidR="00C30B51">
        <w:rPr>
          <w:lang w:val="en-CA"/>
        </w:rPr>
        <w:t>l</w:t>
      </w:r>
      <w:r>
        <w:rPr>
          <w:lang w:val="en-CA"/>
        </w:rPr>
        <w:t>ing rectangular slices within a tile.</w:t>
      </w:r>
      <w:r w:rsidR="00E37232">
        <w:rPr>
          <w:lang w:val="en-CA"/>
        </w:rPr>
        <w:t xml:space="preserve"> </w:t>
      </w:r>
      <w:r>
        <w:rPr>
          <w:lang w:val="en-CA"/>
        </w:rPr>
        <w:t>This contribution propose</w:t>
      </w:r>
      <w:r w:rsidR="00C30B51">
        <w:rPr>
          <w:lang w:val="en-CA"/>
        </w:rPr>
        <w:t>s</w:t>
      </w:r>
      <w:r>
        <w:rPr>
          <w:lang w:val="en-CA"/>
        </w:rPr>
        <w:t xml:space="preserve"> to modify the current signalling of rectangular slices within a tile by applying the same method for unified signalling of uniform and non-uniform tile.</w:t>
      </w:r>
    </w:p>
    <w:p w14:paraId="7D2AC1F0" w14:textId="40394DE9" w:rsidR="00745F6B" w:rsidRPr="005B217D" w:rsidRDefault="00FD5942" w:rsidP="00E11923">
      <w:pPr>
        <w:pStyle w:val="Heading1"/>
        <w:rPr>
          <w:lang w:val="en-CA"/>
        </w:rPr>
      </w:pPr>
      <w:r>
        <w:rPr>
          <w:lang w:val="en-CA"/>
        </w:rPr>
        <w:t>Proposal</w:t>
      </w:r>
    </w:p>
    <w:p w14:paraId="643919F0" w14:textId="3E71454F" w:rsidR="00FD5942" w:rsidRDefault="00C30B51" w:rsidP="004234F0">
      <w:pPr>
        <w:rPr>
          <w:szCs w:val="22"/>
          <w:lang w:val="en-CA"/>
        </w:rPr>
      </w:pPr>
      <w:r>
        <w:rPr>
          <w:szCs w:val="22"/>
          <w:lang w:val="en-CA"/>
        </w:rPr>
        <w:t>At</w:t>
      </w:r>
      <w:r w:rsidR="00FD5942">
        <w:rPr>
          <w:szCs w:val="22"/>
          <w:lang w:val="en-CA"/>
        </w:rPr>
        <w:t xml:space="preserve"> the 16</w:t>
      </w:r>
      <w:r w:rsidR="00FD5942" w:rsidRPr="00FD5942">
        <w:rPr>
          <w:szCs w:val="22"/>
          <w:vertAlign w:val="superscript"/>
          <w:lang w:val="en-CA"/>
        </w:rPr>
        <w:t>th</w:t>
      </w:r>
      <w:r w:rsidR="00FD5942">
        <w:rPr>
          <w:szCs w:val="22"/>
          <w:lang w:val="en-CA"/>
        </w:rPr>
        <w:t xml:space="preserve"> JVET meeting, it was agreed to remove brick signalling while still preserving the feature of having multiple rectangular slices in a tile. To signal such case (i.e., having multiple rectangular slices in a tile), the height of all slices, except the last one, </w:t>
      </w:r>
      <w:r w:rsidR="00714E62">
        <w:rPr>
          <w:szCs w:val="22"/>
          <w:lang w:val="en-CA"/>
        </w:rPr>
        <w:t xml:space="preserve">in </w:t>
      </w:r>
      <w:r w:rsidR="00FD5942">
        <w:rPr>
          <w:szCs w:val="22"/>
          <w:lang w:val="en-CA"/>
        </w:rPr>
        <w:t xml:space="preserve">the tile is signalled explicitly. It is asserted that such signalling is not efficient </w:t>
      </w:r>
      <w:r w:rsidR="00714E62">
        <w:rPr>
          <w:szCs w:val="22"/>
          <w:lang w:val="en-CA"/>
        </w:rPr>
        <w:t xml:space="preserve">since it is common that </w:t>
      </w:r>
      <w:r w:rsidR="00FD5942">
        <w:rPr>
          <w:szCs w:val="22"/>
          <w:lang w:val="en-CA"/>
        </w:rPr>
        <w:t>rectangular slices in a tile are uniformly spaced.</w:t>
      </w:r>
    </w:p>
    <w:p w14:paraId="2B6885D0" w14:textId="40A08B37" w:rsidR="00DC7ED4" w:rsidRDefault="00FD5942" w:rsidP="004234F0">
      <w:pPr>
        <w:rPr>
          <w:szCs w:val="22"/>
          <w:lang w:val="en-CA"/>
        </w:rPr>
      </w:pPr>
      <w:r>
        <w:rPr>
          <w:szCs w:val="22"/>
          <w:lang w:val="en-CA"/>
        </w:rPr>
        <w:t>To improve the current signalling for multiple rectangular slices in a tile, we propose to use the same method used to unify the uniform and non-uniform tile structure signalling</w:t>
      </w:r>
      <w:r w:rsidR="00714E62">
        <w:rPr>
          <w:szCs w:val="22"/>
          <w:lang w:val="en-CA"/>
        </w:rPr>
        <w:t>,</w:t>
      </w:r>
      <w:r>
        <w:rPr>
          <w:szCs w:val="22"/>
          <w:lang w:val="en-CA"/>
        </w:rPr>
        <w:t xml:space="preserve"> which was also adopted </w:t>
      </w:r>
      <w:r w:rsidR="00714E62">
        <w:rPr>
          <w:szCs w:val="22"/>
          <w:lang w:val="en-CA"/>
        </w:rPr>
        <w:t>at</w:t>
      </w:r>
      <w:r>
        <w:rPr>
          <w:szCs w:val="22"/>
          <w:lang w:val="en-CA"/>
        </w:rPr>
        <w:t xml:space="preserve"> the 16</w:t>
      </w:r>
      <w:r w:rsidRPr="00FD5942">
        <w:rPr>
          <w:szCs w:val="22"/>
          <w:vertAlign w:val="superscript"/>
          <w:lang w:val="en-CA"/>
        </w:rPr>
        <w:t>th</w:t>
      </w:r>
      <w:r>
        <w:rPr>
          <w:szCs w:val="22"/>
          <w:lang w:val="en-CA"/>
        </w:rPr>
        <w:t xml:space="preserve"> JVET meeting. Text implementation of the method is provided as an attachment in this contribution. It is asserted that the required changes is minimal and more importantly this uses the method that is already used for tile signalling.</w:t>
      </w:r>
    </w:p>
    <w:p w14:paraId="00B6556E" w14:textId="094459B1" w:rsidR="00DD46C0" w:rsidRDefault="00DD46C0" w:rsidP="004234F0">
      <w:pPr>
        <w:rPr>
          <w:szCs w:val="22"/>
          <w:lang w:val="en-CA"/>
        </w:rPr>
      </w:pPr>
      <w:r>
        <w:rPr>
          <w:szCs w:val="22"/>
          <w:lang w:val="en-CA"/>
        </w:rPr>
        <w:t>Text for the proposal provided as attachment of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3146CEA" w:rsidR="007F1F8B" w:rsidRPr="005B217D" w:rsidRDefault="00DC7ED4"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B964B" w14:textId="77777777" w:rsidR="006712AB" w:rsidRDefault="006712AB">
      <w:r>
        <w:separator/>
      </w:r>
    </w:p>
  </w:endnote>
  <w:endnote w:type="continuationSeparator" w:id="0">
    <w:p w14:paraId="17BEA543" w14:textId="77777777" w:rsidR="006712AB" w:rsidRDefault="0067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5F5D4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10A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10AB">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7AA57" w14:textId="77777777" w:rsidR="006712AB" w:rsidRDefault="006712AB">
      <w:r>
        <w:separator/>
      </w:r>
    </w:p>
  </w:footnote>
  <w:footnote w:type="continuationSeparator" w:id="0">
    <w:p w14:paraId="48418F9B" w14:textId="77777777" w:rsidR="006712AB" w:rsidRDefault="006712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463F5"/>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30C0"/>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12AB"/>
    <w:rsid w:val="006C5D39"/>
    <w:rsid w:val="006D6D9B"/>
    <w:rsid w:val="006E2810"/>
    <w:rsid w:val="006E5417"/>
    <w:rsid w:val="006F0794"/>
    <w:rsid w:val="006F7528"/>
    <w:rsid w:val="007023DE"/>
    <w:rsid w:val="00712F60"/>
    <w:rsid w:val="00714E62"/>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07E4"/>
    <w:rsid w:val="0098551D"/>
    <w:rsid w:val="00985DCB"/>
    <w:rsid w:val="0099518F"/>
    <w:rsid w:val="009A523D"/>
    <w:rsid w:val="009B02A1"/>
    <w:rsid w:val="009B13D0"/>
    <w:rsid w:val="009B3361"/>
    <w:rsid w:val="009B7F3F"/>
    <w:rsid w:val="009D7CE6"/>
    <w:rsid w:val="009E448E"/>
    <w:rsid w:val="009F496B"/>
    <w:rsid w:val="00A01439"/>
    <w:rsid w:val="00A02E61"/>
    <w:rsid w:val="00A05CFF"/>
    <w:rsid w:val="00A13048"/>
    <w:rsid w:val="00A46843"/>
    <w:rsid w:val="00A50195"/>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10AB"/>
    <w:rsid w:val="00B94B06"/>
    <w:rsid w:val="00B94C28"/>
    <w:rsid w:val="00BC10BA"/>
    <w:rsid w:val="00BC5AFD"/>
    <w:rsid w:val="00C00DDE"/>
    <w:rsid w:val="00C04F43"/>
    <w:rsid w:val="00C0609D"/>
    <w:rsid w:val="00C115AB"/>
    <w:rsid w:val="00C26CCB"/>
    <w:rsid w:val="00C30249"/>
    <w:rsid w:val="00C30B51"/>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0FF2"/>
    <w:rsid w:val="00D1555A"/>
    <w:rsid w:val="00D446EC"/>
    <w:rsid w:val="00D51BF0"/>
    <w:rsid w:val="00D531DB"/>
    <w:rsid w:val="00D55942"/>
    <w:rsid w:val="00D807BF"/>
    <w:rsid w:val="00D82FCC"/>
    <w:rsid w:val="00DA17FC"/>
    <w:rsid w:val="00DA7887"/>
    <w:rsid w:val="00DB2C26"/>
    <w:rsid w:val="00DC7ED4"/>
    <w:rsid w:val="00DD02F4"/>
    <w:rsid w:val="00DD46C0"/>
    <w:rsid w:val="00DD6622"/>
    <w:rsid w:val="00DE1C7C"/>
    <w:rsid w:val="00DE6B43"/>
    <w:rsid w:val="00E11923"/>
    <w:rsid w:val="00E262D4"/>
    <w:rsid w:val="00E36250"/>
    <w:rsid w:val="00E37232"/>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5EDD"/>
    <w:rsid w:val="00F848FC"/>
    <w:rsid w:val="00F906F6"/>
    <w:rsid w:val="00F9282A"/>
    <w:rsid w:val="00F96BAD"/>
    <w:rsid w:val="00FA139D"/>
    <w:rsid w:val="00FA60F5"/>
    <w:rsid w:val="00FB0E84"/>
    <w:rsid w:val="00FC2405"/>
    <w:rsid w:val="00FD01C2"/>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5</cp:revision>
  <cp:lastPrinted>1900-01-01T08:00:00Z</cp:lastPrinted>
  <dcterms:created xsi:type="dcterms:W3CDTF">2019-12-23T23:23:00Z</dcterms:created>
  <dcterms:modified xsi:type="dcterms:W3CDTF">2019-12-30T00:22:00Z</dcterms:modified>
</cp:coreProperties>
</file>