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433E59D4"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20537D">
              <w:rPr>
                <w:lang w:val="en-CA"/>
              </w:rPr>
              <w:t>0</w:t>
            </w:r>
            <w:r w:rsidR="00E5081A">
              <w:rPr>
                <w:rFonts w:hint="eastAsia"/>
                <w:lang w:val="en-CA" w:eastAsia="zh-CN"/>
              </w:rPr>
              <w:t>84</w:t>
            </w:r>
            <w:bookmarkStart w:id="0" w:name="_GoBack"/>
            <w:bookmarkEnd w:id="0"/>
            <w:r w:rsidR="00A81B28">
              <w:rPr>
                <w:lang w:val="en-CA"/>
              </w:rPr>
              <w:t>-v</w:t>
            </w:r>
            <w:r w:rsidR="0020537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5AAD77" w:rsidR="00E61DAC" w:rsidRPr="005B217D" w:rsidRDefault="0020537D" w:rsidP="00D07521">
            <w:pPr>
              <w:spacing w:before="60" w:after="60"/>
              <w:rPr>
                <w:b/>
                <w:szCs w:val="22"/>
                <w:lang w:val="en-CA"/>
              </w:rPr>
            </w:pPr>
            <w:r>
              <w:rPr>
                <w:rFonts w:hint="eastAsia"/>
                <w:b/>
                <w:szCs w:val="22"/>
                <w:lang w:val="en-CA" w:eastAsia="zh-CN"/>
              </w:rPr>
              <w:t>CE1-2</w:t>
            </w:r>
            <w:r>
              <w:rPr>
                <w:b/>
                <w:szCs w:val="22"/>
                <w:lang w:val="en-CA"/>
              </w:rPr>
              <w:t>: Deblocking for</w:t>
            </w:r>
            <w:r w:rsidR="009E6DA4">
              <w:rPr>
                <w:b/>
                <w:szCs w:val="22"/>
                <w:lang w:val="en-CA"/>
              </w:rPr>
              <w:t xml:space="preserve"> TPM (Triangular Partition Mode</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F59FAE" w14:textId="5D150CD1" w:rsidR="0020537D" w:rsidRDefault="0020537D" w:rsidP="0020537D">
            <w:pPr>
              <w:spacing w:before="60" w:after="60"/>
              <w:rPr>
                <w:color w:val="000000"/>
                <w:szCs w:val="22"/>
              </w:rPr>
            </w:pPr>
            <w:r w:rsidRPr="00DC5B43">
              <w:rPr>
                <w:color w:val="000000"/>
                <w:szCs w:val="22"/>
              </w:rPr>
              <w:t>Xuewei Meng</w:t>
            </w:r>
            <w:r w:rsidR="00AA6569" w:rsidRPr="00AA6569">
              <w:rPr>
                <w:color w:val="000000"/>
                <w:szCs w:val="22"/>
                <w:vertAlign w:val="superscript"/>
              </w:rPr>
              <w:t>1</w:t>
            </w:r>
            <w:r w:rsidRPr="00DC5B43">
              <w:rPr>
                <w:color w:val="000000"/>
                <w:szCs w:val="22"/>
              </w:rPr>
              <w:t>,</w:t>
            </w:r>
          </w:p>
          <w:p w14:paraId="66A01521" w14:textId="77777777" w:rsidR="00AA6569" w:rsidRDefault="00AA6569" w:rsidP="00AA6569">
            <w:pPr>
              <w:spacing w:before="60" w:after="60"/>
              <w:rPr>
                <w:color w:val="000000"/>
                <w:szCs w:val="22"/>
              </w:rPr>
            </w:pPr>
            <w:proofErr w:type="spellStart"/>
            <w:r>
              <w:rPr>
                <w:color w:val="000000"/>
                <w:szCs w:val="22"/>
              </w:rPr>
              <w:t>Shanshe</w:t>
            </w:r>
            <w:proofErr w:type="spellEnd"/>
            <w:r>
              <w:rPr>
                <w:color w:val="000000"/>
                <w:szCs w:val="22"/>
              </w:rPr>
              <w:t xml:space="preserve"> Wang</w:t>
            </w:r>
            <w:r w:rsidRPr="00AA6569">
              <w:rPr>
                <w:rFonts w:hint="eastAsia"/>
                <w:color w:val="000000"/>
                <w:szCs w:val="22"/>
                <w:vertAlign w:val="superscript"/>
                <w:lang w:eastAsia="zh-CN"/>
              </w:rPr>
              <w:t>1</w:t>
            </w:r>
            <w:r>
              <w:rPr>
                <w:color w:val="000000"/>
                <w:szCs w:val="22"/>
              </w:rPr>
              <w:t>,</w:t>
            </w:r>
          </w:p>
          <w:p w14:paraId="0B99884B" w14:textId="5A3D3749" w:rsidR="00AA6569" w:rsidRPr="00AA6569" w:rsidRDefault="00AA6569" w:rsidP="0020537D">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sidRPr="00AA6569">
              <w:rPr>
                <w:color w:val="000000"/>
                <w:szCs w:val="22"/>
                <w:vertAlign w:val="superscript"/>
              </w:rPr>
              <w:t>1</w:t>
            </w:r>
            <w:r>
              <w:rPr>
                <w:szCs w:val="22"/>
                <w:lang w:val="en-CA"/>
              </w:rPr>
              <w:t>,</w:t>
            </w:r>
          </w:p>
          <w:p w14:paraId="27C7F3AA" w14:textId="74F5E3EA" w:rsidR="00AA6569" w:rsidRPr="00AA6569" w:rsidRDefault="00AA6569" w:rsidP="00AA6569">
            <w:pPr>
              <w:spacing w:before="60" w:after="60"/>
              <w:rPr>
                <w:color w:val="000000"/>
                <w:szCs w:val="22"/>
              </w:rPr>
            </w:pPr>
            <w:r w:rsidRPr="00AA6569">
              <w:rPr>
                <w:color w:val="000000"/>
                <w:szCs w:val="22"/>
              </w:rPr>
              <w:t>Shunsuke Iwamura</w:t>
            </w:r>
            <w:r w:rsidRPr="00AA6569">
              <w:rPr>
                <w:rFonts w:hint="eastAsia"/>
                <w:color w:val="000000"/>
                <w:szCs w:val="22"/>
                <w:vertAlign w:val="superscript"/>
                <w:lang w:eastAsia="zh-CN"/>
              </w:rPr>
              <w:t>2</w:t>
            </w:r>
            <w:r>
              <w:rPr>
                <w:color w:val="000000"/>
                <w:szCs w:val="22"/>
              </w:rPr>
              <w:t>,</w:t>
            </w:r>
          </w:p>
          <w:p w14:paraId="3CDB97C0" w14:textId="66A2BC5A" w:rsidR="00AA6569" w:rsidRPr="00AA6569" w:rsidRDefault="00AA6569" w:rsidP="00AA6569">
            <w:pPr>
              <w:spacing w:before="60" w:after="60"/>
              <w:rPr>
                <w:color w:val="000000"/>
                <w:szCs w:val="22"/>
              </w:rPr>
            </w:pPr>
            <w:r w:rsidRPr="00AA6569">
              <w:rPr>
                <w:color w:val="000000"/>
                <w:szCs w:val="22"/>
              </w:rPr>
              <w:t>Shimpei Nemoto</w:t>
            </w:r>
            <w:r w:rsidRPr="00AA6569">
              <w:rPr>
                <w:rFonts w:hint="eastAsia"/>
                <w:color w:val="000000"/>
                <w:szCs w:val="22"/>
                <w:vertAlign w:val="superscript"/>
                <w:lang w:eastAsia="zh-CN"/>
              </w:rPr>
              <w:t>2</w:t>
            </w:r>
            <w:r>
              <w:rPr>
                <w:color w:val="000000"/>
                <w:szCs w:val="22"/>
              </w:rPr>
              <w:t>,</w:t>
            </w:r>
          </w:p>
          <w:p w14:paraId="37627870" w14:textId="29BA93A2" w:rsidR="00AA6569" w:rsidRDefault="00AA6569" w:rsidP="00AA6569">
            <w:pPr>
              <w:spacing w:before="60" w:after="60"/>
              <w:rPr>
                <w:color w:val="000000"/>
                <w:szCs w:val="22"/>
              </w:rPr>
            </w:pPr>
            <w:r w:rsidRPr="00AA6569">
              <w:rPr>
                <w:color w:val="000000"/>
                <w:szCs w:val="22"/>
              </w:rPr>
              <w:t>Atsuro Ichigaya</w:t>
            </w:r>
            <w:r w:rsidRPr="00AA6569">
              <w:rPr>
                <w:rFonts w:hint="eastAsia"/>
                <w:color w:val="000000"/>
                <w:szCs w:val="22"/>
                <w:vertAlign w:val="superscript"/>
                <w:lang w:eastAsia="zh-CN"/>
              </w:rPr>
              <w:t>2</w:t>
            </w:r>
            <w:r>
              <w:rPr>
                <w:color w:val="000000"/>
                <w:szCs w:val="22"/>
              </w:rPr>
              <w:t>,</w:t>
            </w:r>
          </w:p>
          <w:p w14:paraId="4C00ADA7" w14:textId="77777777" w:rsidR="0020537D" w:rsidRDefault="0020537D" w:rsidP="00AA6569">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sidR="00AA6569" w:rsidRPr="00AA6569">
              <w:rPr>
                <w:color w:val="000000"/>
                <w:szCs w:val="22"/>
                <w:vertAlign w:val="superscript"/>
              </w:rPr>
              <w:t>3</w:t>
            </w:r>
          </w:p>
          <w:p w14:paraId="49D81240" w14:textId="62E1994B" w:rsidR="00AA6569" w:rsidRPr="00AA6569" w:rsidRDefault="00AA6569" w:rsidP="00AA6569">
            <w:pPr>
              <w:spacing w:before="60" w:after="60"/>
              <w:rPr>
                <w:color w:val="000000"/>
                <w:szCs w:val="22"/>
              </w:rPr>
            </w:pPr>
            <w:r w:rsidRPr="00DC5B43">
              <w:rPr>
                <w:color w:val="000000"/>
                <w:szCs w:val="22"/>
              </w:rPr>
              <w:t>Peking University</w:t>
            </w:r>
            <w:r w:rsidRPr="00AA6569">
              <w:rPr>
                <w:color w:val="000000"/>
                <w:szCs w:val="22"/>
                <w:vertAlign w:val="superscript"/>
              </w:rPr>
              <w:t>1</w:t>
            </w:r>
            <w:r w:rsidRPr="00DC5B43">
              <w:rPr>
                <w:color w:val="000000"/>
                <w:szCs w:val="22"/>
              </w:rPr>
              <w:t xml:space="preserve">, </w:t>
            </w:r>
            <w:r>
              <w:rPr>
                <w:szCs w:val="22"/>
                <w:lang w:val="en-CA"/>
              </w:rPr>
              <w:t>NHK</w:t>
            </w:r>
            <w:r w:rsidRPr="00AA6569">
              <w:rPr>
                <w:rFonts w:hint="eastAsia"/>
                <w:szCs w:val="22"/>
                <w:vertAlign w:val="superscript"/>
                <w:lang w:val="en-CA" w:eastAsia="zh-CN"/>
              </w:rPr>
              <w:t>2</w:t>
            </w:r>
            <w:r>
              <w:rPr>
                <w:color w:val="000000"/>
                <w:szCs w:val="22"/>
              </w:rPr>
              <w:t xml:space="preserve">, </w:t>
            </w:r>
            <w:r w:rsidRPr="00DC5B43">
              <w:rPr>
                <w:color w:val="000000"/>
                <w:szCs w:val="22"/>
              </w:rPr>
              <w:t>SZ DJI Technology Co., Ltd.</w:t>
            </w:r>
            <w:r w:rsidR="00475EE5" w:rsidRPr="00475EE5">
              <w:rPr>
                <w:rFonts w:hint="eastAsia"/>
                <w:color w:val="000000"/>
                <w:szCs w:val="22"/>
                <w:vertAlign w:val="superscript"/>
                <w:lang w:eastAsia="zh-CN"/>
              </w:rPr>
              <w:t>3</w:t>
            </w:r>
          </w:p>
        </w:tc>
        <w:tc>
          <w:tcPr>
            <w:tcW w:w="900" w:type="dxa"/>
          </w:tcPr>
          <w:p w14:paraId="0140ECA2" w14:textId="5FA36BA9" w:rsidR="0020537D" w:rsidRPr="005B217D" w:rsidRDefault="0020537D" w:rsidP="0020537D">
            <w:pPr>
              <w:spacing w:before="60" w:after="60"/>
              <w:rPr>
                <w:szCs w:val="22"/>
                <w:lang w:val="en-CA"/>
              </w:rPr>
            </w:pPr>
            <w:r w:rsidRPr="005B217D">
              <w:rPr>
                <w:szCs w:val="22"/>
                <w:lang w:val="en-CA"/>
              </w:rPr>
              <w:t>Tel:</w:t>
            </w:r>
            <w:r w:rsidRPr="005B217D">
              <w:rPr>
                <w:szCs w:val="22"/>
                <w:lang w:val="en-CA"/>
              </w:rPr>
              <w:br/>
              <w:t>Email:</w:t>
            </w:r>
          </w:p>
        </w:tc>
        <w:tc>
          <w:tcPr>
            <w:tcW w:w="3060" w:type="dxa"/>
          </w:tcPr>
          <w:p w14:paraId="384BA4CD" w14:textId="0739FFB5" w:rsidR="0020537D" w:rsidRDefault="0020537D" w:rsidP="0020537D">
            <w:pPr>
              <w:spacing w:before="60" w:after="60"/>
            </w:pPr>
            <w:r w:rsidRPr="005B217D">
              <w:rPr>
                <w:szCs w:val="22"/>
                <w:lang w:val="en-CA"/>
              </w:rPr>
              <w:br/>
            </w:r>
            <w:hyperlink r:id="rId14" w:history="1">
              <w:r w:rsidR="00AA6569" w:rsidRPr="00272E9B">
                <w:rPr>
                  <w:rStyle w:val="a6"/>
                </w:rPr>
                <w:t>xwmeng@pku.edu.cn</w:t>
              </w:r>
            </w:hyperlink>
          </w:p>
          <w:p w14:paraId="33D81FBB" w14:textId="145B5C88" w:rsidR="00AA6569" w:rsidRPr="005A7477" w:rsidRDefault="00AA6569" w:rsidP="0020537D">
            <w:pPr>
              <w:spacing w:before="60" w:after="60"/>
              <w:rPr>
                <w:lang w:val="en-CA"/>
              </w:rPr>
            </w:pPr>
            <w:r>
              <w:rPr>
                <w:szCs w:val="22"/>
                <w:lang w:val="en-CA"/>
              </w:rPr>
              <w:t>iwamura.s-gc@nhk.or.jp</w:t>
            </w:r>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0"/>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D9A4F9" w:rsidR="00E61DAC" w:rsidRPr="005B217D" w:rsidRDefault="0020537D">
            <w:pPr>
              <w:spacing w:before="60" w:after="60"/>
              <w:rPr>
                <w:szCs w:val="22"/>
                <w:lang w:val="en-CA"/>
              </w:rPr>
            </w:pPr>
            <w:r w:rsidRPr="00DC5B43">
              <w:rPr>
                <w:color w:val="000000"/>
                <w:szCs w:val="22"/>
              </w:rPr>
              <w:t xml:space="preserve">Peking University, </w:t>
            </w:r>
            <w:r w:rsidR="00AA6569">
              <w:rPr>
                <w:szCs w:val="22"/>
                <w:lang w:val="en-CA"/>
              </w:rPr>
              <w:t>NHK</w:t>
            </w:r>
            <w:r w:rsidR="00AA6569" w:rsidRPr="00DC5B43">
              <w:rPr>
                <w:color w:val="000000"/>
                <w:szCs w:val="22"/>
              </w:rPr>
              <w:t xml:space="preserve"> </w:t>
            </w:r>
            <w:r w:rsidR="00AA6569">
              <w:rPr>
                <w:color w:val="000000"/>
                <w:szCs w:val="22"/>
              </w:rPr>
              <w:t xml:space="preserve">, </w:t>
            </w:r>
            <w:r w:rsidRPr="00DC5B43">
              <w:rPr>
                <w:color w:val="000000"/>
                <w:szCs w:val="22"/>
              </w:rPr>
              <w:t>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3823848D" w:rsidR="0020537D" w:rsidRDefault="0020537D" w:rsidP="0020537D">
      <w:pPr>
        <w:pStyle w:val="1"/>
        <w:numPr>
          <w:ilvl w:val="0"/>
          <w:numId w:val="0"/>
        </w:numPr>
        <w:ind w:left="432" w:hanging="432"/>
        <w:rPr>
          <w:lang w:val="en-CA"/>
        </w:rPr>
      </w:pPr>
      <w:r w:rsidRPr="005B217D">
        <w:rPr>
          <w:lang w:val="en-CA"/>
        </w:rPr>
        <w:t>Abstract</w:t>
      </w:r>
    </w:p>
    <w:p w14:paraId="4D17D663" w14:textId="369D18ED" w:rsidR="0020537D" w:rsidRPr="00385A2B" w:rsidRDefault="00CC3871" w:rsidP="0020537D">
      <w:pPr>
        <w:rPr>
          <w:lang w:val="en-CA"/>
        </w:rPr>
      </w:pPr>
      <w:r>
        <w:rPr>
          <w:lang w:val="en-CA"/>
        </w:rPr>
        <w:t>In this contribution, CE1-2 test</w:t>
      </w:r>
      <w:r w:rsidRPr="00CC3871">
        <w:rPr>
          <w:lang w:val="en-CA"/>
        </w:rPr>
        <w:t xml:space="preserve"> to </w:t>
      </w:r>
      <w:r>
        <w:rPr>
          <w:lang w:val="en-CA"/>
        </w:rPr>
        <w:t>apply deblocking filter on TPM CU boundaries is</w:t>
      </w:r>
      <w:r w:rsidRPr="00CC3871">
        <w:rPr>
          <w:lang w:val="en-CA"/>
        </w:rPr>
        <w:t xml:space="preserve"> reported</w:t>
      </w:r>
      <w:r>
        <w:rPr>
          <w:lang w:val="en-CA"/>
        </w:rPr>
        <w:t xml:space="preserve">. </w:t>
      </w:r>
      <w:r w:rsidR="0020537D">
        <w:rPr>
          <w:lang w:val="en-CA"/>
        </w:rPr>
        <w:t xml:space="preserve">This contribution addresses the </w:t>
      </w:r>
      <w:r w:rsidR="0020537D" w:rsidRPr="00A61EF8">
        <w:rPr>
          <w:lang w:val="en-CA"/>
        </w:rPr>
        <w:t>potential blocking artifacts</w:t>
      </w:r>
      <w:r w:rsidR="0020537D">
        <w:rPr>
          <w:lang w:val="en-CA"/>
        </w:rPr>
        <w:t xml:space="preserve"> of current deblocking design for TPM. </w:t>
      </w:r>
      <w:r w:rsidR="0020537D">
        <w:rPr>
          <w:rFonts w:hint="eastAsia"/>
          <w:lang w:val="en-CA" w:eastAsia="zh-CN"/>
        </w:rPr>
        <w:t>T</w:t>
      </w:r>
      <w:r w:rsidR="0020537D">
        <w:rPr>
          <w:lang w:val="en-CA"/>
        </w:rPr>
        <w:t xml:space="preserve">he potential discontinuity of block boundary </w:t>
      </w:r>
      <w:r w:rsidR="0020537D">
        <w:rPr>
          <w:rFonts w:hint="eastAsia"/>
          <w:lang w:val="en-CA" w:eastAsia="zh-CN"/>
        </w:rPr>
        <w:t>is</w:t>
      </w:r>
      <w:r w:rsidR="0020537D">
        <w:rPr>
          <w:lang w:val="en-CA"/>
        </w:rPr>
        <w:t xml:space="preserve"> </w:t>
      </w:r>
      <w:r w:rsidR="0020537D">
        <w:rPr>
          <w:rFonts w:hint="eastAsia"/>
          <w:lang w:val="en-CA" w:eastAsia="zh-CN"/>
        </w:rPr>
        <w:t>mainly</w:t>
      </w:r>
      <w:r w:rsidR="0020537D">
        <w:rPr>
          <w:lang w:val="en-CA"/>
        </w:rPr>
        <w:t xml:space="preserve"> caused by the discrepancy of the weights in TPM mode. </w:t>
      </w:r>
      <w:r>
        <w:rPr>
          <w:lang w:val="en-CA"/>
        </w:rPr>
        <w:t>T</w:t>
      </w:r>
      <w:r w:rsidR="0020537D">
        <w:t xml:space="preserve">o resolve this </w:t>
      </w:r>
      <w:r w:rsidR="0020537D">
        <w:rPr>
          <w:rFonts w:hint="eastAsia"/>
          <w:lang w:eastAsia="zh-CN"/>
        </w:rPr>
        <w:t>problem</w:t>
      </w:r>
      <w:r w:rsidR="0020537D">
        <w:t xml:space="preserve">, </w:t>
      </w:r>
      <w:r w:rsidR="0020537D">
        <w:rPr>
          <w:rFonts w:hint="eastAsia"/>
          <w:lang w:eastAsia="zh-CN"/>
        </w:rPr>
        <w:t>this</w:t>
      </w:r>
      <w:r w:rsidR="0020537D">
        <w:t xml:space="preserve"> </w:t>
      </w:r>
      <w:r w:rsidR="0020537D">
        <w:rPr>
          <w:rFonts w:hint="eastAsia"/>
          <w:lang w:eastAsia="zh-CN"/>
        </w:rPr>
        <w:t>contribution</w:t>
      </w:r>
      <w:r w:rsidR="0020537D">
        <w:t xml:space="preserve"> </w:t>
      </w:r>
      <w:r w:rsidR="0020537D">
        <w:rPr>
          <w:rFonts w:hint="eastAsia"/>
          <w:lang w:eastAsia="zh-CN"/>
        </w:rPr>
        <w:t>proposes</w:t>
      </w:r>
      <w:r w:rsidR="0020537D">
        <w:t xml:space="preserve"> </w:t>
      </w:r>
      <w:r w:rsidR="0020537D">
        <w:rPr>
          <w:rFonts w:hint="eastAsia"/>
          <w:lang w:eastAsia="zh-CN"/>
        </w:rPr>
        <w:t>to</w:t>
      </w:r>
      <w:r w:rsidR="0020537D">
        <w:t xml:space="preserve"> conduct deblocking filtering on these overlooked boundaries</w:t>
      </w:r>
      <w:r w:rsidR="003C3A1F" w:rsidRPr="003C3A1F">
        <w:t xml:space="preserve"> </w:t>
      </w:r>
      <w:r w:rsidR="003C3A1F">
        <w:t>between TPM blending area and another CU</w:t>
      </w:r>
      <w:r w:rsidR="0020537D">
        <w:t xml:space="preserve"> in current VVC.</w:t>
      </w:r>
      <w:r w:rsidR="00385A2B">
        <w:rPr>
          <w:rFonts w:hint="eastAsia"/>
          <w:lang w:val="en-CA" w:eastAsia="zh-CN"/>
        </w:rPr>
        <w:t xml:space="preserve"> </w:t>
      </w:r>
      <w:r>
        <w:rPr>
          <w:lang w:eastAsia="zh-CN"/>
        </w:rPr>
        <w:t>BD-rate are summarized as follows,</w:t>
      </w:r>
    </w:p>
    <w:p w14:paraId="19DD1A7E" w14:textId="1EE60EAA" w:rsidR="00CC3871" w:rsidRDefault="00CC3871" w:rsidP="0020537D">
      <w:pPr>
        <w:rPr>
          <w:lang w:eastAsia="zh-CN"/>
        </w:rPr>
      </w:pPr>
      <w:r>
        <w:rPr>
          <w:lang w:eastAsia="zh-CN"/>
        </w:rPr>
        <w:t>Anchor: VTM7.0</w:t>
      </w:r>
    </w:p>
    <w:p w14:paraId="7ACD4B3F" w14:textId="01F16378" w:rsidR="00CC3871" w:rsidRDefault="00CC3871" w:rsidP="0020537D">
      <w:pPr>
        <w:rPr>
          <w:lang w:eastAsia="zh-CN"/>
        </w:rPr>
      </w:pPr>
      <w:r>
        <w:rPr>
          <w:lang w:eastAsia="zh-CN"/>
        </w:rPr>
        <w:t>Test: Anchor + deblocking for TPM</w:t>
      </w:r>
    </w:p>
    <w:p w14:paraId="59F4F480" w14:textId="5D6085CD" w:rsidR="0020537D" w:rsidRPr="00CC3871" w:rsidRDefault="00CC3871" w:rsidP="0020537D">
      <w:r>
        <w:rPr>
          <w:szCs w:val="22"/>
        </w:rPr>
        <w:t xml:space="preserve">RA:   </w:t>
      </w:r>
      <w:r w:rsidR="006C5A2D">
        <w:rPr>
          <w:rFonts w:hint="eastAsia"/>
          <w:szCs w:val="22"/>
          <w:lang w:eastAsia="zh-CN"/>
        </w:rPr>
        <w:t>0.00</w:t>
      </w:r>
      <w:r w:rsidR="006C5A2D">
        <w:rPr>
          <w:szCs w:val="22"/>
        </w:rPr>
        <w:t>% (Y), 0.0</w:t>
      </w:r>
      <w:r w:rsidR="006C5A2D">
        <w:rPr>
          <w:rFonts w:hint="eastAsia"/>
          <w:szCs w:val="22"/>
          <w:lang w:eastAsia="zh-CN"/>
        </w:rPr>
        <w:t>0</w:t>
      </w:r>
      <w:r>
        <w:rPr>
          <w:szCs w:val="22"/>
        </w:rPr>
        <w:t>% (</w:t>
      </w:r>
      <w:proofErr w:type="spellStart"/>
      <w:r>
        <w:rPr>
          <w:szCs w:val="22"/>
        </w:rPr>
        <w:t>Cb</w:t>
      </w:r>
      <w:proofErr w:type="spellEnd"/>
      <w:r>
        <w:rPr>
          <w:szCs w:val="22"/>
        </w:rPr>
        <w:t>)</w:t>
      </w:r>
      <w:r w:rsidR="006C5A2D">
        <w:rPr>
          <w:szCs w:val="22"/>
        </w:rPr>
        <w:t>, 0.0</w:t>
      </w:r>
      <w:r w:rsidR="006C5A2D">
        <w:rPr>
          <w:rFonts w:hint="eastAsia"/>
          <w:szCs w:val="22"/>
          <w:lang w:eastAsia="zh-CN"/>
        </w:rPr>
        <w:t>2</w:t>
      </w:r>
      <w:r>
        <w:rPr>
          <w:szCs w:val="22"/>
        </w:rPr>
        <w:t>% (Cr)</w:t>
      </w:r>
      <w:r>
        <w:rPr>
          <w:szCs w:val="22"/>
        </w:rPr>
        <w:br/>
        <w:t xml:space="preserve">LDB:  </w:t>
      </w:r>
      <w:r w:rsidR="006C5A2D">
        <w:rPr>
          <w:rFonts w:hint="eastAsia"/>
          <w:szCs w:val="22"/>
          <w:lang w:eastAsia="zh-CN"/>
        </w:rPr>
        <w:t>-0.01</w:t>
      </w:r>
      <w:r w:rsidR="006C5A2D">
        <w:rPr>
          <w:szCs w:val="22"/>
        </w:rPr>
        <w:t xml:space="preserve">% (Y), </w:t>
      </w:r>
      <w:r w:rsidR="006C5A2D">
        <w:rPr>
          <w:rFonts w:hint="eastAsia"/>
          <w:szCs w:val="22"/>
          <w:lang w:eastAsia="zh-CN"/>
        </w:rPr>
        <w:t>0.04</w:t>
      </w:r>
      <w:r w:rsidR="006C5A2D">
        <w:rPr>
          <w:szCs w:val="22"/>
        </w:rPr>
        <w:t>% (</w:t>
      </w:r>
      <w:proofErr w:type="spellStart"/>
      <w:r w:rsidR="006C5A2D">
        <w:rPr>
          <w:szCs w:val="22"/>
        </w:rPr>
        <w:t>Cb</w:t>
      </w:r>
      <w:proofErr w:type="spellEnd"/>
      <w:r w:rsidR="006C5A2D">
        <w:rPr>
          <w:szCs w:val="22"/>
        </w:rPr>
        <w:t xml:space="preserve">), </w:t>
      </w:r>
      <w:r w:rsidR="006C5A2D">
        <w:rPr>
          <w:rFonts w:hint="eastAsia"/>
          <w:szCs w:val="22"/>
          <w:lang w:eastAsia="zh-CN"/>
        </w:rPr>
        <w:t>-0.33</w:t>
      </w:r>
      <w:r>
        <w:rPr>
          <w:szCs w:val="22"/>
        </w:rPr>
        <w:t>% (Cr)</w:t>
      </w:r>
    </w:p>
    <w:p w14:paraId="2554B0E9" w14:textId="77777777" w:rsidR="0020537D" w:rsidRPr="005B217D" w:rsidRDefault="0020537D" w:rsidP="0020537D">
      <w:pPr>
        <w:pStyle w:val="1"/>
        <w:rPr>
          <w:lang w:val="en-CA"/>
        </w:rPr>
      </w:pPr>
      <w:r w:rsidRPr="005B217D">
        <w:rPr>
          <w:lang w:val="en-CA"/>
        </w:rPr>
        <w:t>Introduction</w:t>
      </w:r>
    </w:p>
    <w:p w14:paraId="3D13AF64" w14:textId="440860A6" w:rsidR="0020537D" w:rsidRPr="006E3ECA" w:rsidRDefault="0020537D" w:rsidP="0020537D">
      <w:pPr>
        <w:rPr>
          <w:lang w:val="en-CA"/>
        </w:rPr>
      </w:pPr>
      <w:r>
        <w:rPr>
          <w:lang w:val="en-CA"/>
        </w:rPr>
        <w:t xml:space="preserve">The triangle partition merge (TPM) mode </w:t>
      </w:r>
      <w:r w:rsidR="00CC3871">
        <w:rPr>
          <w:lang w:val="en-CA"/>
        </w:rPr>
        <w:t>is a newly adopted tool</w:t>
      </w:r>
      <w:r>
        <w:rPr>
          <w:lang w:val="en-CA"/>
        </w:rPr>
        <w:t xml:space="preserve"> in VVC. </w:t>
      </w:r>
      <w:r>
        <w:rPr>
          <w:rFonts w:hint="eastAsia"/>
          <w:lang w:val="en-CA" w:eastAsia="zh-CN"/>
        </w:rPr>
        <w:t>TPM</w:t>
      </w:r>
      <w:r>
        <w:rPr>
          <w:lang w:val="en-CA" w:eastAsia="zh-CN"/>
        </w:rPr>
        <w:t xml:space="preserve"> conducts motion compensation ba</w:t>
      </w:r>
      <w:r w:rsidR="004D3A7A">
        <w:rPr>
          <w:lang w:val="en-CA" w:eastAsia="zh-CN"/>
        </w:rPr>
        <w:t xml:space="preserve">sed on triangular PU and then </w:t>
      </w:r>
      <w:r w:rsidR="004D3A7A">
        <w:rPr>
          <w:rFonts w:hint="eastAsia"/>
          <w:lang w:val="en-CA" w:eastAsia="zh-CN"/>
        </w:rPr>
        <w:t>conducts</w:t>
      </w:r>
      <w:r>
        <w:rPr>
          <w:lang w:val="en-CA" w:eastAsia="zh-CN"/>
        </w:rPr>
        <w:t xml:space="preserve"> blending process on the diagonal area, as shown in Figure1.</w:t>
      </w:r>
      <w:r>
        <w:rPr>
          <w:lang w:val="en-CA"/>
        </w:rPr>
        <w:t xml:space="preserve"> </w:t>
      </w:r>
    </w:p>
    <w:p w14:paraId="373C5384" w14:textId="77777777" w:rsidR="0020537D" w:rsidRDefault="0020537D" w:rsidP="0020537D">
      <w:pPr>
        <w:jc w:val="center"/>
        <w:rPr>
          <w:lang w:val="en-CA"/>
        </w:rPr>
      </w:pPr>
      <w:r>
        <w:rPr>
          <w:noProof/>
          <w:lang w:eastAsia="zh-CN"/>
        </w:rPr>
        <w:drawing>
          <wp:inline distT="0" distB="0" distL="0" distR="0" wp14:anchorId="4CF56F83" wp14:editId="7EC3E02F">
            <wp:extent cx="2661557" cy="1496806"/>
            <wp:effectExtent l="0" t="0" r="0" b="825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8795" cy="1512124"/>
                    </a:xfrm>
                    <a:prstGeom prst="rect">
                      <a:avLst/>
                    </a:prstGeom>
                    <a:noFill/>
                  </pic:spPr>
                </pic:pic>
              </a:graphicData>
            </a:graphic>
          </wp:inline>
        </w:drawing>
      </w:r>
    </w:p>
    <w:p w14:paraId="205CADAC" w14:textId="77777777" w:rsidR="0020537D" w:rsidRDefault="0020537D" w:rsidP="0020537D">
      <w:pPr>
        <w:jc w:val="center"/>
        <w:rPr>
          <w:b/>
          <w:szCs w:val="22"/>
          <w:lang w:val="en-CA" w:eastAsia="zh-CN"/>
        </w:rPr>
      </w:pPr>
      <w:r>
        <w:rPr>
          <w:b/>
          <w:szCs w:val="22"/>
          <w:lang w:val="en-CA"/>
        </w:rPr>
        <w:t>Figure 1.  Blending process of TPM</w:t>
      </w:r>
    </w:p>
    <w:p w14:paraId="1E7F543C" w14:textId="4421C72E" w:rsidR="0020537D" w:rsidRDefault="00CC3871" w:rsidP="0020537D">
      <w:pPr>
        <w:rPr>
          <w:lang w:val="en-CA"/>
        </w:rPr>
      </w:pPr>
      <w:r>
        <w:rPr>
          <w:lang w:val="en-CA"/>
        </w:rPr>
        <w:t>The following example</w:t>
      </w:r>
      <w:r w:rsidR="0020537D">
        <w:rPr>
          <w:lang w:val="en-CA"/>
        </w:rPr>
        <w:t xml:space="preserve"> (as show</w:t>
      </w:r>
      <w:r>
        <w:rPr>
          <w:lang w:val="en-CA"/>
        </w:rPr>
        <w:t>n in Figure</w:t>
      </w:r>
      <w:r w:rsidR="0020537D">
        <w:rPr>
          <w:lang w:val="en-CA"/>
        </w:rPr>
        <w:t>) will be used to elaborate the potential discontinuity of block boundary caused by the discrepancy of the weights in TPM</w:t>
      </w:r>
      <w:r>
        <w:rPr>
          <w:rFonts w:hint="eastAsia"/>
          <w:lang w:val="en-CA" w:eastAsia="zh-CN"/>
        </w:rPr>
        <w:t>.</w:t>
      </w:r>
      <w:r w:rsidR="0020537D">
        <w:rPr>
          <w:lang w:val="en-CA"/>
        </w:rPr>
        <w:t xml:space="preserve"> </w:t>
      </w:r>
    </w:p>
    <w:p w14:paraId="15CF56D8" w14:textId="77777777" w:rsidR="0020537D" w:rsidRPr="00F409D2" w:rsidRDefault="0020537D" w:rsidP="0020537D">
      <w:pPr>
        <w:rPr>
          <w:lang w:val="en-CA"/>
        </w:rPr>
      </w:pPr>
      <w:r>
        <w:rPr>
          <w:lang w:val="en-CA"/>
        </w:rPr>
        <w:t xml:space="preserve">As shown in Figure2, </w:t>
      </w:r>
      <w:r>
        <w:rPr>
          <w:szCs w:val="22"/>
          <w:lang w:val="en-CA"/>
        </w:rPr>
        <w:t>the motion vectors of a CU code</w:t>
      </w:r>
      <w:r>
        <w:rPr>
          <w:szCs w:val="22"/>
        </w:rPr>
        <w:t>d</w:t>
      </w:r>
      <w:r>
        <w:rPr>
          <w:szCs w:val="22"/>
          <w:lang w:val="en-CA"/>
        </w:rPr>
        <w:t xml:space="preserve"> </w:t>
      </w:r>
      <w:r>
        <w:rPr>
          <w:rFonts w:hint="eastAsia"/>
          <w:szCs w:val="22"/>
          <w:lang w:val="en-CA" w:eastAsia="zh-CN"/>
        </w:rPr>
        <w:t>in</w:t>
      </w:r>
      <w:r>
        <w:rPr>
          <w:szCs w:val="22"/>
          <w:lang w:val="en-CA" w:eastAsia="zh-CN"/>
        </w:rPr>
        <w:t xml:space="preserve"> </w:t>
      </w:r>
      <w:r>
        <w:rPr>
          <w:szCs w:val="22"/>
          <w:lang w:val="en-CA"/>
        </w:rPr>
        <w:t xml:space="preserve">triangle partition mode are stored in 4x4 units. Depending on the position of each 4x4 unit, either </w:t>
      </w:r>
      <w:proofErr w:type="spellStart"/>
      <w:r>
        <w:rPr>
          <w:szCs w:val="22"/>
          <w:lang w:val="en-CA"/>
        </w:rPr>
        <w:t>uni</w:t>
      </w:r>
      <w:proofErr w:type="spellEnd"/>
      <w:r>
        <w:rPr>
          <w:szCs w:val="22"/>
          <w:lang w:val="en-CA"/>
        </w:rPr>
        <w:t xml:space="preserve">-prediction or bi-prediction motion vectors are stored. Denote Mv1 and Mv2 as </w:t>
      </w:r>
      <w:proofErr w:type="spellStart"/>
      <w:r>
        <w:rPr>
          <w:szCs w:val="22"/>
          <w:lang w:val="en-CA"/>
        </w:rPr>
        <w:t>uni</w:t>
      </w:r>
      <w:proofErr w:type="spellEnd"/>
      <w:r>
        <w:rPr>
          <w:szCs w:val="22"/>
          <w:lang w:val="en-CA"/>
        </w:rPr>
        <w:t>-prediction motion vecto</w:t>
      </w:r>
      <w:r w:rsidRPr="00986E12">
        <w:rPr>
          <w:szCs w:val="22"/>
          <w:lang w:val="en-CA"/>
        </w:rPr>
        <w:t>rs for partition 1 and partition 2, respectively.</w:t>
      </w:r>
      <w:r w:rsidRPr="00D63A80">
        <w:rPr>
          <w:szCs w:val="22"/>
          <w:lang w:val="en-CA"/>
        </w:rPr>
        <w:t xml:space="preserve"> If a 4x4 unit is located in the non-</w:t>
      </w:r>
      <w:r w:rsidRPr="00D63A80">
        <w:rPr>
          <w:szCs w:val="22"/>
          <w:lang w:val="en-CA"/>
        </w:rPr>
        <w:lastRenderedPageBreak/>
        <w:t>weighted area shown in the example of</w:t>
      </w:r>
      <w:r>
        <w:rPr>
          <w:szCs w:val="22"/>
          <w:lang w:val="en-CA"/>
        </w:rPr>
        <w:t xml:space="preserve"> </w:t>
      </w:r>
      <w:r w:rsidRPr="00335642">
        <w:rPr>
          <w:rFonts w:hint="eastAsia"/>
          <w:szCs w:val="22"/>
          <w:lang w:val="en-CA"/>
        </w:rPr>
        <w:t>Figure2</w:t>
      </w:r>
      <w:r w:rsidRPr="00986E12">
        <w:rPr>
          <w:szCs w:val="22"/>
          <w:lang w:val="en-CA"/>
        </w:rPr>
        <w:t>, either Mv1 or Mv2 is stored</w:t>
      </w:r>
      <w:r>
        <w:rPr>
          <w:szCs w:val="22"/>
          <w:lang w:val="en-CA"/>
        </w:rPr>
        <w:t xml:space="preserve"> for that 4x4 unit. </w:t>
      </w:r>
      <w:r w:rsidRPr="00D63A80">
        <w:rPr>
          <w:szCs w:val="22"/>
          <w:lang w:val="en-CA"/>
        </w:rPr>
        <w:t>Otherwise, if the 4x4 unit is located in the weighted area, a bi-prediction motion vector is stored. The bi-prediction motion vector is derived from Mv1 and Mv2 according to the following process:</w:t>
      </w:r>
    </w:p>
    <w:p w14:paraId="4E43562A" w14:textId="77777777" w:rsidR="0020537D" w:rsidRPr="00D63A80" w:rsidRDefault="0020537D" w:rsidP="0020537D">
      <w:pPr>
        <w:numPr>
          <w:ilvl w:val="0"/>
          <w:numId w:val="4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084D5DDB" w14:textId="77777777" w:rsidR="0020537D" w:rsidRPr="00335642" w:rsidRDefault="0020537D" w:rsidP="0020537D">
      <w:pPr>
        <w:numPr>
          <w:ilvl w:val="0"/>
          <w:numId w:val="4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Otherwise, if Mv1 and Mv2 are from the same list, and without loss of generality, assume they are both from L0. In this case, </w:t>
      </w:r>
      <w:r w:rsidRPr="00335642">
        <w:rPr>
          <w:szCs w:val="22"/>
          <w:lang w:val="en-CA"/>
        </w:rPr>
        <w:t>instead of bi-prediction motion</w:t>
      </w:r>
      <w:r>
        <w:rPr>
          <w:szCs w:val="22"/>
          <w:lang w:val="en-CA"/>
        </w:rPr>
        <w:t xml:space="preserve">, only </w:t>
      </w:r>
      <w:proofErr w:type="spellStart"/>
      <w:r>
        <w:rPr>
          <w:szCs w:val="22"/>
          <w:lang w:val="en-CA"/>
        </w:rPr>
        <w:t>uni</w:t>
      </w:r>
      <w:proofErr w:type="spellEnd"/>
      <w:r>
        <w:rPr>
          <w:szCs w:val="22"/>
          <w:lang w:val="en-CA"/>
        </w:rPr>
        <w:t>-prediction motion Mv2</w:t>
      </w:r>
      <w:r w:rsidRPr="00335642">
        <w:rPr>
          <w:szCs w:val="22"/>
          <w:lang w:val="en-CA"/>
        </w:rPr>
        <w:t xml:space="preserve"> is stored.</w:t>
      </w:r>
    </w:p>
    <w:p w14:paraId="1B1650CF" w14:textId="4BF05868" w:rsidR="0020537D" w:rsidRPr="00F409D2" w:rsidRDefault="0020537D" w:rsidP="0020537D">
      <w:pPr>
        <w:rPr>
          <w:lang w:val="en-CA" w:eastAsia="zh-CN"/>
        </w:rPr>
      </w:pPr>
      <w:r>
        <w:rPr>
          <w:rFonts w:hint="eastAsia"/>
          <w:lang w:val="en-CA" w:eastAsia="zh-CN"/>
        </w:rPr>
        <w:t>B</w:t>
      </w:r>
      <w:r>
        <w:rPr>
          <w:lang w:val="en-CA" w:eastAsia="zh-CN"/>
        </w:rPr>
        <w:t xml:space="preserve">ecause of the </w:t>
      </w:r>
      <w:proofErr w:type="spellStart"/>
      <w:r w:rsidR="007B4DB9">
        <w:rPr>
          <w:rFonts w:hint="eastAsia"/>
          <w:lang w:val="en-CA" w:eastAsia="zh-CN"/>
        </w:rPr>
        <w:t>particular</w:t>
      </w:r>
      <w:r>
        <w:rPr>
          <w:lang w:val="en-CA" w:eastAsia="zh-CN"/>
        </w:rPr>
        <w:t>MV</w:t>
      </w:r>
      <w:proofErr w:type="spellEnd"/>
      <w:r>
        <w:rPr>
          <w:lang w:val="en-CA" w:eastAsia="zh-CN"/>
        </w:rPr>
        <w:t xml:space="preserve"> storage method and </w:t>
      </w:r>
      <w:r>
        <w:rPr>
          <w:szCs w:val="22"/>
          <w:lang w:val="en-CA"/>
        </w:rPr>
        <w:t>spatially varying weighted average process for diagonal area, some potential blocking artifacts may occur.</w:t>
      </w:r>
    </w:p>
    <w:p w14:paraId="4226DC28" w14:textId="77777777" w:rsidR="0020537D" w:rsidRDefault="0020537D" w:rsidP="0020537D">
      <w:pPr>
        <w:jc w:val="center"/>
        <w:rPr>
          <w:b/>
          <w:szCs w:val="22"/>
          <w:lang w:val="en-CA"/>
        </w:rPr>
      </w:pPr>
      <w:r>
        <w:rPr>
          <w:rFonts w:ascii="华文仿宋" w:eastAsia="华文仿宋" w:hAnsi="华文仿宋"/>
          <w:noProof/>
          <w:lang w:eastAsia="zh-CN"/>
        </w:rPr>
        <w:drawing>
          <wp:inline distT="0" distB="0" distL="0" distR="0" wp14:anchorId="3B7C64FC" wp14:editId="2E3ADF68">
            <wp:extent cx="2443843" cy="1178236"/>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0563" cy="1186297"/>
                    </a:xfrm>
                    <a:prstGeom prst="rect">
                      <a:avLst/>
                    </a:prstGeom>
                    <a:noFill/>
                  </pic:spPr>
                </pic:pic>
              </a:graphicData>
            </a:graphic>
          </wp:inline>
        </w:drawing>
      </w:r>
    </w:p>
    <w:p w14:paraId="67D8C4E5" w14:textId="77777777" w:rsidR="0020537D" w:rsidRDefault="0020537D" w:rsidP="0020537D">
      <w:pPr>
        <w:jc w:val="center"/>
        <w:rPr>
          <w:b/>
          <w:szCs w:val="22"/>
          <w:lang w:val="en-CA"/>
        </w:rPr>
      </w:pPr>
      <w:r>
        <w:rPr>
          <w:b/>
          <w:szCs w:val="22"/>
          <w:lang w:val="en-CA"/>
        </w:rPr>
        <w:t>Figure 2.  Motion vector storage of TPM</w:t>
      </w:r>
    </w:p>
    <w:p w14:paraId="02066148" w14:textId="559AA304" w:rsidR="0020537D" w:rsidRDefault="0020537D" w:rsidP="0020537D">
      <w:pPr>
        <w:rPr>
          <w:szCs w:val="22"/>
          <w:lang w:val="en-CA"/>
        </w:rPr>
      </w:pPr>
      <w:r>
        <w:rPr>
          <w:szCs w:val="22"/>
          <w:lang w:val="en-CA"/>
        </w:rPr>
        <w:t>As shown in Figure 3(a), block P is co</w:t>
      </w:r>
      <w:r w:rsidR="007B4DB9">
        <w:rPr>
          <w:szCs w:val="22"/>
          <w:lang w:val="en-CA"/>
        </w:rPr>
        <w:t xml:space="preserve">ded by TPM (L0: MVp1, L1: MVp2), </w:t>
      </w:r>
      <w:r>
        <w:rPr>
          <w:szCs w:val="22"/>
          <w:lang w:val="en-CA"/>
        </w:rPr>
        <w:t xml:space="preserve">and block Q is coded by full-block bi-prediction (L0: MVq1, L1: MVq2). When MVp1 and MVp2 are identical or mostly equal to MVq1 and MVq2, respectively, deblocking is not triggered if both blocks are skipped. However, the prediction of block P is generated by spatially varying weighted average and that of the </w:t>
      </w:r>
      <w:r w:rsidR="007B4DB9">
        <w:rPr>
          <w:szCs w:val="22"/>
          <w:lang w:val="en-CA"/>
        </w:rPr>
        <w:t>block Q is generated by equal-</w:t>
      </w:r>
      <w:r>
        <w:rPr>
          <w:szCs w:val="22"/>
          <w:lang w:val="en-CA"/>
        </w:rPr>
        <w:t xml:space="preserve">weighted average. This misalignment may cause discontinuity of the block boundary </w:t>
      </w:r>
      <w:r w:rsidR="00552769">
        <w:rPr>
          <w:szCs w:val="22"/>
          <w:lang w:val="en-CA"/>
        </w:rPr>
        <w:t>which</w:t>
      </w:r>
      <w:r>
        <w:rPr>
          <w:szCs w:val="22"/>
          <w:lang w:val="en-CA"/>
        </w:rPr>
        <w:t xml:space="preserve"> is overlooked in the current VTM design.</w:t>
      </w:r>
    </w:p>
    <w:p w14:paraId="49CEC3B3" w14:textId="77777777" w:rsidR="0020537D" w:rsidRPr="004A4112" w:rsidRDefault="0020537D" w:rsidP="0020537D">
      <w:pPr>
        <w:rPr>
          <w:szCs w:val="22"/>
          <w:lang w:val="en-CA"/>
        </w:rPr>
      </w:pPr>
      <w:r>
        <w:rPr>
          <w:rFonts w:hint="eastAsia"/>
          <w:szCs w:val="22"/>
          <w:lang w:val="en-CA" w:eastAsia="zh-CN"/>
        </w:rPr>
        <w:t>S</w:t>
      </w:r>
      <w:r>
        <w:rPr>
          <w:szCs w:val="22"/>
          <w:lang w:val="en-CA" w:eastAsia="zh-CN"/>
        </w:rPr>
        <w:t xml:space="preserve">imilar as Figure3(a), Figure3(b) shows the example where block P is coded by TPM (L0: </w:t>
      </w:r>
      <w:proofErr w:type="spellStart"/>
      <w:r>
        <w:rPr>
          <w:szCs w:val="22"/>
          <w:lang w:val="en-CA" w:eastAsia="zh-CN"/>
        </w:rPr>
        <w:t>MVp</w:t>
      </w:r>
      <w:proofErr w:type="spellEnd"/>
      <w:r>
        <w:rPr>
          <w:szCs w:val="22"/>
          <w:lang w:val="en-CA" w:eastAsia="zh-CN"/>
        </w:rPr>
        <w:t xml:space="preserve">) and block Q is coded by full-block bi-prediction (L0: </w:t>
      </w:r>
      <w:proofErr w:type="spellStart"/>
      <w:r>
        <w:rPr>
          <w:szCs w:val="22"/>
          <w:lang w:val="en-CA" w:eastAsia="zh-CN"/>
        </w:rPr>
        <w:t>MVq</w:t>
      </w:r>
      <w:proofErr w:type="spellEnd"/>
      <w:r>
        <w:rPr>
          <w:szCs w:val="22"/>
          <w:lang w:val="en-CA" w:eastAsia="zh-CN"/>
        </w:rPr>
        <w:t xml:space="preserve">). </w:t>
      </w:r>
      <w:r>
        <w:rPr>
          <w:szCs w:val="22"/>
          <w:lang w:val="en-CA"/>
        </w:rPr>
        <w:t xml:space="preserve">When </w:t>
      </w:r>
      <w:proofErr w:type="spellStart"/>
      <w:r>
        <w:rPr>
          <w:szCs w:val="22"/>
          <w:lang w:val="en-CA"/>
        </w:rPr>
        <w:t>MVp</w:t>
      </w:r>
      <w:proofErr w:type="spellEnd"/>
      <w:r>
        <w:rPr>
          <w:szCs w:val="22"/>
          <w:lang w:val="en-CA"/>
        </w:rPr>
        <w:t xml:space="preserve"> </w:t>
      </w:r>
      <w:r>
        <w:rPr>
          <w:rFonts w:hint="eastAsia"/>
          <w:szCs w:val="22"/>
          <w:lang w:val="en-CA" w:eastAsia="zh-CN"/>
        </w:rPr>
        <w:t>is</w:t>
      </w:r>
      <w:r>
        <w:rPr>
          <w:szCs w:val="22"/>
          <w:lang w:val="en-CA"/>
        </w:rPr>
        <w:t xml:space="preserve"> identical or mostly equal to </w:t>
      </w:r>
      <w:proofErr w:type="spellStart"/>
      <w:r>
        <w:rPr>
          <w:szCs w:val="22"/>
          <w:lang w:val="en-CA"/>
        </w:rPr>
        <w:t>MVq</w:t>
      </w:r>
      <w:proofErr w:type="spellEnd"/>
      <w:r>
        <w:rPr>
          <w:szCs w:val="22"/>
          <w:lang w:val="en-CA"/>
        </w:rPr>
        <w:t xml:space="preserve">, </w:t>
      </w:r>
      <w:proofErr w:type="spellStart"/>
      <w:r>
        <w:rPr>
          <w:szCs w:val="22"/>
          <w:lang w:val="en-CA"/>
        </w:rPr>
        <w:t>deblocking</w:t>
      </w:r>
      <w:proofErr w:type="spellEnd"/>
      <w:r>
        <w:rPr>
          <w:szCs w:val="22"/>
          <w:lang w:val="en-CA"/>
        </w:rPr>
        <w:t xml:space="preserve"> is not triggered if both blocks are skipped. However, the prediction of block P is generated by spatially varying weighted average and that of the block Q is </w:t>
      </w:r>
      <w:proofErr w:type="spellStart"/>
      <w:r>
        <w:rPr>
          <w:szCs w:val="22"/>
          <w:lang w:val="en-CA"/>
        </w:rPr>
        <w:t>uni</w:t>
      </w:r>
      <w:proofErr w:type="spellEnd"/>
      <w:r>
        <w:rPr>
          <w:szCs w:val="22"/>
          <w:lang w:val="en-CA"/>
        </w:rPr>
        <w:t>-predicted. This may cause discontinuity.</w:t>
      </w:r>
    </w:p>
    <w:p w14:paraId="1C367AE1" w14:textId="77777777" w:rsidR="0020537D" w:rsidRDefault="0020537D" w:rsidP="0020537D">
      <w:pPr>
        <w:jc w:val="center"/>
        <w:rPr>
          <w:szCs w:val="22"/>
          <w:lang w:val="en-CA" w:eastAsia="zh-CN"/>
        </w:rPr>
      </w:pPr>
      <w:r>
        <w:rPr>
          <w:rFonts w:eastAsia="华文仿宋" w:hint="eastAsia"/>
          <w:noProof/>
          <w:lang w:eastAsia="zh-CN"/>
        </w:rPr>
        <w:drawing>
          <wp:inline distT="0" distB="0" distL="0" distR="0" wp14:anchorId="239953AD" wp14:editId="4C2BE4D8">
            <wp:extent cx="2721429" cy="1991411"/>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002.png"/>
                    <pic:cNvPicPr/>
                  </pic:nvPicPr>
                  <pic:blipFill>
                    <a:blip r:embed="rId17">
                      <a:extLst>
                        <a:ext uri="{28A0092B-C50C-407E-A947-70E740481C1C}">
                          <a14:useLocalDpi xmlns:a14="http://schemas.microsoft.com/office/drawing/2010/main" val="0"/>
                        </a:ext>
                      </a:extLst>
                    </a:blip>
                    <a:stretch>
                      <a:fillRect/>
                    </a:stretch>
                  </pic:blipFill>
                  <pic:spPr>
                    <a:xfrm>
                      <a:off x="0" y="0"/>
                      <a:ext cx="2744624" cy="2008384"/>
                    </a:xfrm>
                    <a:prstGeom prst="rect">
                      <a:avLst/>
                    </a:prstGeom>
                  </pic:spPr>
                </pic:pic>
              </a:graphicData>
            </a:graphic>
          </wp:inline>
        </w:drawing>
      </w:r>
      <w:r>
        <w:rPr>
          <w:rFonts w:hint="eastAsia"/>
          <w:szCs w:val="22"/>
          <w:lang w:val="en-CA" w:eastAsia="zh-CN"/>
        </w:rPr>
        <w:t xml:space="preserve"> </w:t>
      </w:r>
      <w:r>
        <w:rPr>
          <w:szCs w:val="22"/>
          <w:lang w:val="en-CA" w:eastAsia="zh-CN"/>
        </w:rPr>
        <w:t xml:space="preserve">  </w:t>
      </w:r>
      <w:r>
        <w:rPr>
          <w:rFonts w:eastAsia="华文仿宋" w:hint="eastAsia"/>
          <w:noProof/>
          <w:lang w:eastAsia="zh-CN"/>
        </w:rPr>
        <w:drawing>
          <wp:inline distT="0" distB="0" distL="0" distR="0" wp14:anchorId="4AF719DF" wp14:editId="04A84CF8">
            <wp:extent cx="2726871" cy="1995393"/>
            <wp:effectExtent l="0" t="0" r="0" b="508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003.png"/>
                    <pic:cNvPicPr/>
                  </pic:nvPicPr>
                  <pic:blipFill>
                    <a:blip r:embed="rId18">
                      <a:extLst>
                        <a:ext uri="{28A0092B-C50C-407E-A947-70E740481C1C}">
                          <a14:useLocalDpi xmlns:a14="http://schemas.microsoft.com/office/drawing/2010/main" val="0"/>
                        </a:ext>
                      </a:extLst>
                    </a:blip>
                    <a:stretch>
                      <a:fillRect/>
                    </a:stretch>
                  </pic:blipFill>
                  <pic:spPr>
                    <a:xfrm>
                      <a:off x="0" y="0"/>
                      <a:ext cx="2737913" cy="2003473"/>
                    </a:xfrm>
                    <a:prstGeom prst="rect">
                      <a:avLst/>
                    </a:prstGeom>
                  </pic:spPr>
                </pic:pic>
              </a:graphicData>
            </a:graphic>
          </wp:inline>
        </w:drawing>
      </w:r>
    </w:p>
    <w:p w14:paraId="7114D3D7" w14:textId="77777777" w:rsidR="0020537D" w:rsidRPr="008A2C4C" w:rsidRDefault="0020537D" w:rsidP="0020537D">
      <w:pPr>
        <w:pStyle w:val="ab"/>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lang w:val="en-CA"/>
        </w:rPr>
      </w:pPr>
      <w:r w:rsidRPr="008A2C4C">
        <w:rPr>
          <w:lang w:val="en-CA"/>
        </w:rPr>
        <w:t xml:space="preserve">                                            (b)</w:t>
      </w:r>
    </w:p>
    <w:p w14:paraId="470FD199" w14:textId="77777777" w:rsidR="0020537D" w:rsidRPr="00B72CCE" w:rsidRDefault="0020537D" w:rsidP="0020537D">
      <w:pPr>
        <w:jc w:val="center"/>
        <w:rPr>
          <w:b/>
          <w:szCs w:val="22"/>
          <w:lang w:val="en-CA"/>
        </w:rPr>
      </w:pPr>
      <w:r>
        <w:rPr>
          <w:b/>
          <w:szCs w:val="22"/>
          <w:lang w:val="en-CA"/>
        </w:rPr>
        <w:t>Figure 3.  Deblocking filte</w:t>
      </w:r>
      <w:r>
        <w:rPr>
          <w:rFonts w:hint="eastAsia"/>
          <w:b/>
          <w:szCs w:val="22"/>
          <w:lang w:val="en-CA" w:eastAsia="zh-CN"/>
        </w:rPr>
        <w:t>r</w:t>
      </w:r>
      <w:r w:rsidRPr="00B72CCE">
        <w:rPr>
          <w:b/>
          <w:szCs w:val="22"/>
          <w:lang w:val="en-CA"/>
        </w:rPr>
        <w:t xml:space="preserve"> example in </w:t>
      </w:r>
      <w:r>
        <w:rPr>
          <w:b/>
          <w:szCs w:val="22"/>
          <w:lang w:val="en-CA"/>
        </w:rPr>
        <w:t>TPM</w:t>
      </w:r>
    </w:p>
    <w:p w14:paraId="438872AB" w14:textId="77777777" w:rsidR="0020537D" w:rsidRPr="00977E1C" w:rsidRDefault="0020537D" w:rsidP="0020537D">
      <w:pPr>
        <w:rPr>
          <w:b/>
          <w:szCs w:val="22"/>
          <w:lang w:val="en-CA"/>
        </w:rPr>
      </w:pPr>
    </w:p>
    <w:p w14:paraId="64A3E143" w14:textId="77777777" w:rsidR="0020537D" w:rsidRDefault="0020537D" w:rsidP="0020537D">
      <w:pPr>
        <w:pStyle w:val="1"/>
        <w:rPr>
          <w:lang w:val="en-CA" w:eastAsia="ko-KR"/>
        </w:rPr>
      </w:pPr>
      <w:r>
        <w:rPr>
          <w:rFonts w:hint="eastAsia"/>
          <w:lang w:val="en-CA" w:eastAsia="ko-KR"/>
        </w:rPr>
        <w:t>Proposed Method</w:t>
      </w:r>
    </w:p>
    <w:p w14:paraId="7E05AAB1" w14:textId="023871E1" w:rsidR="0020537D" w:rsidRPr="00A61EF8" w:rsidRDefault="00CC3871" w:rsidP="0020537D">
      <w:pPr>
        <w:rPr>
          <w:szCs w:val="22"/>
          <w:lang w:eastAsia="zh-CN"/>
        </w:rPr>
      </w:pPr>
      <w:r>
        <w:rPr>
          <w:szCs w:val="22"/>
          <w:lang w:val="en-CA" w:eastAsia="zh-CN"/>
        </w:rPr>
        <w:t>T</w:t>
      </w:r>
      <w:r w:rsidR="0020537D">
        <w:rPr>
          <w:szCs w:val="22"/>
        </w:rPr>
        <w:t xml:space="preserve">o resolve these problems mentioned above, </w:t>
      </w:r>
      <w:r w:rsidR="00E95ED9">
        <w:rPr>
          <w:rFonts w:hint="eastAsia"/>
          <w:szCs w:val="22"/>
          <w:lang w:eastAsia="zh-CN"/>
        </w:rPr>
        <w:t>the</w:t>
      </w:r>
      <w:r w:rsidR="00E95ED9">
        <w:rPr>
          <w:szCs w:val="22"/>
        </w:rPr>
        <w:t xml:space="preserve"> </w:t>
      </w:r>
      <w:r w:rsidR="00E95ED9">
        <w:rPr>
          <w:rFonts w:hint="eastAsia"/>
          <w:szCs w:val="22"/>
          <w:lang w:eastAsia="zh-CN"/>
        </w:rPr>
        <w:t>proposed</w:t>
      </w:r>
      <w:r w:rsidR="00E95ED9">
        <w:rPr>
          <w:szCs w:val="22"/>
        </w:rPr>
        <w:t xml:space="preserve"> method is as follows,</w:t>
      </w:r>
    </w:p>
    <w:p w14:paraId="3A7242F6" w14:textId="63F9C034" w:rsidR="0020537D" w:rsidRDefault="0020537D" w:rsidP="0020537D">
      <w:pPr>
        <w:pStyle w:val="2"/>
        <w:ind w:left="720" w:hanging="720"/>
        <w:rPr>
          <w:lang w:val="en-CA" w:eastAsia="zh-CN"/>
        </w:rPr>
      </w:pPr>
      <w:r>
        <w:rPr>
          <w:lang w:val="en-CA" w:eastAsia="zh-CN"/>
        </w:rPr>
        <w:t xml:space="preserve"> </w:t>
      </w:r>
      <w:r>
        <w:rPr>
          <w:rFonts w:hint="eastAsia"/>
          <w:lang w:val="en-CA" w:eastAsia="zh-CN"/>
        </w:rPr>
        <w:t>Deblocking</w:t>
      </w:r>
      <w:r>
        <w:rPr>
          <w:lang w:val="en-CA" w:eastAsia="zh-CN"/>
        </w:rPr>
        <w:t xml:space="preserve"> </w:t>
      </w:r>
      <w:r>
        <w:rPr>
          <w:rFonts w:hint="eastAsia"/>
          <w:lang w:val="en-CA" w:eastAsia="zh-CN"/>
        </w:rPr>
        <w:t>for</w:t>
      </w:r>
      <w:r>
        <w:rPr>
          <w:lang w:val="en-CA" w:eastAsia="zh-CN"/>
        </w:rPr>
        <w:t xml:space="preserve"> </w:t>
      </w:r>
      <w:r>
        <w:rPr>
          <w:rFonts w:hint="eastAsia"/>
          <w:lang w:val="en-CA" w:eastAsia="zh-CN"/>
        </w:rPr>
        <w:t>TPM</w:t>
      </w:r>
    </w:p>
    <w:p w14:paraId="4C7F982E" w14:textId="77777777" w:rsidR="0020537D" w:rsidRDefault="0020537D" w:rsidP="0020537D">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32751C8B" w14:textId="77777777" w:rsidR="00BF2402" w:rsidRPr="00084198" w:rsidRDefault="00BF2402" w:rsidP="00BF2402">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Two motion vectors for the same reference picture are used to predict the coding subblock containing the sample p</w:t>
      </w:r>
      <w:r w:rsidRPr="00084198">
        <w:rPr>
          <w:noProof/>
          <w:vertAlign w:val="subscript"/>
          <w:lang w:val="en-CA" w:eastAsia="ko-KR"/>
        </w:rPr>
        <w:t>0</w:t>
      </w:r>
      <w:r w:rsidRPr="00084198">
        <w:rPr>
          <w:noProof/>
          <w:lang w:val="en-CA" w:eastAsia="ko-KR"/>
        </w:rPr>
        <w:t xml:space="preserve">, two motion vectors for the same reference picture are used to </w:t>
      </w:r>
      <w:r w:rsidRPr="00084198">
        <w:rPr>
          <w:noProof/>
          <w:lang w:val="en-CA" w:eastAsia="ko-KR"/>
        </w:rPr>
        <w:lastRenderedPageBreak/>
        <w:t>predict the coding subblock containing the sample q</w:t>
      </w:r>
      <w:r w:rsidRPr="00084198">
        <w:rPr>
          <w:noProof/>
          <w:vertAlign w:val="subscript"/>
          <w:lang w:val="en-CA" w:eastAsia="ko-KR"/>
        </w:rPr>
        <w:t>0</w:t>
      </w:r>
      <w:r w:rsidRPr="00084198">
        <w:rPr>
          <w:noProof/>
          <w:lang w:val="en-CA" w:eastAsia="ko-KR"/>
        </w:rPr>
        <w:t xml:space="preserve"> and both of the following conditions are true:</w:t>
      </w:r>
    </w:p>
    <w:p w14:paraId="51D4D9BC" w14:textId="77777777" w:rsidR="00BF2402" w:rsidRPr="00084198" w:rsidRDefault="00BF2402" w:rsidP="00BF2402">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14:paraId="6DB1E7F2" w14:textId="77777777" w:rsidR="00BF2402" w:rsidRPr="00084198" w:rsidRDefault="00BF2402" w:rsidP="00BF2402">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the list 1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list 0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w:t>
      </w:r>
    </w:p>
    <w:p w14:paraId="082750BA" w14:textId="77777777" w:rsidR="0020537D" w:rsidRPr="00F8117C" w:rsidRDefault="0020537D" w:rsidP="0020537D">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F8117C">
        <w:rPr>
          <w:rFonts w:hint="eastAsia"/>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 xml:space="preserve">0 </w:t>
      </w:r>
      <w:r w:rsidRPr="00F8117C">
        <w:rPr>
          <w:noProof/>
          <w:highlight w:val="yellow"/>
          <w:lang w:val="en-CA" w:eastAsia="ko-KR"/>
        </w:rPr>
        <w:t xml:space="preserve">is triangle mode, and </w:t>
      </w:r>
      <w:r w:rsidRPr="00F8117C">
        <w:rPr>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0</w:t>
      </w:r>
      <w:r w:rsidRPr="00F8117C">
        <w:rPr>
          <w:noProof/>
          <w:highlight w:val="yellow"/>
          <w:lang w:val="en-CA" w:eastAsia="ko-KR"/>
        </w:rPr>
        <w:t xml:space="preserve"> is </w:t>
      </w:r>
      <w:r w:rsidRPr="00F8117C">
        <w:rPr>
          <w:rFonts w:hint="eastAsia"/>
          <w:noProof/>
          <w:highlight w:val="yellow"/>
          <w:lang w:val="en-CA" w:eastAsia="zh-CN"/>
        </w:rPr>
        <w:t>different</w:t>
      </w:r>
      <w:r w:rsidRPr="00F8117C">
        <w:rPr>
          <w:noProof/>
          <w:highlight w:val="yellow"/>
          <w:lang w:val="en-CA" w:eastAsia="ko-KR"/>
        </w:rPr>
        <w:t xml:space="preserve"> from that of the sample q</w:t>
      </w:r>
      <w:r w:rsidRPr="00F8117C">
        <w:rPr>
          <w:noProof/>
          <w:highlight w:val="yellow"/>
          <w:vertAlign w:val="subscript"/>
          <w:lang w:val="en-CA" w:eastAsia="ko-KR"/>
        </w:rPr>
        <w:t xml:space="preserve">0, </w:t>
      </w:r>
      <w:r w:rsidRPr="00F8117C">
        <w:rPr>
          <w:noProof/>
          <w:highlight w:val="yellow"/>
          <w:lang w:val="en-CA" w:eastAsia="ko-KR"/>
        </w:rPr>
        <w:t xml:space="preserve">and sample is in the blending area of </w:t>
      </w:r>
      <w:r>
        <w:rPr>
          <w:noProof/>
          <w:highlight w:val="yellow"/>
          <w:lang w:val="en-CA" w:eastAsia="ko-KR"/>
        </w:rPr>
        <w:t xml:space="preserve">corresponding </w:t>
      </w:r>
      <w:r w:rsidRPr="00F8117C">
        <w:rPr>
          <w:noProof/>
          <w:highlight w:val="yellow"/>
          <w:lang w:val="en-CA" w:eastAsia="ko-KR"/>
        </w:rPr>
        <w:t>coding subblock</w:t>
      </w:r>
      <w:r>
        <w:rPr>
          <w:noProof/>
          <w:highlight w:val="yellow"/>
          <w:lang w:val="en-CA" w:eastAsia="ko-KR"/>
        </w:rPr>
        <w:t>.</w:t>
      </w:r>
    </w:p>
    <w:p w14:paraId="6750A451" w14:textId="77777777" w:rsidR="0020537D" w:rsidRPr="00F8117C" w:rsidRDefault="0020537D" w:rsidP="0020537D">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F8117C">
        <w:rPr>
          <w:rFonts w:hint="eastAsia"/>
          <w:noProof/>
          <w:highlight w:val="yellow"/>
          <w:lang w:val="en-CA" w:eastAsia="zh-CN"/>
        </w:rPr>
        <w:t>T</w:t>
      </w:r>
      <w:r w:rsidRPr="00F8117C">
        <w:rPr>
          <w:noProof/>
          <w:highlight w:val="yellow"/>
          <w:lang w:val="en-CA" w:eastAsia="ko-KR"/>
        </w:rPr>
        <w:t>he coding subblock containing the sample q</w:t>
      </w:r>
      <w:r w:rsidRPr="00F8117C">
        <w:rPr>
          <w:noProof/>
          <w:highlight w:val="yellow"/>
          <w:vertAlign w:val="subscript"/>
          <w:lang w:val="en-CA" w:eastAsia="ko-KR"/>
        </w:rPr>
        <w:t>0</w:t>
      </w:r>
      <w:r>
        <w:rPr>
          <w:noProof/>
          <w:highlight w:val="yellow"/>
          <w:vertAlign w:val="subscript"/>
          <w:lang w:val="en-CA" w:eastAsia="ko-KR"/>
        </w:rPr>
        <w:t xml:space="preserve"> </w:t>
      </w:r>
      <w:r w:rsidRPr="00F8117C">
        <w:rPr>
          <w:noProof/>
          <w:highlight w:val="yellow"/>
          <w:lang w:val="en-CA" w:eastAsia="ko-KR"/>
        </w:rPr>
        <w:t xml:space="preserve">is triangle mode, and </w:t>
      </w:r>
      <w:r w:rsidRPr="00F8117C">
        <w:rPr>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0</w:t>
      </w:r>
      <w:r w:rsidRPr="00F8117C">
        <w:rPr>
          <w:noProof/>
          <w:highlight w:val="yellow"/>
          <w:lang w:val="en-CA" w:eastAsia="ko-KR"/>
        </w:rPr>
        <w:t xml:space="preserve"> is </w:t>
      </w:r>
      <w:r w:rsidRPr="00F8117C">
        <w:rPr>
          <w:rFonts w:hint="eastAsia"/>
          <w:noProof/>
          <w:highlight w:val="yellow"/>
          <w:lang w:val="en-CA" w:eastAsia="zh-CN"/>
        </w:rPr>
        <w:t>different</w:t>
      </w:r>
      <w:r w:rsidRPr="00F8117C">
        <w:rPr>
          <w:noProof/>
          <w:highlight w:val="yellow"/>
          <w:lang w:val="en-CA" w:eastAsia="ko-KR"/>
        </w:rPr>
        <w:t xml:space="preserve"> from that of the sample q</w:t>
      </w:r>
      <w:r w:rsidRPr="00F8117C">
        <w:rPr>
          <w:noProof/>
          <w:highlight w:val="yellow"/>
          <w:vertAlign w:val="subscript"/>
          <w:lang w:val="en-CA" w:eastAsia="ko-KR"/>
        </w:rPr>
        <w:t xml:space="preserve">0, </w:t>
      </w:r>
      <w:r w:rsidRPr="00F8117C">
        <w:rPr>
          <w:noProof/>
          <w:highlight w:val="yellow"/>
          <w:lang w:val="en-CA" w:eastAsia="ko-KR"/>
        </w:rPr>
        <w:t xml:space="preserve">and sample is in the blending area of </w:t>
      </w:r>
      <w:r>
        <w:rPr>
          <w:noProof/>
          <w:highlight w:val="yellow"/>
          <w:lang w:val="en-CA" w:eastAsia="ko-KR"/>
        </w:rPr>
        <w:t xml:space="preserve">corresponding </w:t>
      </w:r>
      <w:r w:rsidRPr="00F8117C">
        <w:rPr>
          <w:noProof/>
          <w:highlight w:val="yellow"/>
          <w:lang w:val="en-CA" w:eastAsia="ko-KR"/>
        </w:rPr>
        <w:t>coding subblock</w:t>
      </w:r>
      <w:r>
        <w:rPr>
          <w:noProof/>
          <w:highlight w:val="yellow"/>
          <w:lang w:val="en-CA" w:eastAsia="ko-KR"/>
        </w:rPr>
        <w:t>.</w:t>
      </w:r>
    </w:p>
    <w:p w14:paraId="1BBCB2D6" w14:textId="77777777" w:rsidR="0020537D" w:rsidRPr="00F8117C" w:rsidRDefault="0020537D" w:rsidP="0020537D">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p>
    <w:p w14:paraId="5475EC50" w14:textId="3324F105" w:rsidR="0020537D" w:rsidRPr="0020537D" w:rsidRDefault="0020537D" w:rsidP="0020537D">
      <w:pPr>
        <w:numPr>
          <w:ilvl w:val="2"/>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Otherwise, 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r>
        <w:rPr>
          <w:rFonts w:hint="eastAsia"/>
          <w:noProof/>
          <w:lang w:val="en-CA" w:eastAsia="zh-CN"/>
        </w:rPr>
        <w:t>.</w:t>
      </w:r>
    </w:p>
    <w:p w14:paraId="4AF7ABC7" w14:textId="77777777" w:rsidR="0020537D" w:rsidRDefault="0020537D" w:rsidP="0020537D">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1A85CEA8" w14:textId="55B227C2" w:rsidR="0020537D" w:rsidRPr="00165434" w:rsidRDefault="0020537D" w:rsidP="0020537D">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sidR="00CC3871">
        <w:rPr>
          <w:szCs w:val="22"/>
          <w:lang w:eastAsia="ko-KR"/>
        </w:rPr>
        <w:t>ere performed based on VTM-7.0</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1A55C2F3" w14:textId="15BC0DF1" w:rsidR="0020537D" w:rsidRDefault="0020537D" w:rsidP="0020537D">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00CC3871">
        <w:rPr>
          <w:lang w:val="en-CA" w:eastAsia="ko-KR"/>
        </w:rPr>
        <w:t>VTM-7.0</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F9559A">
        <w:rPr>
          <w:lang w:val="en-CA" w:eastAsia="ko-KR"/>
        </w:rPr>
        <w:t>0.00%, and -0.01</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01857CCC" w14:textId="77777777" w:rsidR="0020537D" w:rsidRPr="00977E1C" w:rsidRDefault="0020537D" w:rsidP="0020537D">
      <w:pPr>
        <w:rPr>
          <w:rFonts w:eastAsia="Malgun Gothic"/>
          <w:lang w:val="en-CA" w:eastAsia="ko-KR"/>
        </w:rPr>
      </w:pPr>
    </w:p>
    <w:p w14:paraId="79115DCC" w14:textId="65E87F04" w:rsidR="0020537D" w:rsidRDefault="0020537D" w:rsidP="0020537D">
      <w:pPr>
        <w:jc w:val="center"/>
        <w:rPr>
          <w:b/>
          <w:lang w:eastAsia="ko-KR"/>
        </w:rPr>
      </w:pPr>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20537D" w:rsidRPr="00866395" w14:paraId="126EC5AE" w14:textId="77777777" w:rsidTr="005836DF">
        <w:trPr>
          <w:trHeight w:val="255"/>
          <w:jc w:val="center"/>
        </w:trPr>
        <w:tc>
          <w:tcPr>
            <w:tcW w:w="1818" w:type="dxa"/>
            <w:tcBorders>
              <w:top w:val="nil"/>
              <w:left w:val="nil"/>
              <w:bottom w:val="nil"/>
              <w:right w:val="nil"/>
            </w:tcBorders>
            <w:shd w:val="clear" w:color="auto" w:fill="auto"/>
            <w:noWrap/>
            <w:vAlign w:val="center"/>
            <w:hideMark/>
          </w:tcPr>
          <w:p w14:paraId="2A484416"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168D171"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37A08A"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7A16825B"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C93CE0D"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5D549F43"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20537D" w:rsidRPr="00866395" w14:paraId="562FF206" w14:textId="77777777" w:rsidTr="005836DF">
        <w:trPr>
          <w:trHeight w:val="255"/>
          <w:jc w:val="center"/>
        </w:trPr>
        <w:tc>
          <w:tcPr>
            <w:tcW w:w="1818" w:type="dxa"/>
            <w:tcBorders>
              <w:top w:val="nil"/>
              <w:left w:val="nil"/>
              <w:bottom w:val="nil"/>
              <w:right w:val="nil"/>
            </w:tcBorders>
            <w:shd w:val="clear" w:color="auto" w:fill="auto"/>
            <w:noWrap/>
            <w:hideMark/>
          </w:tcPr>
          <w:p w14:paraId="3EA24CBF"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3671F7D" w14:textId="77777777" w:rsidR="0020537D" w:rsidRPr="00595BD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20537D" w:rsidRPr="00866395" w14:paraId="7FA0A47D" w14:textId="77777777" w:rsidTr="005836DF">
        <w:trPr>
          <w:trHeight w:val="255"/>
          <w:jc w:val="center"/>
        </w:trPr>
        <w:tc>
          <w:tcPr>
            <w:tcW w:w="1818" w:type="dxa"/>
            <w:tcBorders>
              <w:top w:val="nil"/>
              <w:left w:val="nil"/>
              <w:bottom w:val="nil"/>
              <w:right w:val="nil"/>
            </w:tcBorders>
            <w:shd w:val="clear" w:color="auto" w:fill="auto"/>
            <w:noWrap/>
            <w:hideMark/>
          </w:tcPr>
          <w:p w14:paraId="0864B48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1A6DC16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05A98D92" w14:textId="77777777" w:rsidTr="005836DF">
        <w:trPr>
          <w:trHeight w:val="255"/>
          <w:jc w:val="center"/>
        </w:trPr>
        <w:tc>
          <w:tcPr>
            <w:tcW w:w="1818" w:type="dxa"/>
            <w:tcBorders>
              <w:top w:val="nil"/>
              <w:left w:val="nil"/>
              <w:bottom w:val="nil"/>
              <w:right w:val="nil"/>
            </w:tcBorders>
            <w:shd w:val="clear" w:color="auto" w:fill="auto"/>
            <w:noWrap/>
            <w:hideMark/>
          </w:tcPr>
          <w:p w14:paraId="50D3521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600E770"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BB9E88"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7BDC85B"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6BC3C1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2E5B752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1D4A5D" w:rsidRPr="00866395" w14:paraId="4270845C" w14:textId="77777777" w:rsidTr="00C4313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4A8C2F3"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vAlign w:val="center"/>
            <w:hideMark/>
          </w:tcPr>
          <w:p w14:paraId="694BC4DC" w14:textId="0F895FA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nil"/>
            </w:tcBorders>
            <w:shd w:val="clear" w:color="auto" w:fill="auto"/>
            <w:noWrap/>
            <w:vAlign w:val="center"/>
            <w:hideMark/>
          </w:tcPr>
          <w:p w14:paraId="1ACC0AEF" w14:textId="72DF59F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nil"/>
              <w:right w:val="single" w:sz="4" w:space="0" w:color="auto"/>
            </w:tcBorders>
            <w:shd w:val="clear" w:color="auto" w:fill="auto"/>
            <w:noWrap/>
            <w:vAlign w:val="center"/>
            <w:hideMark/>
          </w:tcPr>
          <w:p w14:paraId="20CC3297" w14:textId="78CE0086"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0.03%</w:t>
            </w:r>
          </w:p>
        </w:tc>
        <w:tc>
          <w:tcPr>
            <w:tcW w:w="1323" w:type="dxa"/>
            <w:tcBorders>
              <w:top w:val="nil"/>
              <w:left w:val="nil"/>
              <w:bottom w:val="nil"/>
              <w:right w:val="nil"/>
            </w:tcBorders>
            <w:shd w:val="clear" w:color="auto" w:fill="auto"/>
            <w:noWrap/>
            <w:vAlign w:val="center"/>
            <w:hideMark/>
          </w:tcPr>
          <w:p w14:paraId="54BD946F" w14:textId="4F3F2FF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nil"/>
              <w:left w:val="nil"/>
              <w:bottom w:val="nil"/>
              <w:right w:val="single" w:sz="8" w:space="0" w:color="auto"/>
            </w:tcBorders>
            <w:shd w:val="clear" w:color="auto" w:fill="auto"/>
            <w:noWrap/>
            <w:vAlign w:val="center"/>
            <w:hideMark/>
          </w:tcPr>
          <w:p w14:paraId="07F44E67" w14:textId="57CF03F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0B98CB2B"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1928713"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vAlign w:val="center"/>
            <w:hideMark/>
          </w:tcPr>
          <w:p w14:paraId="1D54D2F3" w14:textId="08A8F0CC"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nil"/>
            </w:tcBorders>
            <w:shd w:val="clear" w:color="auto" w:fill="auto"/>
            <w:noWrap/>
            <w:vAlign w:val="center"/>
            <w:hideMark/>
          </w:tcPr>
          <w:p w14:paraId="5A2D6F3F" w14:textId="7C91A5C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single" w:sz="4" w:space="0" w:color="auto"/>
            </w:tcBorders>
            <w:shd w:val="clear" w:color="auto" w:fill="auto"/>
            <w:noWrap/>
            <w:vAlign w:val="center"/>
            <w:hideMark/>
          </w:tcPr>
          <w:p w14:paraId="1C119BDB" w14:textId="557E933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323" w:type="dxa"/>
            <w:tcBorders>
              <w:top w:val="nil"/>
              <w:left w:val="nil"/>
              <w:bottom w:val="nil"/>
              <w:right w:val="nil"/>
            </w:tcBorders>
            <w:shd w:val="clear" w:color="auto" w:fill="auto"/>
            <w:noWrap/>
            <w:vAlign w:val="center"/>
            <w:hideMark/>
          </w:tcPr>
          <w:p w14:paraId="6A94DD79" w14:textId="744D923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105%</w:t>
            </w:r>
          </w:p>
        </w:tc>
        <w:tc>
          <w:tcPr>
            <w:tcW w:w="1323" w:type="dxa"/>
            <w:tcBorders>
              <w:top w:val="nil"/>
              <w:left w:val="nil"/>
              <w:bottom w:val="nil"/>
              <w:right w:val="single" w:sz="8" w:space="0" w:color="auto"/>
            </w:tcBorders>
            <w:shd w:val="clear" w:color="auto" w:fill="auto"/>
            <w:noWrap/>
            <w:vAlign w:val="center"/>
            <w:hideMark/>
          </w:tcPr>
          <w:p w14:paraId="6C015EA5" w14:textId="73C65C1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695A27BC"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FB6E165"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hideMark/>
          </w:tcPr>
          <w:p w14:paraId="25F1E969" w14:textId="4FFC23A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nil"/>
              <w:right w:val="nil"/>
            </w:tcBorders>
            <w:shd w:val="clear" w:color="auto" w:fill="auto"/>
            <w:noWrap/>
            <w:vAlign w:val="center"/>
            <w:hideMark/>
          </w:tcPr>
          <w:p w14:paraId="4C943597" w14:textId="4C639899"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single" w:sz="4" w:space="0" w:color="auto"/>
            </w:tcBorders>
            <w:shd w:val="clear" w:color="auto" w:fill="auto"/>
            <w:noWrap/>
            <w:vAlign w:val="center"/>
            <w:hideMark/>
          </w:tcPr>
          <w:p w14:paraId="6CD8B087" w14:textId="2E8C955E"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323" w:type="dxa"/>
            <w:tcBorders>
              <w:top w:val="nil"/>
              <w:left w:val="nil"/>
              <w:bottom w:val="nil"/>
              <w:right w:val="nil"/>
            </w:tcBorders>
            <w:shd w:val="clear" w:color="auto" w:fill="auto"/>
            <w:noWrap/>
            <w:vAlign w:val="center"/>
            <w:hideMark/>
          </w:tcPr>
          <w:p w14:paraId="4FF9209B" w14:textId="71E94D5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99%</w:t>
            </w:r>
          </w:p>
        </w:tc>
        <w:tc>
          <w:tcPr>
            <w:tcW w:w="1323" w:type="dxa"/>
            <w:tcBorders>
              <w:top w:val="nil"/>
              <w:left w:val="nil"/>
              <w:bottom w:val="nil"/>
              <w:right w:val="single" w:sz="8" w:space="0" w:color="auto"/>
            </w:tcBorders>
            <w:shd w:val="clear" w:color="auto" w:fill="auto"/>
            <w:noWrap/>
            <w:vAlign w:val="center"/>
            <w:hideMark/>
          </w:tcPr>
          <w:p w14:paraId="2364B400" w14:textId="66A3739E"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3628A4EE"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2B338EE"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709BCFEF" w14:textId="760844A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nil"/>
              <w:right w:val="nil"/>
            </w:tcBorders>
            <w:shd w:val="clear" w:color="auto" w:fill="auto"/>
            <w:noWrap/>
            <w:vAlign w:val="center"/>
            <w:hideMark/>
          </w:tcPr>
          <w:p w14:paraId="2484FCFC" w14:textId="10DB583C"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nil"/>
              <w:right w:val="single" w:sz="4" w:space="0" w:color="auto"/>
            </w:tcBorders>
            <w:shd w:val="clear" w:color="auto" w:fill="auto"/>
            <w:noWrap/>
            <w:vAlign w:val="center"/>
            <w:hideMark/>
          </w:tcPr>
          <w:p w14:paraId="1CEA1E73" w14:textId="7D63602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0.07%</w:t>
            </w:r>
          </w:p>
        </w:tc>
        <w:tc>
          <w:tcPr>
            <w:tcW w:w="1323" w:type="dxa"/>
            <w:tcBorders>
              <w:top w:val="nil"/>
              <w:left w:val="nil"/>
              <w:bottom w:val="nil"/>
              <w:right w:val="nil"/>
            </w:tcBorders>
            <w:shd w:val="clear" w:color="auto" w:fill="auto"/>
            <w:noWrap/>
            <w:vAlign w:val="center"/>
            <w:hideMark/>
          </w:tcPr>
          <w:p w14:paraId="5C9EDF84" w14:textId="058C171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98%</w:t>
            </w:r>
          </w:p>
        </w:tc>
        <w:tc>
          <w:tcPr>
            <w:tcW w:w="1323" w:type="dxa"/>
            <w:tcBorders>
              <w:top w:val="nil"/>
              <w:left w:val="nil"/>
              <w:bottom w:val="nil"/>
              <w:right w:val="single" w:sz="8" w:space="0" w:color="auto"/>
            </w:tcBorders>
            <w:shd w:val="clear" w:color="auto" w:fill="auto"/>
            <w:noWrap/>
            <w:vAlign w:val="center"/>
            <w:hideMark/>
          </w:tcPr>
          <w:p w14:paraId="55F1BE91" w14:textId="69F9C48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57034E53"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504C19A6"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1280D152" w14:textId="2DF4A1B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 xml:space="preserve">　</w:t>
            </w:r>
          </w:p>
        </w:tc>
        <w:tc>
          <w:tcPr>
            <w:tcW w:w="1698" w:type="dxa"/>
            <w:tcBorders>
              <w:top w:val="nil"/>
              <w:left w:val="nil"/>
              <w:bottom w:val="nil"/>
              <w:right w:val="nil"/>
            </w:tcBorders>
            <w:shd w:val="clear" w:color="auto" w:fill="auto"/>
            <w:noWrap/>
            <w:vAlign w:val="center"/>
            <w:hideMark/>
          </w:tcPr>
          <w:p w14:paraId="72EAEC5C" w14:textId="7777777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vAlign w:val="center"/>
            <w:hideMark/>
          </w:tcPr>
          <w:p w14:paraId="397A80C1" w14:textId="1CECD84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 xml:space="preserve">　</w:t>
            </w:r>
          </w:p>
        </w:tc>
        <w:tc>
          <w:tcPr>
            <w:tcW w:w="1323" w:type="dxa"/>
            <w:tcBorders>
              <w:top w:val="nil"/>
              <w:left w:val="nil"/>
              <w:bottom w:val="nil"/>
              <w:right w:val="nil"/>
            </w:tcBorders>
            <w:shd w:val="clear" w:color="auto" w:fill="auto"/>
            <w:noWrap/>
            <w:vAlign w:val="center"/>
            <w:hideMark/>
          </w:tcPr>
          <w:p w14:paraId="2BAA455B" w14:textId="4532CE4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 xml:space="preserve">　</w:t>
            </w:r>
          </w:p>
        </w:tc>
        <w:tc>
          <w:tcPr>
            <w:tcW w:w="1323" w:type="dxa"/>
            <w:tcBorders>
              <w:top w:val="nil"/>
              <w:left w:val="nil"/>
              <w:bottom w:val="nil"/>
              <w:right w:val="single" w:sz="8" w:space="0" w:color="auto"/>
            </w:tcBorders>
            <w:shd w:val="clear" w:color="auto" w:fill="auto"/>
            <w:noWrap/>
            <w:vAlign w:val="center"/>
            <w:hideMark/>
          </w:tcPr>
          <w:p w14:paraId="3E337459" w14:textId="491F43A4"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 xml:space="preserve">　</w:t>
            </w:r>
          </w:p>
        </w:tc>
      </w:tr>
      <w:tr w:rsidR="001D4A5D" w:rsidRPr="00866395" w14:paraId="4768F903" w14:textId="77777777" w:rsidTr="00C4313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4E0B7BF"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hideMark/>
          </w:tcPr>
          <w:p w14:paraId="2BF5DBF3" w14:textId="036151F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single" w:sz="8" w:space="0" w:color="auto"/>
              <w:left w:val="nil"/>
              <w:bottom w:val="nil"/>
              <w:right w:val="nil"/>
            </w:tcBorders>
            <w:shd w:val="clear" w:color="auto" w:fill="auto"/>
            <w:noWrap/>
            <w:vAlign w:val="center"/>
            <w:hideMark/>
          </w:tcPr>
          <w:p w14:paraId="1203D0A6" w14:textId="4DF0E68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single" w:sz="8" w:space="0" w:color="auto"/>
              <w:left w:val="nil"/>
              <w:bottom w:val="nil"/>
              <w:right w:val="single" w:sz="4" w:space="0" w:color="auto"/>
            </w:tcBorders>
            <w:shd w:val="clear" w:color="auto" w:fill="auto"/>
            <w:noWrap/>
            <w:vAlign w:val="center"/>
            <w:hideMark/>
          </w:tcPr>
          <w:p w14:paraId="37681BD7" w14:textId="5EDC2263"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0.02%</w:t>
            </w:r>
          </w:p>
        </w:tc>
        <w:tc>
          <w:tcPr>
            <w:tcW w:w="1323" w:type="dxa"/>
            <w:tcBorders>
              <w:top w:val="single" w:sz="8" w:space="0" w:color="auto"/>
              <w:left w:val="nil"/>
              <w:bottom w:val="nil"/>
              <w:right w:val="nil"/>
            </w:tcBorders>
            <w:shd w:val="clear" w:color="auto" w:fill="auto"/>
            <w:noWrap/>
            <w:vAlign w:val="center"/>
            <w:hideMark/>
          </w:tcPr>
          <w:p w14:paraId="3000CF0A" w14:textId="6DFF973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single" w:sz="8" w:space="0" w:color="auto"/>
              <w:left w:val="nil"/>
              <w:bottom w:val="nil"/>
              <w:right w:val="single" w:sz="8" w:space="0" w:color="auto"/>
            </w:tcBorders>
            <w:shd w:val="clear" w:color="auto" w:fill="auto"/>
            <w:noWrap/>
            <w:vAlign w:val="center"/>
            <w:hideMark/>
          </w:tcPr>
          <w:p w14:paraId="2A13747F" w14:textId="266049F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6BCDF537" w14:textId="77777777" w:rsidTr="00C4313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2125CFDE"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vAlign w:val="center"/>
            <w:hideMark/>
          </w:tcPr>
          <w:p w14:paraId="42A44114" w14:textId="330AF66F"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0.02%</w:t>
            </w:r>
          </w:p>
        </w:tc>
        <w:tc>
          <w:tcPr>
            <w:tcW w:w="1698" w:type="dxa"/>
            <w:tcBorders>
              <w:top w:val="single" w:sz="8" w:space="0" w:color="auto"/>
              <w:left w:val="nil"/>
              <w:bottom w:val="nil"/>
              <w:right w:val="nil"/>
            </w:tcBorders>
            <w:shd w:val="clear" w:color="auto" w:fill="auto"/>
            <w:noWrap/>
            <w:vAlign w:val="center"/>
            <w:hideMark/>
          </w:tcPr>
          <w:p w14:paraId="32617668" w14:textId="0A05B376"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-0.03%</w:t>
            </w:r>
          </w:p>
        </w:tc>
        <w:tc>
          <w:tcPr>
            <w:tcW w:w="1698" w:type="dxa"/>
            <w:tcBorders>
              <w:top w:val="single" w:sz="8" w:space="0" w:color="auto"/>
              <w:left w:val="nil"/>
              <w:bottom w:val="nil"/>
              <w:right w:val="single" w:sz="4" w:space="0" w:color="auto"/>
            </w:tcBorders>
            <w:shd w:val="clear" w:color="auto" w:fill="auto"/>
            <w:noWrap/>
            <w:vAlign w:val="center"/>
            <w:hideMark/>
          </w:tcPr>
          <w:p w14:paraId="60083AF6" w14:textId="16DD5754"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-0.04%</w:t>
            </w:r>
          </w:p>
        </w:tc>
        <w:tc>
          <w:tcPr>
            <w:tcW w:w="1323" w:type="dxa"/>
            <w:tcBorders>
              <w:top w:val="single" w:sz="8" w:space="0" w:color="auto"/>
              <w:left w:val="nil"/>
              <w:bottom w:val="nil"/>
              <w:right w:val="nil"/>
            </w:tcBorders>
            <w:shd w:val="clear" w:color="auto" w:fill="auto"/>
            <w:noWrap/>
            <w:vAlign w:val="center"/>
            <w:hideMark/>
          </w:tcPr>
          <w:p w14:paraId="36CADEA3" w14:textId="7959A029"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single" w:sz="8" w:space="0" w:color="auto"/>
              <w:left w:val="nil"/>
              <w:bottom w:val="nil"/>
              <w:right w:val="single" w:sz="8" w:space="0" w:color="auto"/>
            </w:tcBorders>
            <w:shd w:val="clear" w:color="auto" w:fill="auto"/>
            <w:noWrap/>
            <w:vAlign w:val="center"/>
            <w:hideMark/>
          </w:tcPr>
          <w:p w14:paraId="1FCBE2F1" w14:textId="17FC64B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50FC0156" w14:textId="77777777" w:rsidTr="00C43130">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57452BA0"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vAlign w:val="center"/>
            <w:hideMark/>
          </w:tcPr>
          <w:p w14:paraId="13A781A7" w14:textId="190E8A33"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single" w:sz="8" w:space="0" w:color="auto"/>
              <w:right w:val="nil"/>
            </w:tcBorders>
            <w:shd w:val="clear" w:color="auto" w:fill="auto"/>
            <w:noWrap/>
            <w:vAlign w:val="center"/>
            <w:hideMark/>
          </w:tcPr>
          <w:p w14:paraId="1C25A60F" w14:textId="562BFA4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0.02%</w:t>
            </w:r>
          </w:p>
        </w:tc>
        <w:tc>
          <w:tcPr>
            <w:tcW w:w="1698" w:type="dxa"/>
            <w:tcBorders>
              <w:top w:val="nil"/>
              <w:left w:val="nil"/>
              <w:bottom w:val="single" w:sz="8" w:space="0" w:color="auto"/>
              <w:right w:val="single" w:sz="4" w:space="0" w:color="auto"/>
            </w:tcBorders>
            <w:shd w:val="clear" w:color="auto" w:fill="auto"/>
            <w:noWrap/>
            <w:vAlign w:val="center"/>
            <w:hideMark/>
          </w:tcPr>
          <w:p w14:paraId="6B603E60" w14:textId="77E99E5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-0.04%</w:t>
            </w:r>
          </w:p>
        </w:tc>
        <w:tc>
          <w:tcPr>
            <w:tcW w:w="1323" w:type="dxa"/>
            <w:tcBorders>
              <w:top w:val="nil"/>
              <w:left w:val="nil"/>
              <w:bottom w:val="single" w:sz="8" w:space="0" w:color="auto"/>
              <w:right w:val="nil"/>
            </w:tcBorders>
            <w:shd w:val="clear" w:color="auto" w:fill="auto"/>
            <w:noWrap/>
            <w:vAlign w:val="center"/>
            <w:hideMark/>
          </w:tcPr>
          <w:p w14:paraId="6645DA2A" w14:textId="66CD465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98%</w:t>
            </w:r>
          </w:p>
        </w:tc>
        <w:tc>
          <w:tcPr>
            <w:tcW w:w="1323" w:type="dxa"/>
            <w:tcBorders>
              <w:top w:val="nil"/>
              <w:left w:val="nil"/>
              <w:bottom w:val="single" w:sz="8" w:space="0" w:color="auto"/>
              <w:right w:val="single" w:sz="8" w:space="0" w:color="auto"/>
            </w:tcBorders>
            <w:shd w:val="clear" w:color="auto" w:fill="auto"/>
            <w:noWrap/>
            <w:vAlign w:val="center"/>
            <w:hideMark/>
          </w:tcPr>
          <w:p w14:paraId="20CF6FAD" w14:textId="3E2FF16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20537D" w:rsidRPr="00866395" w14:paraId="07A510D7" w14:textId="77777777" w:rsidTr="005836DF">
        <w:trPr>
          <w:trHeight w:val="255"/>
          <w:jc w:val="center"/>
        </w:trPr>
        <w:tc>
          <w:tcPr>
            <w:tcW w:w="1818" w:type="dxa"/>
            <w:tcBorders>
              <w:top w:val="nil"/>
              <w:left w:val="nil"/>
              <w:bottom w:val="nil"/>
              <w:right w:val="nil"/>
            </w:tcBorders>
            <w:shd w:val="clear" w:color="auto" w:fill="auto"/>
            <w:noWrap/>
            <w:vAlign w:val="center"/>
            <w:hideMark/>
          </w:tcPr>
          <w:p w14:paraId="6ECC10A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25A73999"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1B596A24"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5049AC76"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356A0C5A"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68983C"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20537D" w:rsidRPr="00866395" w14:paraId="2CBBE508" w14:textId="77777777" w:rsidTr="005836DF">
        <w:trPr>
          <w:trHeight w:val="255"/>
          <w:jc w:val="center"/>
        </w:trPr>
        <w:tc>
          <w:tcPr>
            <w:tcW w:w="1818" w:type="dxa"/>
            <w:tcBorders>
              <w:top w:val="nil"/>
              <w:left w:val="nil"/>
              <w:bottom w:val="nil"/>
              <w:right w:val="nil"/>
            </w:tcBorders>
            <w:shd w:val="clear" w:color="auto" w:fill="auto"/>
            <w:noWrap/>
            <w:hideMark/>
          </w:tcPr>
          <w:p w14:paraId="6283AFD1"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CC91A" w14:textId="77777777" w:rsidR="0020537D" w:rsidRPr="00595BD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20537D" w:rsidRPr="00866395" w14:paraId="3CA101A3" w14:textId="77777777" w:rsidTr="005836DF">
        <w:trPr>
          <w:trHeight w:val="255"/>
          <w:jc w:val="center"/>
        </w:trPr>
        <w:tc>
          <w:tcPr>
            <w:tcW w:w="1818" w:type="dxa"/>
            <w:tcBorders>
              <w:top w:val="nil"/>
              <w:left w:val="nil"/>
              <w:bottom w:val="nil"/>
              <w:right w:val="nil"/>
            </w:tcBorders>
            <w:shd w:val="clear" w:color="auto" w:fill="auto"/>
            <w:noWrap/>
            <w:hideMark/>
          </w:tcPr>
          <w:p w14:paraId="3F4E1DA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2D55169"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15F70777" w14:textId="77777777" w:rsidTr="005836DF">
        <w:trPr>
          <w:trHeight w:val="255"/>
          <w:jc w:val="center"/>
        </w:trPr>
        <w:tc>
          <w:tcPr>
            <w:tcW w:w="1818" w:type="dxa"/>
            <w:tcBorders>
              <w:top w:val="nil"/>
              <w:left w:val="nil"/>
              <w:bottom w:val="nil"/>
              <w:right w:val="nil"/>
            </w:tcBorders>
            <w:shd w:val="clear" w:color="auto" w:fill="auto"/>
            <w:noWrap/>
            <w:hideMark/>
          </w:tcPr>
          <w:p w14:paraId="07C8918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4847EB4"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FD86D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E2BFDCA"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8B413F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F6F9014"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20537D" w:rsidRPr="00866395" w14:paraId="26E79726" w14:textId="77777777" w:rsidTr="005836DF">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0E61C8C"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56E2092A"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886761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196CFE10"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055B7E0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21FDF689"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20537D" w:rsidRPr="00866395" w14:paraId="7249B09D" w14:textId="77777777" w:rsidTr="005836DF">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D9E5B2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5F1CCD6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F00AC27"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7D935CE"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F1C70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06D0AF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1D4A5D" w:rsidRPr="00866395" w14:paraId="18CF445E" w14:textId="77777777" w:rsidTr="0099202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0097AEA"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tcPr>
          <w:p w14:paraId="56BD1608" w14:textId="1B3FD661"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nil"/>
            </w:tcBorders>
            <w:shd w:val="clear" w:color="auto" w:fill="auto"/>
            <w:noWrap/>
            <w:vAlign w:val="center"/>
          </w:tcPr>
          <w:p w14:paraId="2F03257F" w14:textId="32EC03C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-0.15%</w:t>
            </w:r>
          </w:p>
        </w:tc>
        <w:tc>
          <w:tcPr>
            <w:tcW w:w="1698" w:type="dxa"/>
            <w:tcBorders>
              <w:top w:val="nil"/>
              <w:left w:val="nil"/>
              <w:bottom w:val="nil"/>
              <w:right w:val="single" w:sz="4" w:space="0" w:color="auto"/>
            </w:tcBorders>
            <w:shd w:val="clear" w:color="auto" w:fill="auto"/>
            <w:noWrap/>
            <w:vAlign w:val="center"/>
          </w:tcPr>
          <w:p w14:paraId="26C244E4" w14:textId="5D736E9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-0.18%</w:t>
            </w:r>
          </w:p>
        </w:tc>
        <w:tc>
          <w:tcPr>
            <w:tcW w:w="1323" w:type="dxa"/>
            <w:tcBorders>
              <w:top w:val="nil"/>
              <w:left w:val="nil"/>
              <w:bottom w:val="nil"/>
              <w:right w:val="nil"/>
            </w:tcBorders>
            <w:shd w:val="clear" w:color="auto" w:fill="auto"/>
            <w:noWrap/>
            <w:vAlign w:val="center"/>
          </w:tcPr>
          <w:p w14:paraId="05D9AACF" w14:textId="6AF7698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nil"/>
              <w:left w:val="nil"/>
              <w:bottom w:val="nil"/>
              <w:right w:val="single" w:sz="8" w:space="0" w:color="auto"/>
            </w:tcBorders>
            <w:shd w:val="clear" w:color="auto" w:fill="auto"/>
            <w:noWrap/>
            <w:vAlign w:val="center"/>
          </w:tcPr>
          <w:p w14:paraId="0A7A81B9" w14:textId="65852B0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67D5445E" w14:textId="77777777" w:rsidTr="0099202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627E796D"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29053C0A" w14:textId="14BA75E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nil"/>
            </w:tcBorders>
            <w:shd w:val="clear" w:color="auto" w:fill="auto"/>
            <w:noWrap/>
            <w:vAlign w:val="center"/>
            <w:hideMark/>
          </w:tcPr>
          <w:p w14:paraId="48DD259F" w14:textId="4D528C7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-0.15%</w:t>
            </w:r>
          </w:p>
        </w:tc>
        <w:tc>
          <w:tcPr>
            <w:tcW w:w="1698" w:type="dxa"/>
            <w:tcBorders>
              <w:top w:val="nil"/>
              <w:left w:val="nil"/>
              <w:bottom w:val="nil"/>
              <w:right w:val="single" w:sz="4" w:space="0" w:color="auto"/>
            </w:tcBorders>
            <w:shd w:val="clear" w:color="auto" w:fill="auto"/>
            <w:noWrap/>
            <w:vAlign w:val="center"/>
            <w:hideMark/>
          </w:tcPr>
          <w:p w14:paraId="66F9245E" w14:textId="220CB8A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-0.21%</w:t>
            </w:r>
          </w:p>
        </w:tc>
        <w:tc>
          <w:tcPr>
            <w:tcW w:w="1323" w:type="dxa"/>
            <w:tcBorders>
              <w:top w:val="nil"/>
              <w:left w:val="nil"/>
              <w:bottom w:val="nil"/>
              <w:right w:val="nil"/>
            </w:tcBorders>
            <w:shd w:val="clear" w:color="auto" w:fill="auto"/>
            <w:noWrap/>
            <w:vAlign w:val="center"/>
            <w:hideMark/>
          </w:tcPr>
          <w:p w14:paraId="7EF521A8" w14:textId="0E30F589"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98%</w:t>
            </w:r>
          </w:p>
        </w:tc>
        <w:tc>
          <w:tcPr>
            <w:tcW w:w="1323" w:type="dxa"/>
            <w:tcBorders>
              <w:top w:val="nil"/>
              <w:left w:val="nil"/>
              <w:bottom w:val="nil"/>
              <w:right w:val="single" w:sz="8" w:space="0" w:color="auto"/>
            </w:tcBorders>
            <w:shd w:val="clear" w:color="auto" w:fill="auto"/>
            <w:noWrap/>
            <w:vAlign w:val="center"/>
            <w:hideMark/>
          </w:tcPr>
          <w:p w14:paraId="1D191F5F" w14:textId="7B193916"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397EFCD7" w14:textId="77777777" w:rsidTr="0099202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BACC793"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E</w:t>
            </w:r>
          </w:p>
        </w:tc>
        <w:tc>
          <w:tcPr>
            <w:tcW w:w="1698" w:type="dxa"/>
            <w:tcBorders>
              <w:top w:val="nil"/>
              <w:left w:val="nil"/>
              <w:bottom w:val="nil"/>
              <w:right w:val="nil"/>
            </w:tcBorders>
            <w:shd w:val="clear" w:color="auto" w:fill="auto"/>
            <w:noWrap/>
            <w:vAlign w:val="center"/>
            <w:hideMark/>
          </w:tcPr>
          <w:p w14:paraId="2E715527" w14:textId="2910A291"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-0.03%</w:t>
            </w:r>
          </w:p>
        </w:tc>
        <w:tc>
          <w:tcPr>
            <w:tcW w:w="1698" w:type="dxa"/>
            <w:tcBorders>
              <w:top w:val="nil"/>
              <w:left w:val="nil"/>
              <w:bottom w:val="nil"/>
              <w:right w:val="nil"/>
            </w:tcBorders>
            <w:shd w:val="clear" w:color="auto" w:fill="auto"/>
            <w:noWrap/>
            <w:vAlign w:val="center"/>
            <w:hideMark/>
          </w:tcPr>
          <w:p w14:paraId="4CDC91A8" w14:textId="79E1CBAF"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0.62%</w:t>
            </w:r>
          </w:p>
        </w:tc>
        <w:tc>
          <w:tcPr>
            <w:tcW w:w="1698" w:type="dxa"/>
            <w:tcBorders>
              <w:top w:val="nil"/>
              <w:left w:val="nil"/>
              <w:bottom w:val="nil"/>
              <w:right w:val="single" w:sz="4" w:space="0" w:color="auto"/>
            </w:tcBorders>
            <w:shd w:val="clear" w:color="auto" w:fill="auto"/>
            <w:noWrap/>
            <w:vAlign w:val="center"/>
            <w:hideMark/>
          </w:tcPr>
          <w:p w14:paraId="44CCC7BA" w14:textId="26C2682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-0.75%</w:t>
            </w:r>
          </w:p>
        </w:tc>
        <w:tc>
          <w:tcPr>
            <w:tcW w:w="1323" w:type="dxa"/>
            <w:tcBorders>
              <w:top w:val="nil"/>
              <w:left w:val="nil"/>
              <w:bottom w:val="nil"/>
              <w:right w:val="nil"/>
            </w:tcBorders>
            <w:shd w:val="clear" w:color="auto" w:fill="auto"/>
            <w:noWrap/>
            <w:vAlign w:val="center"/>
            <w:hideMark/>
          </w:tcPr>
          <w:p w14:paraId="7F170169" w14:textId="1A4C389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101%</w:t>
            </w:r>
          </w:p>
        </w:tc>
        <w:tc>
          <w:tcPr>
            <w:tcW w:w="1323" w:type="dxa"/>
            <w:tcBorders>
              <w:top w:val="nil"/>
              <w:left w:val="nil"/>
              <w:bottom w:val="nil"/>
              <w:right w:val="single" w:sz="8" w:space="0" w:color="auto"/>
            </w:tcBorders>
            <w:shd w:val="clear" w:color="auto" w:fill="auto"/>
            <w:noWrap/>
            <w:vAlign w:val="center"/>
            <w:hideMark/>
          </w:tcPr>
          <w:p w14:paraId="309E06FE" w14:textId="027E8033"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43043AC6" w14:textId="77777777" w:rsidTr="0099202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7B69148"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tcPr>
          <w:p w14:paraId="11F05472" w14:textId="514AA4E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single" w:sz="8" w:space="0" w:color="auto"/>
              <w:left w:val="nil"/>
              <w:bottom w:val="nil"/>
              <w:right w:val="nil"/>
            </w:tcBorders>
            <w:shd w:val="clear" w:color="auto" w:fill="auto"/>
            <w:noWrap/>
            <w:vAlign w:val="center"/>
          </w:tcPr>
          <w:p w14:paraId="4BE4525C" w14:textId="6502A55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0.04%</w:t>
            </w:r>
          </w:p>
        </w:tc>
        <w:tc>
          <w:tcPr>
            <w:tcW w:w="1698" w:type="dxa"/>
            <w:tcBorders>
              <w:top w:val="single" w:sz="8" w:space="0" w:color="auto"/>
              <w:left w:val="nil"/>
              <w:bottom w:val="nil"/>
              <w:right w:val="single" w:sz="4" w:space="0" w:color="auto"/>
            </w:tcBorders>
            <w:shd w:val="clear" w:color="auto" w:fill="auto"/>
            <w:noWrap/>
            <w:vAlign w:val="center"/>
          </w:tcPr>
          <w:p w14:paraId="11386F10" w14:textId="3EB9522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-0.33%</w:t>
            </w:r>
          </w:p>
        </w:tc>
        <w:tc>
          <w:tcPr>
            <w:tcW w:w="1323" w:type="dxa"/>
            <w:tcBorders>
              <w:top w:val="single" w:sz="8" w:space="0" w:color="auto"/>
              <w:left w:val="nil"/>
              <w:bottom w:val="nil"/>
              <w:right w:val="nil"/>
            </w:tcBorders>
            <w:shd w:val="clear" w:color="auto" w:fill="auto"/>
            <w:noWrap/>
            <w:vAlign w:val="center"/>
          </w:tcPr>
          <w:p w14:paraId="3D0971E9" w14:textId="5AB8882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single" w:sz="8" w:space="0" w:color="auto"/>
              <w:left w:val="nil"/>
              <w:bottom w:val="nil"/>
              <w:right w:val="single" w:sz="8" w:space="0" w:color="auto"/>
            </w:tcBorders>
            <w:shd w:val="clear" w:color="auto" w:fill="auto"/>
            <w:noWrap/>
            <w:vAlign w:val="center"/>
          </w:tcPr>
          <w:p w14:paraId="2E63BADB" w14:textId="261E757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6E170C76" w14:textId="77777777" w:rsidTr="00992020">
        <w:trPr>
          <w:trHeight w:val="255"/>
          <w:jc w:val="center"/>
        </w:trPr>
        <w:tc>
          <w:tcPr>
            <w:tcW w:w="1818" w:type="dxa"/>
            <w:tcBorders>
              <w:top w:val="single" w:sz="8" w:space="0" w:color="auto"/>
              <w:left w:val="single" w:sz="8" w:space="0" w:color="auto"/>
              <w:bottom w:val="nil"/>
              <w:right w:val="nil"/>
            </w:tcBorders>
            <w:shd w:val="clear" w:color="auto" w:fill="auto"/>
            <w:noWrap/>
            <w:hideMark/>
          </w:tcPr>
          <w:p w14:paraId="144FA842"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vAlign w:val="center"/>
            <w:hideMark/>
          </w:tcPr>
          <w:p w14:paraId="4EF695C9" w14:textId="1703F59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-0.06%</w:t>
            </w:r>
          </w:p>
        </w:tc>
        <w:tc>
          <w:tcPr>
            <w:tcW w:w="1698" w:type="dxa"/>
            <w:tcBorders>
              <w:top w:val="single" w:sz="8" w:space="0" w:color="auto"/>
              <w:left w:val="nil"/>
              <w:bottom w:val="nil"/>
              <w:right w:val="nil"/>
            </w:tcBorders>
            <w:shd w:val="clear" w:color="auto" w:fill="auto"/>
            <w:noWrap/>
            <w:vAlign w:val="center"/>
            <w:hideMark/>
          </w:tcPr>
          <w:p w14:paraId="64DD277E" w14:textId="16035F74"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single" w:sz="8" w:space="0" w:color="auto"/>
              <w:left w:val="nil"/>
              <w:bottom w:val="nil"/>
              <w:right w:val="single" w:sz="4" w:space="0" w:color="auto"/>
            </w:tcBorders>
            <w:shd w:val="clear" w:color="auto" w:fill="auto"/>
            <w:noWrap/>
            <w:vAlign w:val="center"/>
            <w:hideMark/>
          </w:tcPr>
          <w:p w14:paraId="1341070F" w14:textId="12D078E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-0.37%</w:t>
            </w:r>
          </w:p>
        </w:tc>
        <w:tc>
          <w:tcPr>
            <w:tcW w:w="1323" w:type="dxa"/>
            <w:tcBorders>
              <w:top w:val="single" w:sz="8" w:space="0" w:color="auto"/>
              <w:left w:val="nil"/>
              <w:bottom w:val="nil"/>
              <w:right w:val="nil"/>
            </w:tcBorders>
            <w:shd w:val="clear" w:color="auto" w:fill="auto"/>
            <w:noWrap/>
            <w:vAlign w:val="center"/>
            <w:hideMark/>
          </w:tcPr>
          <w:p w14:paraId="40B88EB6" w14:textId="1DAE43D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101%</w:t>
            </w:r>
          </w:p>
        </w:tc>
        <w:tc>
          <w:tcPr>
            <w:tcW w:w="1323" w:type="dxa"/>
            <w:tcBorders>
              <w:top w:val="single" w:sz="8" w:space="0" w:color="auto"/>
              <w:left w:val="nil"/>
              <w:bottom w:val="nil"/>
              <w:right w:val="single" w:sz="8" w:space="0" w:color="auto"/>
            </w:tcBorders>
            <w:shd w:val="clear" w:color="auto" w:fill="auto"/>
            <w:noWrap/>
            <w:vAlign w:val="center"/>
            <w:hideMark/>
          </w:tcPr>
          <w:p w14:paraId="0347A1CE" w14:textId="28669E9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101%</w:t>
            </w:r>
          </w:p>
        </w:tc>
      </w:tr>
      <w:tr w:rsidR="001D4A5D" w:rsidRPr="00866395" w14:paraId="6E42F312" w14:textId="77777777" w:rsidTr="00992020">
        <w:trPr>
          <w:trHeight w:val="255"/>
          <w:jc w:val="center"/>
        </w:trPr>
        <w:tc>
          <w:tcPr>
            <w:tcW w:w="1818" w:type="dxa"/>
            <w:tcBorders>
              <w:top w:val="nil"/>
              <w:left w:val="single" w:sz="8" w:space="0" w:color="auto"/>
              <w:bottom w:val="single" w:sz="8" w:space="0" w:color="auto"/>
              <w:right w:val="nil"/>
            </w:tcBorders>
            <w:shd w:val="clear" w:color="auto" w:fill="auto"/>
            <w:noWrap/>
            <w:hideMark/>
          </w:tcPr>
          <w:p w14:paraId="054606A8"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vAlign w:val="center"/>
            <w:hideMark/>
          </w:tcPr>
          <w:p w14:paraId="6A7A01EB" w14:textId="157EFF7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single" w:sz="8" w:space="0" w:color="auto"/>
              <w:right w:val="nil"/>
            </w:tcBorders>
            <w:shd w:val="clear" w:color="auto" w:fill="auto"/>
            <w:noWrap/>
            <w:vAlign w:val="center"/>
            <w:hideMark/>
          </w:tcPr>
          <w:p w14:paraId="65A878A0" w14:textId="47787B2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-0.45%</w:t>
            </w:r>
          </w:p>
        </w:tc>
        <w:tc>
          <w:tcPr>
            <w:tcW w:w="1698" w:type="dxa"/>
            <w:tcBorders>
              <w:top w:val="nil"/>
              <w:left w:val="nil"/>
              <w:bottom w:val="single" w:sz="8" w:space="0" w:color="auto"/>
              <w:right w:val="single" w:sz="4" w:space="0" w:color="auto"/>
            </w:tcBorders>
            <w:shd w:val="clear" w:color="auto" w:fill="auto"/>
            <w:noWrap/>
            <w:vAlign w:val="center"/>
            <w:hideMark/>
          </w:tcPr>
          <w:p w14:paraId="0B286D51" w14:textId="246DC9BF"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0.27%</w:t>
            </w:r>
          </w:p>
        </w:tc>
        <w:tc>
          <w:tcPr>
            <w:tcW w:w="1323" w:type="dxa"/>
            <w:tcBorders>
              <w:top w:val="nil"/>
              <w:left w:val="nil"/>
              <w:bottom w:val="single" w:sz="8" w:space="0" w:color="auto"/>
              <w:right w:val="nil"/>
            </w:tcBorders>
            <w:shd w:val="clear" w:color="auto" w:fill="auto"/>
            <w:noWrap/>
            <w:vAlign w:val="center"/>
            <w:hideMark/>
          </w:tcPr>
          <w:p w14:paraId="28F67214" w14:textId="3DE85D6F"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nil"/>
              <w:left w:val="nil"/>
              <w:bottom w:val="single" w:sz="8" w:space="0" w:color="auto"/>
              <w:right w:val="single" w:sz="8" w:space="0" w:color="auto"/>
            </w:tcBorders>
            <w:shd w:val="clear" w:color="auto" w:fill="auto"/>
            <w:noWrap/>
            <w:vAlign w:val="center"/>
            <w:hideMark/>
          </w:tcPr>
          <w:p w14:paraId="11831ED8" w14:textId="614DE24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bl>
    <w:p w14:paraId="325A29BD" w14:textId="77777777"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175B24AD" w:rsidR="0020537D" w:rsidRDefault="0020537D" w:rsidP="0020537D">
      <w:pPr>
        <w:pStyle w:val="ab"/>
        <w:numPr>
          <w:ilvl w:val="0"/>
          <w:numId w:val="40"/>
        </w:numPr>
        <w:spacing w:line="276" w:lineRule="auto"/>
        <w:rPr>
          <w:lang w:eastAsia="ja-JP"/>
        </w:rPr>
      </w:pPr>
      <w:bookmarkStart w:id="1" w:name="_Ref512330873"/>
      <w:bookmarkStart w:id="2" w:name="_Ref512330395"/>
      <w:r w:rsidRPr="0020537D">
        <w:rPr>
          <w:lang w:eastAsia="ja-JP"/>
        </w:rPr>
        <w:t>B. Bross,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bookmarkEnd w:id="1"/>
    <w:p w14:paraId="463EC693" w14:textId="126250CF" w:rsidR="0020537D" w:rsidRPr="00C6285F" w:rsidRDefault="0020537D" w:rsidP="0020537D">
      <w:pPr>
        <w:pStyle w:val="ab"/>
        <w:numPr>
          <w:ilvl w:val="0"/>
          <w:numId w:val="40"/>
        </w:numPr>
        <w:spacing w:line="276" w:lineRule="auto"/>
        <w:rPr>
          <w:rStyle w:val="a6"/>
          <w:lang w:eastAsia="ja-JP"/>
        </w:rPr>
      </w:pPr>
      <w:r w:rsidRPr="00C13D9C">
        <w:rPr>
          <w:rStyle w:val="a6"/>
          <w:lang w:eastAsia="ja-JP"/>
        </w:rPr>
        <w:t>https://vcgit.hhi.fraunhofer.de/jvet/VV</w:t>
      </w:r>
      <w:r>
        <w:rPr>
          <w:rStyle w:val="a6"/>
          <w:lang w:eastAsia="ja-JP"/>
        </w:rPr>
        <w:t>CSoftware_VTM/tags/VTM-7.0</w:t>
      </w:r>
    </w:p>
    <w:p w14:paraId="7154E2CC" w14:textId="0EBB58E0" w:rsidR="0020537D" w:rsidRDefault="0020537D" w:rsidP="0020537D">
      <w:pPr>
        <w:pStyle w:val="ab"/>
        <w:numPr>
          <w:ilvl w:val="0"/>
          <w:numId w:val="40"/>
        </w:numPr>
        <w:spacing w:line="276" w:lineRule="auto"/>
        <w:rPr>
          <w:lang w:eastAsia="ja-JP"/>
        </w:rPr>
      </w:pPr>
      <w:r w:rsidRPr="00C6285F">
        <w:rPr>
          <w:lang w:eastAsia="ja-JP"/>
        </w:rPr>
        <w:t xml:space="preserve">F. Bossen, J. Boyce, K. Suehring,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2"/>
    </w:p>
    <w:p w14:paraId="444D417F" w14:textId="3C62F8C8" w:rsidR="0020537D" w:rsidRPr="00886ED2" w:rsidRDefault="0020537D" w:rsidP="0020537D">
      <w:pPr>
        <w:pStyle w:val="ab"/>
        <w:numPr>
          <w:ilvl w:val="0"/>
          <w:numId w:val="40"/>
        </w:numPr>
        <w:spacing w:line="276" w:lineRule="auto"/>
        <w:rPr>
          <w:lang w:eastAsia="ja-JP"/>
        </w:rPr>
      </w:pPr>
      <w:r w:rsidRPr="0020537D">
        <w:rPr>
          <w:lang w:eastAsia="ja-JP"/>
        </w:rPr>
        <w:t>X.W. Meng (PKU), X. Zheng (DJI), S.S. Wang, S.W. Ma (PKU)</w:t>
      </w:r>
      <w:r>
        <w:rPr>
          <w:lang w:eastAsia="ja-JP"/>
        </w:rPr>
        <w:t>, “</w:t>
      </w:r>
      <w:r w:rsidRPr="0020537D">
        <w:rPr>
          <w:lang w:eastAsia="ja-JP"/>
        </w:rPr>
        <w:t>AHG18 / non-CE5: Deblocking for TPM and BCW</w:t>
      </w:r>
      <w:r>
        <w:rPr>
          <w:lang w:eastAsia="ja-JP"/>
        </w:rPr>
        <w:t xml:space="preserve">”, </w:t>
      </w:r>
      <w:r w:rsidRPr="00C6285F">
        <w:rPr>
          <w:lang w:eastAsia="ko-KR"/>
        </w:rPr>
        <w:t xml:space="preserve">Joint Video Experts Team (JVET) of ITU-T SG 16 WP 3 and ISO/IEC JTC 1/SC 29/WG 11, </w:t>
      </w:r>
      <w:r>
        <w:rPr>
          <w:lang w:eastAsia="ja-JP"/>
        </w:rPr>
        <w:t>JVET-</w:t>
      </w:r>
      <w:r>
        <w:rPr>
          <w:rFonts w:hint="eastAsia"/>
          <w:lang w:eastAsia="zh-CN"/>
        </w:rPr>
        <w:t>P0269</w:t>
      </w:r>
      <w:r>
        <w:rPr>
          <w:lang w:eastAsia="ja-JP"/>
        </w:rPr>
        <w:t xml:space="preserve">, </w:t>
      </w:r>
      <w:r>
        <w:rPr>
          <w:rFonts w:hint="eastAsia"/>
          <w:lang w:eastAsia="zh-CN"/>
        </w:rPr>
        <w:t>Oct</w:t>
      </w:r>
      <w:r w:rsidRPr="00C6285F">
        <w:rPr>
          <w:lang w:eastAsia="ja-JP"/>
        </w:rPr>
        <w:t>. 2019</w:t>
      </w:r>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7B2C3D2" w14:textId="42BF823B" w:rsidR="00C36C07" w:rsidRPr="00C34E29" w:rsidRDefault="00C36C07" w:rsidP="0020537D">
      <w:pPr>
        <w:rPr>
          <w:color w:val="000000"/>
          <w:szCs w:val="22"/>
        </w:rPr>
      </w:pPr>
      <w:r>
        <w:rPr>
          <w:rFonts w:ascii="Yu Mincho" w:eastAsia="Yu Mincho" w:hAnsi="Yu Mincho" w:hint="eastAsia"/>
          <w:b/>
          <w:color w:val="000000"/>
          <w:szCs w:val="22"/>
          <w:lang w:eastAsia="ja-JP"/>
        </w:rPr>
        <w:t>NHK</w:t>
      </w:r>
      <w:r w:rsidRPr="00C34E29">
        <w:rPr>
          <w:b/>
          <w:color w:val="000000"/>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B1BD5" w14:textId="77777777" w:rsidR="00753B94" w:rsidRDefault="00753B94">
      <w:r>
        <w:separator/>
      </w:r>
    </w:p>
  </w:endnote>
  <w:endnote w:type="continuationSeparator" w:id="0">
    <w:p w14:paraId="1333BE16" w14:textId="77777777" w:rsidR="00753B94" w:rsidRDefault="0075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0000012" w:usb3="00000000" w:csb0="0002009F" w:csb1="00000000"/>
  </w:font>
  <w:font w:name="华文仿宋">
    <w:altName w:val="STFangsong"/>
    <w:panose1 w:val="02010600040101010101"/>
    <w:charset w:val="86"/>
    <w:family w:val="auto"/>
    <w:pitch w:val="variable"/>
    <w:sig w:usb0="00000287" w:usb1="080F0000" w:usb2="00000010" w:usb3="00000000" w:csb0="0004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355C65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5081A">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E6DA4">
      <w:rPr>
        <w:rStyle w:val="a5"/>
        <w:noProof/>
      </w:rPr>
      <w:t>2019-12-24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02C76" w14:textId="77777777" w:rsidR="00753B94" w:rsidRDefault="00753B94">
      <w:r>
        <w:separator/>
      </w:r>
    </w:p>
  </w:footnote>
  <w:footnote w:type="continuationSeparator" w:id="0">
    <w:p w14:paraId="11EC7AB2" w14:textId="77777777" w:rsidR="00753B94" w:rsidRDefault="00753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033C"/>
    <w:rsid w:val="00094479"/>
    <w:rsid w:val="000962AC"/>
    <w:rsid w:val="000A7C81"/>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D4A5D"/>
    <w:rsid w:val="001E0248"/>
    <w:rsid w:val="001E02BE"/>
    <w:rsid w:val="001E3B37"/>
    <w:rsid w:val="001F2594"/>
    <w:rsid w:val="0020537D"/>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C0B"/>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E48B7"/>
    <w:rsid w:val="002F164D"/>
    <w:rsid w:val="003021BC"/>
    <w:rsid w:val="00306206"/>
    <w:rsid w:val="00311037"/>
    <w:rsid w:val="00317D85"/>
    <w:rsid w:val="00327C56"/>
    <w:rsid w:val="003315A1"/>
    <w:rsid w:val="003373EC"/>
    <w:rsid w:val="00342FF4"/>
    <w:rsid w:val="00344E5A"/>
    <w:rsid w:val="00346148"/>
    <w:rsid w:val="003536A9"/>
    <w:rsid w:val="003669EA"/>
    <w:rsid w:val="003706CC"/>
    <w:rsid w:val="00377710"/>
    <w:rsid w:val="003845D4"/>
    <w:rsid w:val="00385A2B"/>
    <w:rsid w:val="00387D31"/>
    <w:rsid w:val="003948D6"/>
    <w:rsid w:val="003A2D8E"/>
    <w:rsid w:val="003A7CE6"/>
    <w:rsid w:val="003C20E4"/>
    <w:rsid w:val="003C3A1F"/>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65A1E"/>
    <w:rsid w:val="00475EE5"/>
    <w:rsid w:val="0049445A"/>
    <w:rsid w:val="004A2A63"/>
    <w:rsid w:val="004A3C98"/>
    <w:rsid w:val="004B210C"/>
    <w:rsid w:val="004D3A7A"/>
    <w:rsid w:val="004D405F"/>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42AA"/>
    <w:rsid w:val="006A4B07"/>
    <w:rsid w:val="006C5A2D"/>
    <w:rsid w:val="006C5D39"/>
    <w:rsid w:val="006D2540"/>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3B94"/>
    <w:rsid w:val="0075585E"/>
    <w:rsid w:val="00770571"/>
    <w:rsid w:val="007768FF"/>
    <w:rsid w:val="007824D3"/>
    <w:rsid w:val="00795072"/>
    <w:rsid w:val="00796EE3"/>
    <w:rsid w:val="007A7D29"/>
    <w:rsid w:val="007B0A45"/>
    <w:rsid w:val="007B0F92"/>
    <w:rsid w:val="007B4AB8"/>
    <w:rsid w:val="007B4DB9"/>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C5F37"/>
    <w:rsid w:val="008D1D81"/>
    <w:rsid w:val="008E480C"/>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6569"/>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2402"/>
    <w:rsid w:val="00BF6EF7"/>
    <w:rsid w:val="00C00DDE"/>
    <w:rsid w:val="00C02D6C"/>
    <w:rsid w:val="00C04F43"/>
    <w:rsid w:val="00C0609D"/>
    <w:rsid w:val="00C115AB"/>
    <w:rsid w:val="00C12574"/>
    <w:rsid w:val="00C144E7"/>
    <w:rsid w:val="00C21A9E"/>
    <w:rsid w:val="00C26CCB"/>
    <w:rsid w:val="00C30249"/>
    <w:rsid w:val="00C36C07"/>
    <w:rsid w:val="00C3723B"/>
    <w:rsid w:val="00C42466"/>
    <w:rsid w:val="00C606C9"/>
    <w:rsid w:val="00C80288"/>
    <w:rsid w:val="00C84003"/>
    <w:rsid w:val="00C90650"/>
    <w:rsid w:val="00C97D78"/>
    <w:rsid w:val="00CC2AAE"/>
    <w:rsid w:val="00CC3871"/>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081A"/>
    <w:rsid w:val="00E52B94"/>
    <w:rsid w:val="00E54511"/>
    <w:rsid w:val="00E60EDC"/>
    <w:rsid w:val="00E61DAC"/>
    <w:rsid w:val="00E72B80"/>
    <w:rsid w:val="00E75FE3"/>
    <w:rsid w:val="00E86C4C"/>
    <w:rsid w:val="00E907A3"/>
    <w:rsid w:val="00E923A5"/>
    <w:rsid w:val="00E95ED9"/>
    <w:rsid w:val="00EA5AE0"/>
    <w:rsid w:val="00EB56E1"/>
    <w:rsid w:val="00EB7AB1"/>
    <w:rsid w:val="00EC02AC"/>
    <w:rsid w:val="00ED0F10"/>
    <w:rsid w:val="00ED6951"/>
    <w:rsid w:val="00EE7CD8"/>
    <w:rsid w:val="00EF37F6"/>
    <w:rsid w:val="00EF48CC"/>
    <w:rsid w:val="00F00801"/>
    <w:rsid w:val="00F01488"/>
    <w:rsid w:val="00F047AF"/>
    <w:rsid w:val="00F2488D"/>
    <w:rsid w:val="00F24F9A"/>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解決のメンション1"/>
    <w:basedOn w:val="a0"/>
    <w:uiPriority w:val="99"/>
    <w:semiHidden/>
    <w:unhideWhenUsed/>
    <w:rsid w:val="00A952A5"/>
    <w:rPr>
      <w:color w:val="605E5C"/>
      <w:shd w:val="clear" w:color="auto" w:fill="E1DFDD"/>
    </w:rPr>
  </w:style>
  <w:style w:type="character" w:customStyle="1" w:styleId="10">
    <w:name w:val="标题 1 字符"/>
    <w:basedOn w:val="a0"/>
    <w:link w:val="1"/>
    <w:uiPriority w:val="99"/>
    <w:rsid w:val="0020537D"/>
    <w:rPr>
      <w:rFonts w:cs="Arial"/>
      <w:b/>
      <w:bCs/>
      <w:kern w:val="32"/>
      <w:sz w:val="32"/>
      <w:szCs w:val="32"/>
    </w:rPr>
  </w:style>
  <w:style w:type="character" w:customStyle="1" w:styleId="ac">
    <w:name w:val="列出段落 字符"/>
    <w:link w:val="ab"/>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4</Pages>
  <Words>1367</Words>
  <Characters>7792</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Meng Xuewei</cp:lastModifiedBy>
  <cp:revision>48</cp:revision>
  <cp:lastPrinted>1900-01-01T08:00:00Z</cp:lastPrinted>
  <dcterms:created xsi:type="dcterms:W3CDTF">2019-09-24T19:41:00Z</dcterms:created>
  <dcterms:modified xsi:type="dcterms:W3CDTF">2019-12-24T14:09:00Z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