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EA1B277" w:rsidR="00E61DAC" w:rsidRPr="005B217D" w:rsidRDefault="00DB610B" w:rsidP="006B78DD">
            <w:pPr>
              <w:tabs>
                <w:tab w:val="left" w:pos="7200"/>
              </w:tabs>
              <w:spacing w:before="0"/>
              <w:rPr>
                <w:b/>
                <w:szCs w:val="22"/>
                <w:lang w:val="en-CA"/>
              </w:rPr>
            </w:pPr>
            <w:r>
              <w:t>17th Meeting: Brussels, BE, 7–17 January 2020</w:t>
            </w:r>
          </w:p>
        </w:tc>
        <w:tc>
          <w:tcPr>
            <w:tcW w:w="3168" w:type="dxa"/>
          </w:tcPr>
          <w:p w14:paraId="59B7E346" w14:textId="6148126B" w:rsidR="008A4B4C" w:rsidRPr="005B217D" w:rsidRDefault="00E61DAC" w:rsidP="00E012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F27EF">
              <w:rPr>
                <w:lang w:val="en-CA"/>
              </w:rPr>
              <w:t>Q</w:t>
            </w:r>
            <w:r w:rsidR="006B78DD">
              <w:rPr>
                <w:lang w:val="en-CA"/>
              </w:rPr>
              <w:t>0016</w:t>
            </w:r>
            <w:r w:rsidR="00D53948" w:rsidRPr="00D53948">
              <w:rPr>
                <w:lang w:val="en-CA"/>
              </w:rPr>
              <w:t>-v</w:t>
            </w:r>
            <w:r w:rsidR="001E1D4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B5F4A31" w:rsidR="00800B17" w:rsidRPr="005B217D" w:rsidRDefault="00800B17" w:rsidP="00362A73">
            <w:pPr>
              <w:spacing w:before="0"/>
              <w:rPr>
                <w:szCs w:val="22"/>
                <w:lang w:val="en-CA"/>
              </w:rPr>
            </w:pPr>
            <w:r>
              <w:rPr>
                <w:lang w:eastAsia="zh-TW"/>
              </w:rPr>
              <w:t>M. Zhou,</w:t>
            </w:r>
            <w:r w:rsidR="000A1BC3">
              <w:rPr>
                <w:lang w:eastAsia="zh-TW"/>
              </w:rPr>
              <w:t xml:space="preserve">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D325C0"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D325C0"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D325C0"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D325C0"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D325C0"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2C2ABFD" w14:textId="15235796" w:rsidR="00800B17" w:rsidRPr="007C2DDC" w:rsidRDefault="00396244" w:rsidP="007C2DDC">
            <w:pPr>
              <w:spacing w:before="0"/>
              <w:rPr>
                <w:sz w:val="20"/>
                <w:szCs w:val="22"/>
                <w:lang w:val="en-CA"/>
              </w:rPr>
            </w:pPr>
            <w:r w:rsidRPr="00396244">
              <w:rPr>
                <w:rStyle w:val="Hyperlink"/>
                <w:szCs w:val="22"/>
                <w:lang w:val="en-CA"/>
              </w:rPr>
              <w:t>xiaoyuxiu@kwai.com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087312B7"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BF27EF">
        <w:t>I</w:t>
      </w:r>
      <w:r w:rsidR="006B78DD">
        <w:t>mplementation studies</w:t>
      </w:r>
      <w:r w:rsidR="00146ADF">
        <w:t>,</w:t>
      </w:r>
      <w:r w:rsidRPr="009170B1">
        <w:rPr>
          <w:lang w:val="en-GB"/>
        </w:rPr>
        <w:t xml:space="preserve"> </w:t>
      </w:r>
      <w:r w:rsidR="00146ADF">
        <w:rPr>
          <w:lang w:val="en-GB"/>
        </w:rPr>
        <w:t xml:space="preserve">between </w:t>
      </w:r>
      <w:r w:rsidR="00653551">
        <w:rPr>
          <w:lang w:val="en-CA"/>
        </w:rPr>
        <w:t>the 1</w:t>
      </w:r>
      <w:r w:rsidR="00DF1753">
        <w:rPr>
          <w:lang w:val="en-CA"/>
        </w:rPr>
        <w:t>6</w:t>
      </w:r>
      <w:r w:rsidR="00653551" w:rsidRPr="002212A6">
        <w:rPr>
          <w:vertAlign w:val="superscript"/>
          <w:lang w:val="en-CA"/>
        </w:rPr>
        <w:t>th</w:t>
      </w:r>
      <w:r w:rsidR="00653551">
        <w:rPr>
          <w:lang w:val="en-CA"/>
        </w:rPr>
        <w:t xml:space="preserve"> JVET meeting in Geneva, CH (1–11</w:t>
      </w:r>
      <w:r w:rsidR="00653551" w:rsidRPr="0048323B">
        <w:rPr>
          <w:lang w:val="en-CA"/>
        </w:rPr>
        <w:t xml:space="preserve"> </w:t>
      </w:r>
      <w:r w:rsidR="00653551">
        <w:rPr>
          <w:lang w:val="en-CA"/>
        </w:rPr>
        <w:t>October</w:t>
      </w:r>
      <w:r w:rsidR="00653551" w:rsidRPr="0048323B">
        <w:rPr>
          <w:lang w:val="en-CA"/>
        </w:rPr>
        <w:t xml:space="preserve"> 2019</w:t>
      </w:r>
      <w:r w:rsidR="00653551">
        <w:rPr>
          <w:lang w:val="en-CA"/>
        </w:rPr>
        <w:t>)</w:t>
      </w:r>
      <w:r w:rsidR="00BF27EF">
        <w:rPr>
          <w:lang w:val="en-CA"/>
        </w:rPr>
        <w:t xml:space="preserve"> and the 17</w:t>
      </w:r>
      <w:r w:rsidR="00BF27EF" w:rsidRPr="002212A6">
        <w:rPr>
          <w:vertAlign w:val="superscript"/>
          <w:lang w:val="en-CA"/>
        </w:rPr>
        <w:t>th</w:t>
      </w:r>
      <w:r w:rsidR="00BF27EF">
        <w:rPr>
          <w:lang w:val="en-CA"/>
        </w:rPr>
        <w:t xml:space="preserve"> JVET meeting in </w:t>
      </w:r>
      <w:r w:rsidR="00BF27EF">
        <w:t>Brussels</w:t>
      </w:r>
      <w:r w:rsidR="00BF27EF">
        <w:rPr>
          <w:lang w:val="en-CA"/>
        </w:rPr>
        <w:t xml:space="preserve">, </w:t>
      </w:r>
      <w:r w:rsidR="00BF27EF">
        <w:t>BE</w:t>
      </w:r>
      <w:r w:rsidR="00BF27EF">
        <w:rPr>
          <w:lang w:val="en-CA"/>
        </w:rPr>
        <w:t xml:space="preserve"> (7–17</w:t>
      </w:r>
      <w:r w:rsidR="00BF27EF" w:rsidRPr="0048323B">
        <w:rPr>
          <w:lang w:val="en-CA"/>
        </w:rPr>
        <w:t xml:space="preserve"> </w:t>
      </w:r>
      <w:r w:rsidR="00BF27EF">
        <w:rPr>
          <w:lang w:val="en-CA"/>
        </w:rPr>
        <w:t xml:space="preserve">January </w:t>
      </w:r>
      <w:r w:rsidR="00BF27EF" w:rsidRPr="0048323B">
        <w:rPr>
          <w:lang w:val="en-CA"/>
        </w:rPr>
        <w:t>20</w:t>
      </w:r>
      <w:r w:rsidR="00BF27EF">
        <w:rPr>
          <w:lang w:val="en-CA"/>
        </w:rPr>
        <w:t>20)</w:t>
      </w:r>
      <w:r w:rsidR="00C61751">
        <w:rPr>
          <w:lang w:val="en-CA"/>
        </w:rPr>
        <w:t>.</w:t>
      </w:r>
    </w:p>
    <w:p w14:paraId="1539A21D" w14:textId="1AECFF30" w:rsidR="001F2594" w:rsidRDefault="000314A6" w:rsidP="009234A5">
      <w:pPr>
        <w:rPr>
          <w:lang w:val="en-CA"/>
        </w:rPr>
      </w:pPr>
      <w:r>
        <w:rPr>
          <w:lang w:val="en-CA"/>
        </w:rPr>
        <w:t xml:space="preserve">The AHG was established with the following </w:t>
      </w:r>
      <w:r w:rsidR="00BF27EF">
        <w:rPr>
          <w:lang w:val="en-CA"/>
        </w:rPr>
        <w:t xml:space="preserve">three </w:t>
      </w:r>
      <w:r>
        <w:rPr>
          <w:lang w:val="en-CA"/>
        </w:rPr>
        <w:t>mandates:</w:t>
      </w:r>
    </w:p>
    <w:p w14:paraId="4E1869A4" w14:textId="77777777" w:rsidR="00DF678A" w:rsidRPr="00F23A45" w:rsidRDefault="00DF678A" w:rsidP="004A219B">
      <w:pPr>
        <w:numPr>
          <w:ilvl w:val="0"/>
          <w:numId w:val="8"/>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4A219B">
      <w:pPr>
        <w:numPr>
          <w:ilvl w:val="0"/>
          <w:numId w:val="8"/>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0731F5F6" w14:textId="4299C02A" w:rsidR="0006098B" w:rsidRDefault="00DF678A" w:rsidP="004A219B">
      <w:pPr>
        <w:numPr>
          <w:ilvl w:val="0"/>
          <w:numId w:val="8"/>
        </w:numPr>
      </w:pPr>
      <w:r w:rsidRPr="00F23A45">
        <w:t>Provide feedback on potential solutio</w:t>
      </w:r>
      <w:r>
        <w:t>ns to address identified issues</w:t>
      </w:r>
      <w:r w:rsidR="0006098B">
        <w:rPr>
          <w:color w:val="000000"/>
        </w:rPr>
        <w:t>.</w:t>
      </w:r>
    </w:p>
    <w:p w14:paraId="4FEC1B84" w14:textId="0A16A60F" w:rsidR="002212A6" w:rsidRPr="002212A6" w:rsidRDefault="00693CE0" w:rsidP="00942E2E">
      <w:pPr>
        <w:pStyle w:val="Heading1"/>
        <w:rPr>
          <w:lang w:val="en-CA"/>
        </w:rPr>
      </w:pPr>
      <w:r>
        <w:rPr>
          <w:lang w:val="en-CA"/>
        </w:rPr>
        <w:t>Activities</w:t>
      </w:r>
    </w:p>
    <w:p w14:paraId="7AD11CD9" w14:textId="31C38CD4" w:rsidR="00A723CB" w:rsidRDefault="00BF27EF" w:rsidP="00A723CB">
      <w:pPr>
        <w:rPr>
          <w:lang w:val="en-CA"/>
        </w:rPr>
      </w:pPr>
      <w:r>
        <w:rPr>
          <w:lang w:val="en-CA"/>
        </w:rPr>
        <w:t>Email</w:t>
      </w:r>
      <w:r w:rsidR="00B23549">
        <w:rPr>
          <w:lang w:val="en-CA"/>
        </w:rPr>
        <w:t xml:space="preserve"> </w:t>
      </w:r>
      <w:r w:rsidR="00C5668B">
        <w:rPr>
          <w:lang w:val="en-CA"/>
        </w:rPr>
        <w:t xml:space="preserve">discussions </w:t>
      </w:r>
      <w:r w:rsidR="00B75254">
        <w:rPr>
          <w:lang w:val="en-CA"/>
        </w:rPr>
        <w:t>were held</w:t>
      </w:r>
      <w:r w:rsidR="00C5668B">
        <w:rPr>
          <w:lang w:val="en-CA"/>
        </w:rPr>
        <w:t xml:space="preserve"> </w:t>
      </w:r>
      <w:r w:rsidR="00A723CB">
        <w:rPr>
          <w:lang w:val="en-CA"/>
        </w:rPr>
        <w:t>on the main JVET email reflector (</w:t>
      </w:r>
      <w:hyperlink r:id="rId16" w:history="1">
        <w:r w:rsidR="00A723CB" w:rsidRPr="00E54746">
          <w:rPr>
            <w:rStyle w:val="Hyperlink"/>
            <w:lang w:val="en-CA"/>
          </w:rPr>
          <w:t>jvet@lists.rwth-aachen.de</w:t>
        </w:r>
      </w:hyperlink>
      <w:r w:rsidR="00A723CB">
        <w:rPr>
          <w:lang w:val="en-CA"/>
        </w:rPr>
        <w:t xml:space="preserve">) with an [AHG16] indication on message headers. A summary of the AHG activities is provided as follows: </w:t>
      </w:r>
    </w:p>
    <w:p w14:paraId="6DE2E1DE" w14:textId="55EAF548" w:rsidR="003D5CFF" w:rsidRPr="003D5CFF" w:rsidRDefault="0062198F" w:rsidP="003D5CFF">
      <w:pPr>
        <w:pStyle w:val="Heading2"/>
        <w:rPr>
          <w:bCs w:val="0"/>
          <w:i w:val="0"/>
          <w:iCs w:val="0"/>
        </w:rPr>
      </w:pPr>
      <w:r>
        <w:rPr>
          <w:rStyle w:val="Emphasis"/>
          <w:lang w:val="en-CA"/>
        </w:rPr>
        <w:t xml:space="preserve">Topics </w:t>
      </w:r>
      <w:r w:rsidR="005718EA">
        <w:rPr>
          <w:rStyle w:val="Emphasis"/>
          <w:lang w:val="en-CA"/>
        </w:rPr>
        <w:t xml:space="preserve">discussed on the email </w:t>
      </w:r>
      <w:r w:rsidR="00BF1F8F">
        <w:rPr>
          <w:rStyle w:val="Emphasis"/>
          <w:lang w:val="en-CA"/>
        </w:rPr>
        <w:t>reflector</w:t>
      </w:r>
    </w:p>
    <w:p w14:paraId="5229664D" w14:textId="7CBC4C3F" w:rsidR="000E7FA0" w:rsidRPr="00126C52" w:rsidRDefault="00537F17" w:rsidP="004A219B">
      <w:pPr>
        <w:pStyle w:val="ListParagraph"/>
        <w:numPr>
          <w:ilvl w:val="0"/>
          <w:numId w:val="4"/>
        </w:numPr>
      </w:pPr>
      <w:r>
        <w:t xml:space="preserve">Entry point offset </w:t>
      </w:r>
      <w:proofErr w:type="spellStart"/>
      <w:r>
        <w:t>signalling</w:t>
      </w:r>
      <w:proofErr w:type="spellEnd"/>
      <w:r>
        <w:t xml:space="preserve"> </w:t>
      </w:r>
    </w:p>
    <w:p w14:paraId="351C2BD1" w14:textId="6F91F5DB" w:rsidR="00E17C4A" w:rsidRPr="00126C52" w:rsidRDefault="00537F17" w:rsidP="004A219B">
      <w:pPr>
        <w:pStyle w:val="ListParagraph"/>
        <w:numPr>
          <w:ilvl w:val="0"/>
          <w:numId w:val="5"/>
        </w:numPr>
        <w:ind w:left="1080"/>
      </w:pPr>
      <w:r>
        <w:t xml:space="preserve">In the current design the </w:t>
      </w:r>
      <w:proofErr w:type="spellStart"/>
      <w:r>
        <w:t>signalling</w:t>
      </w:r>
      <w:proofErr w:type="spellEnd"/>
      <w:r>
        <w:t xml:space="preserve"> of entry point offsets is optional for tiles</w:t>
      </w:r>
      <w:r w:rsidR="0015409D">
        <w:t>.</w:t>
      </w:r>
    </w:p>
    <w:p w14:paraId="3CA41CA0" w14:textId="344EAB45" w:rsidR="00E17C4A" w:rsidRDefault="00537F17" w:rsidP="004A219B">
      <w:pPr>
        <w:pStyle w:val="ListParagraph"/>
        <w:numPr>
          <w:ilvl w:val="0"/>
          <w:numId w:val="5"/>
        </w:numPr>
        <w:ind w:left="1080"/>
      </w:pPr>
      <w:r>
        <w:t>It was commented that without entry point offsets decoder implementation of raster scan order processing is im</w:t>
      </w:r>
      <w:r w:rsidR="0015409D">
        <w:t>possible for single slice/multi-</w:t>
      </w:r>
      <w:r>
        <w:t xml:space="preserve">tile streams. </w:t>
      </w:r>
    </w:p>
    <w:p w14:paraId="071B4217" w14:textId="604FDE78" w:rsidR="00537F17" w:rsidRDefault="00537F17" w:rsidP="004A219B">
      <w:pPr>
        <w:pStyle w:val="ListParagraph"/>
        <w:numPr>
          <w:ilvl w:val="0"/>
          <w:numId w:val="5"/>
        </w:numPr>
        <w:ind w:left="1080"/>
      </w:pPr>
      <w:r>
        <w:t>It was suggested that if the signaling of entry point offset in ES is optional the system level spec definition of entry point offsets be made mandatory.</w:t>
      </w:r>
    </w:p>
    <w:p w14:paraId="49002B1C" w14:textId="1464AF2E" w:rsidR="0015409D" w:rsidRDefault="0015409D" w:rsidP="004A219B">
      <w:pPr>
        <w:pStyle w:val="ListParagraph"/>
        <w:numPr>
          <w:ilvl w:val="0"/>
          <w:numId w:val="5"/>
        </w:numPr>
        <w:ind w:left="1080"/>
      </w:pPr>
      <w:r>
        <w:t>It was commented without mandating tiles parallel decoding is not guaranteed even if the entry point offsets are made mandatory, unless the parsing and pixel processing are fully decoupled (in which case</w:t>
      </w:r>
      <w:r w:rsidR="00287CE6">
        <w:t>, however,</w:t>
      </w:r>
      <w:r>
        <w:t xml:space="preserve"> decoder implementation of raster scan order processing is possible without entry point offsets).</w:t>
      </w:r>
    </w:p>
    <w:p w14:paraId="312F703A" w14:textId="3C03D580" w:rsidR="00537F17" w:rsidRPr="00126C52" w:rsidRDefault="0015409D" w:rsidP="004A219B">
      <w:pPr>
        <w:pStyle w:val="ListParagraph"/>
        <w:numPr>
          <w:ilvl w:val="0"/>
          <w:numId w:val="5"/>
        </w:numPr>
        <w:ind w:left="1080"/>
      </w:pPr>
      <w:r>
        <w:t xml:space="preserve">It was further commented that even if entry point offsets are made mandatory the parallel parsing/decoding may still be not be guaranteed because of bit-rate unbalancing among tiles.   </w:t>
      </w:r>
    </w:p>
    <w:p w14:paraId="3B044B19" w14:textId="1BD1B290" w:rsidR="00DF1753" w:rsidRDefault="00DF1753" w:rsidP="002956B6">
      <w:pPr>
        <w:pStyle w:val="Heading2"/>
        <w:rPr>
          <w:i w:val="0"/>
          <w:szCs w:val="22"/>
        </w:rPr>
      </w:pPr>
      <w:r>
        <w:rPr>
          <w:i w:val="0"/>
          <w:szCs w:val="22"/>
        </w:rPr>
        <w:t>Feedback provided on tools being tested in CEs</w:t>
      </w:r>
    </w:p>
    <w:p w14:paraId="0372A0F0" w14:textId="0B22B5FD" w:rsidR="00035741" w:rsidRDefault="00287CE6" w:rsidP="004A219B">
      <w:pPr>
        <w:pStyle w:val="ListParagraph"/>
        <w:numPr>
          <w:ilvl w:val="0"/>
          <w:numId w:val="2"/>
        </w:numPr>
      </w:pPr>
      <w:r>
        <w:t xml:space="preserve">CE4 </w:t>
      </w:r>
      <w:r w:rsidR="00035741">
        <w:t>GEO (Geometric partitions)</w:t>
      </w:r>
    </w:p>
    <w:p w14:paraId="5238808A" w14:textId="77777777" w:rsidR="007E2AAF" w:rsidRDefault="007E2AAF" w:rsidP="004A219B">
      <w:pPr>
        <w:numPr>
          <w:ilvl w:val="1"/>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lastRenderedPageBreak/>
        <w:t>The JVET-P0884/ JVET-P0885 (a combination of JVET-P0107/JVET-P0264/JVET-P0304) version of GEO removes the original GEO elements of partial transform and deriving the motion mask from the blending mask, which addresses the majority of implementation concerns.</w:t>
      </w:r>
    </w:p>
    <w:p w14:paraId="5CA801C0" w14:textId="52EB0306" w:rsidR="007E2AAF" w:rsidRDefault="007E2AAF" w:rsidP="004A219B">
      <w:pPr>
        <w:numPr>
          <w:ilvl w:val="1"/>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 newly proposed slope-based GEO (JVET-P0107/JVET-P0264) removes the multiplications from the blending mask/motion mask derivation and provides a second option of on-the-fly derivation. This simplifies the design and provides more implementation flexibility. There is no big difference between those two options in terms of implementation complexity. Compared to other designs such as the one tested in CE4-1.14, this kind of simplification does not seem to be critical if it hurts coding efficiency (visual quality).</w:t>
      </w:r>
    </w:p>
    <w:p w14:paraId="345817DD" w14:textId="267E2E07" w:rsidR="007E2AAF" w:rsidRDefault="007E2AAF" w:rsidP="004A219B">
      <w:pPr>
        <w:numPr>
          <w:ilvl w:val="1"/>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The newly proposed idea of deriving the blending/motion mask of different sizes by </w:t>
      </w:r>
      <w:r>
        <w:rPr>
          <w:lang w:val="en-CA"/>
        </w:rPr>
        <w:t>cropping directly from the pre-stored masks of the largest sizes would be the simplest because only (</w:t>
      </w:r>
      <w:proofErr w:type="spellStart"/>
      <w:r>
        <w:rPr>
          <w:lang w:val="en-CA"/>
        </w:rPr>
        <w:t>offsetX</w:t>
      </w:r>
      <w:proofErr w:type="spellEnd"/>
      <w:r>
        <w:rPr>
          <w:lang w:val="en-CA"/>
        </w:rPr>
        <w:t xml:space="preserve">, </w:t>
      </w:r>
      <w:proofErr w:type="spellStart"/>
      <w:r>
        <w:rPr>
          <w:lang w:val="en-CA"/>
        </w:rPr>
        <w:t>offsetY</w:t>
      </w:r>
      <w:proofErr w:type="spellEnd"/>
      <w:r>
        <w:rPr>
          <w:lang w:val="en-CA"/>
        </w:rPr>
        <w:t xml:space="preserve">) needs to be computed at CU level. However, </w:t>
      </w:r>
      <w:r w:rsidR="00DC4CB6">
        <w:rPr>
          <w:lang w:val="en-CA"/>
        </w:rPr>
        <w:t>t</w:t>
      </w:r>
      <w:r>
        <w:rPr>
          <w:lang w:val="en-CA"/>
        </w:rPr>
        <w:t>his is not practical for implementation as it is too costly due to the large table size (still needs about ~300 KB for 80 modes according to JVET-P0304). Not sure whether giving up on this would help improve coding efficiency and/or simplify the design.</w:t>
      </w:r>
    </w:p>
    <w:p w14:paraId="32984F74" w14:textId="1CDFE40F" w:rsidR="007E2AAF" w:rsidRDefault="007E2AAF" w:rsidP="004A219B">
      <w:pPr>
        <w:numPr>
          <w:ilvl w:val="1"/>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val="en-CA"/>
        </w:rPr>
        <w:t>It is desirable to reduce the number of GEO partitions and supported PU sizes. In particular, PU sizes of 64x128/128x64/128x128 should be disabled.  JVET-P0663 and JVET-P0107 have some good ideas that are worth trying out. Unlike the angular intra prediction in which a subset of the modes supported by a less capable encoder still provides decent gain (the angular intra prediction has increased from 9 modes in AVC to 33 modes in HEVC, and to 65 modes in VVC), the GEO design of JVET-P0884/JVET-P0885 does not seem to be quality scalable on the encoder side. Using the JVET-P0884 code and supporting the first 16 modes out of 82 modes on the encoder side led to 0.19% loss in RA as opposed to -0.22% RA gain if all the 82 modes would be supported.</w:t>
      </w:r>
      <w:r>
        <w:t xml:space="preserve"> It would be more </w:t>
      </w:r>
      <w:r>
        <w:rPr>
          <w:lang w:val="en-CA"/>
        </w:rPr>
        <w:t>practical to support a reasonable amount of partitions and PU sizes. Otherwise, the GEO becomes just an off-line coding tool, but imposes unnecessary burden on the testing and verification of decoder designs. As a comparison, the wedge mode has 16 partitions and supports 9 PU sizes in an existing standard.</w:t>
      </w:r>
    </w:p>
    <w:p w14:paraId="182CEAA3" w14:textId="77777777" w:rsidR="007E2AAF" w:rsidRDefault="007E2AAF" w:rsidP="004A219B">
      <w:pPr>
        <w:numPr>
          <w:ilvl w:val="1"/>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lang w:val="en-CA"/>
        </w:rPr>
        <w:t>The last round of subjective testing is disappointing in many senses. Nevertheless, it might be worth testing it again to make sure that the proposed technology at least does not hurt visual quality.</w:t>
      </w:r>
    </w:p>
    <w:p w14:paraId="44C66E1B" w14:textId="41A1BB31" w:rsidR="00E3134F" w:rsidRDefault="00287CE6" w:rsidP="004A219B">
      <w:pPr>
        <w:pStyle w:val="ListParagraph"/>
        <w:numPr>
          <w:ilvl w:val="0"/>
          <w:numId w:val="2"/>
        </w:numPr>
      </w:pPr>
      <w:r>
        <w:t xml:space="preserve">CE5 </w:t>
      </w:r>
      <w:r w:rsidR="00E3134F">
        <w:t>Cross-</w:t>
      </w:r>
      <w:r w:rsidR="007311C9">
        <w:t>C</w:t>
      </w:r>
      <w:r w:rsidR="00E3134F">
        <w:t>omponent ALF (CCALF)</w:t>
      </w:r>
    </w:p>
    <w:p w14:paraId="0537AABD" w14:textId="305374F8" w:rsidR="00E3134F" w:rsidRDefault="00B24B1B" w:rsidP="004A219B">
      <w:pPr>
        <w:pStyle w:val="ListParagraph"/>
        <w:numPr>
          <w:ilvl w:val="1"/>
          <w:numId w:val="2"/>
        </w:numPr>
      </w:pPr>
      <w:r>
        <w:t xml:space="preserve">Recommended adding the combination tests of the CE anchor with </w:t>
      </w:r>
      <w:r w:rsidR="009051AC">
        <w:t xml:space="preserve">the joint </w:t>
      </w:r>
      <w:proofErr w:type="spellStart"/>
      <w:r w:rsidR="009051AC">
        <w:t>Cb</w:t>
      </w:r>
      <w:proofErr w:type="spellEnd"/>
      <w:r w:rsidR="009051AC">
        <w:t>/Cr CC-ALF and the multiplication removal,</w:t>
      </w:r>
      <w:r>
        <w:t xml:space="preserve"> to see whether further reduction of buffering and multiplication costs is possible without compromising coding efficiency.</w:t>
      </w:r>
    </w:p>
    <w:p w14:paraId="5863BC5B" w14:textId="77777777" w:rsidR="00287CE6" w:rsidRDefault="00287CE6" w:rsidP="0096624A">
      <w:pPr>
        <w:pStyle w:val="ListParagraph"/>
        <w:tabs>
          <w:tab w:val="clear" w:pos="360"/>
        </w:tabs>
      </w:pPr>
    </w:p>
    <w:p w14:paraId="4178F535" w14:textId="680EA4DE" w:rsidR="00287CE6" w:rsidRDefault="00287CE6" w:rsidP="004A219B">
      <w:pPr>
        <w:pStyle w:val="ListParagraph"/>
        <w:numPr>
          <w:ilvl w:val="0"/>
          <w:numId w:val="2"/>
        </w:numPr>
      </w:pPr>
      <w:r>
        <w:t>CE3 Lossless mode</w:t>
      </w:r>
    </w:p>
    <w:p w14:paraId="3BBBF5CD" w14:textId="63AEDC88" w:rsidR="007311C9" w:rsidRPr="0096624A" w:rsidRDefault="007311C9" w:rsidP="004A219B">
      <w:pPr>
        <w:pStyle w:val="ListParagraph"/>
        <w:numPr>
          <w:ilvl w:val="1"/>
          <w:numId w:val="2"/>
        </w:numPr>
        <w:rPr>
          <w:color w:val="000000" w:themeColor="text1"/>
        </w:rPr>
      </w:pPr>
      <w:r w:rsidRPr="0096624A">
        <w:rPr>
          <w:color w:val="000000" w:themeColor="text1"/>
          <w:szCs w:val="22"/>
        </w:rPr>
        <w:t xml:space="preserve">In terms of </w:t>
      </w:r>
      <w:proofErr w:type="spellStart"/>
      <w:r w:rsidRPr="0096624A">
        <w:rPr>
          <w:color w:val="000000" w:themeColor="text1"/>
          <w:szCs w:val="22"/>
        </w:rPr>
        <w:t>signalling</w:t>
      </w:r>
      <w:proofErr w:type="spellEnd"/>
      <w:r w:rsidRPr="0096624A">
        <w:rPr>
          <w:color w:val="000000" w:themeColor="text1"/>
          <w:szCs w:val="22"/>
        </w:rPr>
        <w:t xml:space="preserve">, lots of tests seem to assume that a picture or a </w:t>
      </w:r>
      <w:bookmarkStart w:id="0" w:name="_GoBack"/>
      <w:bookmarkEnd w:id="0"/>
      <w:r w:rsidRPr="0096624A">
        <w:rPr>
          <w:color w:val="000000" w:themeColor="text1"/>
          <w:szCs w:val="22"/>
        </w:rPr>
        <w:t xml:space="preserve">slice is either entirely coded in </w:t>
      </w:r>
      <w:proofErr w:type="spellStart"/>
      <w:r w:rsidRPr="0096624A">
        <w:rPr>
          <w:color w:val="000000" w:themeColor="text1"/>
          <w:szCs w:val="22"/>
        </w:rPr>
        <w:t>lossy</w:t>
      </w:r>
      <w:proofErr w:type="spellEnd"/>
      <w:r w:rsidRPr="0096624A">
        <w:rPr>
          <w:color w:val="000000" w:themeColor="text1"/>
          <w:szCs w:val="22"/>
        </w:rPr>
        <w:t xml:space="preserve"> or in lossless mode, but the real use case might be that only portion of a picture/slice is coded in lossless mode. </w:t>
      </w:r>
    </w:p>
    <w:p w14:paraId="5C93D3E6" w14:textId="219E357F" w:rsidR="007311C9" w:rsidRPr="0096624A" w:rsidRDefault="007311C9" w:rsidP="004A219B">
      <w:pPr>
        <w:pStyle w:val="ListParagraph"/>
        <w:numPr>
          <w:ilvl w:val="2"/>
          <w:numId w:val="2"/>
        </w:numPr>
        <w:rPr>
          <w:color w:val="000000" w:themeColor="text1"/>
        </w:rPr>
      </w:pPr>
      <w:r>
        <w:rPr>
          <w:color w:val="000000" w:themeColor="text1"/>
          <w:szCs w:val="22"/>
        </w:rPr>
        <w:t>Examples include: TSRC/RRC switch in CE3-1.3, CE3-2.3/2.4, CE3-2.5</w:t>
      </w:r>
      <w:r w:rsidR="00503605">
        <w:rPr>
          <w:color w:val="000000" w:themeColor="text1"/>
          <w:szCs w:val="22"/>
        </w:rPr>
        <w:t>.3</w:t>
      </w:r>
      <w:r>
        <w:rPr>
          <w:color w:val="000000" w:themeColor="text1"/>
          <w:szCs w:val="22"/>
        </w:rPr>
        <w:t>, residual rotation in CE3-1.4 and lossless IBC blocks using RRC in CE3-2.6/2.7.</w:t>
      </w:r>
    </w:p>
    <w:p w14:paraId="0C4A7349" w14:textId="77777777" w:rsidR="007311C9" w:rsidRPr="0096624A" w:rsidRDefault="007311C9" w:rsidP="004A219B">
      <w:pPr>
        <w:pStyle w:val="ListParagraph"/>
        <w:numPr>
          <w:ilvl w:val="2"/>
          <w:numId w:val="2"/>
        </w:numPr>
        <w:rPr>
          <w:color w:val="000000" w:themeColor="text1"/>
        </w:rPr>
      </w:pPr>
      <w:proofErr w:type="spellStart"/>
      <w:r>
        <w:rPr>
          <w:color w:val="000000" w:themeColor="text1"/>
          <w:szCs w:val="22"/>
        </w:rPr>
        <w:t>Signalling</w:t>
      </w:r>
      <w:proofErr w:type="spellEnd"/>
      <w:r>
        <w:rPr>
          <w:color w:val="000000" w:themeColor="text1"/>
          <w:szCs w:val="22"/>
        </w:rPr>
        <w:t xml:space="preserve"> using high-level flags to control those switches may not be sufficient in mixed </w:t>
      </w:r>
      <w:proofErr w:type="spellStart"/>
      <w:r>
        <w:rPr>
          <w:color w:val="000000" w:themeColor="text1"/>
          <w:szCs w:val="22"/>
        </w:rPr>
        <w:t>lossy</w:t>
      </w:r>
      <w:proofErr w:type="spellEnd"/>
      <w:r>
        <w:rPr>
          <w:color w:val="000000" w:themeColor="text1"/>
          <w:szCs w:val="22"/>
        </w:rPr>
        <w:t>/lossless coding environment.</w:t>
      </w:r>
    </w:p>
    <w:p w14:paraId="4186083A" w14:textId="5CD15C5D" w:rsidR="007311C9" w:rsidRPr="0096624A" w:rsidRDefault="007311C9" w:rsidP="004A219B">
      <w:pPr>
        <w:pStyle w:val="ListParagraph"/>
        <w:numPr>
          <w:ilvl w:val="1"/>
          <w:numId w:val="2"/>
        </w:numPr>
        <w:rPr>
          <w:color w:val="000000" w:themeColor="text1"/>
        </w:rPr>
      </w:pPr>
      <w:r>
        <w:rPr>
          <w:color w:val="000000" w:themeColor="text1"/>
          <w:szCs w:val="22"/>
        </w:rPr>
        <w:t xml:space="preserve">Also, the high-level </w:t>
      </w:r>
      <w:proofErr w:type="spellStart"/>
      <w:r>
        <w:rPr>
          <w:color w:val="000000" w:themeColor="text1"/>
          <w:szCs w:val="22"/>
        </w:rPr>
        <w:t>signalling</w:t>
      </w:r>
      <w:proofErr w:type="spellEnd"/>
      <w:r>
        <w:rPr>
          <w:color w:val="000000" w:themeColor="text1"/>
          <w:szCs w:val="22"/>
        </w:rPr>
        <w:t xml:space="preserve"> used in CE3-2.5.1/CE3-2.5.2 (TU/CU level TSRC/RRC switch) may not be that relevant.  </w:t>
      </w:r>
    </w:p>
    <w:p w14:paraId="0BA45E22" w14:textId="77777777" w:rsidR="007311C9" w:rsidRDefault="007311C9" w:rsidP="0096624A">
      <w:pPr>
        <w:pStyle w:val="ListParagraph"/>
        <w:tabs>
          <w:tab w:val="clear" w:pos="360"/>
        </w:tabs>
      </w:pPr>
    </w:p>
    <w:p w14:paraId="412848AD" w14:textId="77777777" w:rsidR="00287CE6" w:rsidRDefault="00287CE6" w:rsidP="0096624A">
      <w:pPr>
        <w:pStyle w:val="ListParagraph"/>
        <w:tabs>
          <w:tab w:val="clear" w:pos="360"/>
        </w:tabs>
        <w:ind w:left="1080"/>
      </w:pPr>
    </w:p>
    <w:p w14:paraId="5D6A6522" w14:textId="57DAB8F5" w:rsidR="006234F2" w:rsidRPr="002956B6" w:rsidRDefault="005718EA" w:rsidP="002956B6">
      <w:pPr>
        <w:pStyle w:val="Heading2"/>
        <w:rPr>
          <w:i w:val="0"/>
          <w:szCs w:val="22"/>
        </w:rPr>
      </w:pPr>
      <w:r w:rsidRPr="002956B6">
        <w:rPr>
          <w:i w:val="0"/>
          <w:szCs w:val="22"/>
        </w:rPr>
        <w:t xml:space="preserve">Additional comments posted on the email </w:t>
      </w:r>
      <w:r w:rsidR="00BF1F8F" w:rsidRPr="002956B6">
        <w:rPr>
          <w:i w:val="0"/>
          <w:szCs w:val="22"/>
        </w:rPr>
        <w:t>reflector</w:t>
      </w:r>
    </w:p>
    <w:p w14:paraId="6F232AA5" w14:textId="77777777" w:rsidR="007E2AAF" w:rsidRDefault="007E2AAF" w:rsidP="004A219B">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With the adoption of JVET-P1001, the actual </w:t>
      </w:r>
      <w:proofErr w:type="spellStart"/>
      <w:r>
        <w:t>chroma</w:t>
      </w:r>
      <w:proofErr w:type="spellEnd"/>
      <w:r>
        <w:t xml:space="preserve"> QPs (instead of QPs derived from </w:t>
      </w:r>
      <w:proofErr w:type="spellStart"/>
      <w:r>
        <w:t>luma</w:t>
      </w:r>
      <w:proofErr w:type="spellEnd"/>
      <w:r>
        <w:t xml:space="preserve"> QPs) are now used for </w:t>
      </w:r>
      <w:proofErr w:type="spellStart"/>
      <w:r>
        <w:t>chroma</w:t>
      </w:r>
      <w:proofErr w:type="spellEnd"/>
      <w:r>
        <w:t xml:space="preserve"> de-blocking, including those for not-coded TUs. However, in the </w:t>
      </w:r>
      <w:r>
        <w:lastRenderedPageBreak/>
        <w:t xml:space="preserve">current design the </w:t>
      </w:r>
      <w:proofErr w:type="spellStart"/>
      <w:r>
        <w:t>chroma</w:t>
      </w:r>
      <w:proofErr w:type="spellEnd"/>
      <w:r>
        <w:t xml:space="preserve"> QP derivation for not-coded TUs is not defined. The spec is broken in this regard and needs to be fixed.</w:t>
      </w:r>
    </w:p>
    <w:p w14:paraId="3327DF73" w14:textId="02B593A8" w:rsidR="007E2AAF" w:rsidRDefault="007E2AAF" w:rsidP="004A219B">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In the current spec text </w:t>
      </w:r>
      <w:r>
        <w:rPr>
          <w:b/>
          <w:bCs/>
        </w:rPr>
        <w:t>alf_chroma_num_alt_filters_minus1</w:t>
      </w:r>
      <w:r>
        <w:t xml:space="preserve"> is </w:t>
      </w:r>
      <w:proofErr w:type="spellStart"/>
      <w:r>
        <w:t>signalled</w:t>
      </w:r>
      <w:proofErr w:type="spellEnd"/>
      <w:r>
        <w:t xml:space="preserve"> using </w:t>
      </w:r>
      <w:proofErr w:type="spellStart"/>
      <w:proofErr w:type="gramStart"/>
      <w:r>
        <w:t>ue</w:t>
      </w:r>
      <w:proofErr w:type="spellEnd"/>
      <w:r>
        <w:t>(</w:t>
      </w:r>
      <w:proofErr w:type="gramEnd"/>
      <w:r>
        <w:t xml:space="preserve">v) but no maximum value for this element is defined, which leads to unbounded ALF APS size.  In the adopted test of JVET-O0090 variant CE5-4.2 and in VTM7.0 the maximum number of alternative </w:t>
      </w:r>
      <w:proofErr w:type="spellStart"/>
      <w:r>
        <w:t>chroma</w:t>
      </w:r>
      <w:proofErr w:type="spellEnd"/>
      <w:r>
        <w:t xml:space="preserve"> ALF filter sets is set to 8. (</w:t>
      </w:r>
      <w:r w:rsidR="000A0AF5">
        <w:t xml:space="preserve">Note: </w:t>
      </w:r>
      <w:r>
        <w:t xml:space="preserve">the spec </w:t>
      </w:r>
      <w:r w:rsidR="000A0AF5">
        <w:t>text is since fixed)</w:t>
      </w:r>
    </w:p>
    <w:p w14:paraId="1BB3FAA6" w14:textId="4423FF6A" w:rsidR="007E2AAF" w:rsidRDefault="007E2AAF" w:rsidP="004A219B">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The adoption of JVET-P1026 has opened up the possibility of signaling non-zero MTS coefficients outside the top-left 16x16 TU region. The current design of checking </w:t>
      </w:r>
      <w:proofErr w:type="spellStart"/>
      <w:r>
        <w:t>last_sig_coeff_pos</w:t>
      </w:r>
      <w:proofErr w:type="spellEnd"/>
      <w:r>
        <w:t xml:space="preserve"> &lt;= (15, 15) does not guarantee at syntax level that all coefficients outside 16x16 are zero. The temporary fix is to impose a </w:t>
      </w:r>
      <w:proofErr w:type="spellStart"/>
      <w:r>
        <w:t>bitstream</w:t>
      </w:r>
      <w:proofErr w:type="spellEnd"/>
      <w:r>
        <w:t xml:space="preserve"> restriction, but a much more preferred solution is to prevent it at syntax level. </w:t>
      </w:r>
    </w:p>
    <w:p w14:paraId="71218260" w14:textId="64CC76BE" w:rsidR="00774EC7" w:rsidRDefault="007B4FA0" w:rsidP="004A219B">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At the last meeting the </w:t>
      </w:r>
      <w:proofErr w:type="spellStart"/>
      <w:r>
        <w:t>chroma</w:t>
      </w:r>
      <w:proofErr w:type="spellEnd"/>
      <w:r>
        <w:t xml:space="preserve"> transform skip was adopted to support lossless mode, but the combination of LFNST and </w:t>
      </w:r>
      <w:proofErr w:type="spellStart"/>
      <w:r>
        <w:t>chroma</w:t>
      </w:r>
      <w:proofErr w:type="spellEnd"/>
      <w:r>
        <w:t xml:space="preserve"> TS was not disabled in the syntax table. Due to the adoption of JVET-P0365 which can disable scaling lists for LFNST, a decoder does not know what kind of inverse quantization and inverse transform to apply before the </w:t>
      </w:r>
      <w:proofErr w:type="spellStart"/>
      <w:r>
        <w:t>lfnst_idx</w:t>
      </w:r>
      <w:proofErr w:type="spellEnd"/>
      <w:r>
        <w:t xml:space="preserve"> is decoded, which is signaled at the end of CU after </w:t>
      </w:r>
      <w:proofErr w:type="spellStart"/>
      <w:r>
        <w:t>luma</w:t>
      </w:r>
      <w:proofErr w:type="spellEnd"/>
      <w:r>
        <w:t>/</w:t>
      </w:r>
      <w:proofErr w:type="spellStart"/>
      <w:r>
        <w:t>chroma</w:t>
      </w:r>
      <w:proofErr w:type="spellEnd"/>
      <w:r>
        <w:t xml:space="preserve"> transform coefficients. Allowing the combination of </w:t>
      </w:r>
      <w:proofErr w:type="spellStart"/>
      <w:r>
        <w:t>chroma</w:t>
      </w:r>
      <w:proofErr w:type="spellEnd"/>
      <w:r>
        <w:t xml:space="preserve"> TS and LFNST </w:t>
      </w:r>
      <w:r w:rsidR="001D7C19">
        <w:t xml:space="preserve">doubles </w:t>
      </w:r>
      <w:r>
        <w:t>transform coefficient buffering and processing latency.</w:t>
      </w:r>
    </w:p>
    <w:p w14:paraId="7D092464" w14:textId="188A014B" w:rsidR="00470E7D" w:rsidRDefault="007E2AAF" w:rsidP="00171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Del="007E2AAF">
        <w:t xml:space="preserve"> </w:t>
      </w:r>
    </w:p>
    <w:p w14:paraId="0EB0292C" w14:textId="2EC3A672" w:rsidR="00A723CB" w:rsidRPr="00057932" w:rsidRDefault="00A723CB" w:rsidP="00A723CB">
      <w:pPr>
        <w:pStyle w:val="Heading2"/>
      </w:pPr>
      <w:r>
        <w:rPr>
          <w:rStyle w:val="Emphasis"/>
          <w:bCs w:val="0"/>
        </w:rPr>
        <w:t xml:space="preserve">Memory bandwidth study </w:t>
      </w:r>
      <w:r w:rsidR="007C5998">
        <w:rPr>
          <w:rStyle w:val="Emphasis"/>
          <w:bCs w:val="0"/>
        </w:rPr>
        <w:t xml:space="preserve">for </w:t>
      </w:r>
      <w:r w:rsidR="003E365F">
        <w:rPr>
          <w:rStyle w:val="Emphasis"/>
          <w:bCs w:val="0"/>
        </w:rPr>
        <w:t>VTM7</w:t>
      </w:r>
      <w:r w:rsidR="00263608">
        <w:rPr>
          <w:rStyle w:val="Emphasis"/>
          <w:bCs w:val="0"/>
        </w:rPr>
        <w:t>.0</w:t>
      </w:r>
      <w:r>
        <w:rPr>
          <w:rStyle w:val="Emphasis"/>
          <w:bCs w:val="0"/>
        </w:rPr>
        <w:t xml:space="preserve">  </w:t>
      </w:r>
    </w:p>
    <w:p w14:paraId="172830EA" w14:textId="64817B6E" w:rsidR="00A723CB" w:rsidRDefault="00A723CB" w:rsidP="00A723CB">
      <w:r>
        <w:t>Broadcom conducted a memory bandwidt</w:t>
      </w:r>
      <w:r w:rsidR="00020907">
        <w:t xml:space="preserve">h study by running both the </w:t>
      </w:r>
      <w:r w:rsidR="00392A98">
        <w:t>VTM7</w:t>
      </w:r>
      <w:r w:rsidR="00020907">
        <w:t xml:space="preserve">.0 and </w:t>
      </w:r>
      <w:r w:rsidR="00CE5ED4">
        <w:t>VTM</w:t>
      </w:r>
      <w:r w:rsidR="00392A98">
        <w:t>6</w:t>
      </w:r>
      <w:r w:rsidR="00020907">
        <w:t>.</w:t>
      </w:r>
      <w:r w:rsidR="00AD131C">
        <w:t>0</w:t>
      </w:r>
      <w:r>
        <w:t xml:space="preserve"> </w:t>
      </w:r>
      <w:r w:rsidR="006908DA">
        <w:t xml:space="preserve">for CTC </w:t>
      </w:r>
      <w:r>
        <w:t>with a commercial motion compensation cache model integrated</w:t>
      </w:r>
      <w:r w:rsidR="00F16944">
        <w:t>. The summary result</w:t>
      </w:r>
      <w:r w:rsidR="00B4195B">
        <w:t>s</w:t>
      </w:r>
      <w:r>
        <w:t xml:space="preserve"> of the random access configuration</w:t>
      </w:r>
      <w:r w:rsidR="00F16944">
        <w:t xml:space="preserve"> </w:t>
      </w:r>
      <w:r w:rsidR="00B4195B">
        <w:t xml:space="preserve">are </w:t>
      </w:r>
      <w:r>
        <w:t>provided in the Table 1 (for informational purposes).</w:t>
      </w:r>
    </w:p>
    <w:p w14:paraId="12FC14CE" w14:textId="2ABC3965" w:rsidR="004405C7" w:rsidRDefault="004405C7" w:rsidP="00A723CB">
      <w:r>
        <w:t xml:space="preserve">For class F, the </w:t>
      </w:r>
      <w:r w:rsidR="00020907">
        <w:t>peak memory bandwidth consumption</w:t>
      </w:r>
      <w:r w:rsidR="00092AE9">
        <w:t xml:space="preserve"> (see </w:t>
      </w:r>
      <w:proofErr w:type="spellStart"/>
      <w:r w:rsidR="00092AE9">
        <w:t>MBW_diff</w:t>
      </w:r>
      <w:proofErr w:type="spellEnd"/>
      <w:r w:rsidR="00092AE9">
        <w:t xml:space="preserve"> column) </w:t>
      </w:r>
      <w:r w:rsidR="00E667C3">
        <w:t xml:space="preserve">has roughly </w:t>
      </w:r>
      <w:r w:rsidR="00C036A1">
        <w:t>2% increases</w:t>
      </w:r>
      <w:r>
        <w:t xml:space="preserve"> for non-obvious reasons</w:t>
      </w:r>
      <w:r w:rsidR="00020907">
        <w:t>.</w:t>
      </w:r>
      <w:r w:rsidR="00A76563" w:rsidRPr="00A76563">
        <w:t xml:space="preserve"> </w:t>
      </w:r>
    </w:p>
    <w:p w14:paraId="6CCCA2EC" w14:textId="77777777" w:rsidR="004405C7" w:rsidRDefault="004405C7" w:rsidP="00A723CB"/>
    <w:tbl>
      <w:tblPr>
        <w:tblW w:w="9960" w:type="dxa"/>
        <w:tblInd w:w="93" w:type="dxa"/>
        <w:tblLook w:val="04A0" w:firstRow="1" w:lastRow="0" w:firstColumn="1" w:lastColumn="0" w:noHBand="0" w:noVBand="1"/>
      </w:tblPr>
      <w:tblGrid>
        <w:gridCol w:w="1640"/>
        <w:gridCol w:w="886"/>
        <w:gridCol w:w="985"/>
        <w:gridCol w:w="985"/>
        <w:gridCol w:w="1247"/>
        <w:gridCol w:w="1280"/>
        <w:gridCol w:w="1329"/>
        <w:gridCol w:w="804"/>
        <w:gridCol w:w="804"/>
      </w:tblGrid>
      <w:tr w:rsidR="004405C7" w:rsidRPr="004405C7" w14:paraId="45D076DD" w14:textId="77777777" w:rsidTr="004405C7">
        <w:trPr>
          <w:trHeight w:val="255"/>
        </w:trPr>
        <w:tc>
          <w:tcPr>
            <w:tcW w:w="1640" w:type="dxa"/>
            <w:tcBorders>
              <w:top w:val="nil"/>
              <w:left w:val="nil"/>
              <w:bottom w:val="nil"/>
              <w:right w:val="nil"/>
            </w:tcBorders>
            <w:shd w:val="clear" w:color="auto" w:fill="auto"/>
            <w:noWrap/>
            <w:vAlign w:val="center"/>
            <w:hideMark/>
          </w:tcPr>
          <w:p w14:paraId="7D86FB6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863FB"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405C7">
              <w:rPr>
                <w:rFonts w:ascii="Arial" w:hAnsi="Arial" w:cs="Arial"/>
                <w:b/>
                <w:bCs/>
                <w:color w:val="000000"/>
                <w:sz w:val="18"/>
                <w:szCs w:val="18"/>
                <w:lang w:eastAsia="zh-CN"/>
              </w:rPr>
              <w:t>Random Access Main 10</w:t>
            </w:r>
          </w:p>
        </w:tc>
      </w:tr>
      <w:tr w:rsidR="004405C7" w:rsidRPr="004405C7" w14:paraId="055309A6" w14:textId="77777777" w:rsidTr="004405C7">
        <w:trPr>
          <w:trHeight w:val="255"/>
        </w:trPr>
        <w:tc>
          <w:tcPr>
            <w:tcW w:w="1640" w:type="dxa"/>
            <w:tcBorders>
              <w:top w:val="nil"/>
              <w:left w:val="nil"/>
              <w:bottom w:val="nil"/>
              <w:right w:val="nil"/>
            </w:tcBorders>
            <w:shd w:val="clear" w:color="auto" w:fill="auto"/>
            <w:noWrap/>
            <w:vAlign w:val="center"/>
            <w:hideMark/>
          </w:tcPr>
          <w:p w14:paraId="696CDE9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0"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10A42CB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405C7">
              <w:rPr>
                <w:rFonts w:ascii="Arial" w:hAnsi="Arial" w:cs="Arial"/>
                <w:b/>
                <w:bCs/>
                <w:color w:val="000000"/>
                <w:sz w:val="18"/>
                <w:szCs w:val="18"/>
                <w:lang w:eastAsia="zh-CN"/>
              </w:rPr>
              <w:t>Over VTM-6.0</w:t>
            </w:r>
          </w:p>
        </w:tc>
      </w:tr>
      <w:tr w:rsidR="004405C7" w:rsidRPr="004405C7" w14:paraId="78B6BC1E" w14:textId="77777777" w:rsidTr="004405C7">
        <w:trPr>
          <w:trHeight w:val="255"/>
        </w:trPr>
        <w:tc>
          <w:tcPr>
            <w:tcW w:w="1640" w:type="dxa"/>
            <w:tcBorders>
              <w:top w:val="nil"/>
              <w:left w:val="nil"/>
              <w:bottom w:val="nil"/>
              <w:right w:val="nil"/>
            </w:tcBorders>
            <w:shd w:val="clear" w:color="auto" w:fill="auto"/>
            <w:noWrap/>
            <w:vAlign w:val="center"/>
            <w:hideMark/>
          </w:tcPr>
          <w:p w14:paraId="5DA5D123"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550F8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Y</w:t>
            </w:r>
          </w:p>
        </w:tc>
        <w:tc>
          <w:tcPr>
            <w:tcW w:w="985" w:type="dxa"/>
            <w:tcBorders>
              <w:top w:val="single" w:sz="8" w:space="0" w:color="auto"/>
              <w:left w:val="nil"/>
              <w:bottom w:val="single" w:sz="4" w:space="0" w:color="auto"/>
              <w:right w:val="single" w:sz="4" w:space="0" w:color="auto"/>
            </w:tcBorders>
            <w:shd w:val="clear" w:color="auto" w:fill="auto"/>
            <w:noWrap/>
            <w:vAlign w:val="center"/>
            <w:hideMark/>
          </w:tcPr>
          <w:p w14:paraId="0341391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U</w:t>
            </w:r>
          </w:p>
        </w:tc>
        <w:tc>
          <w:tcPr>
            <w:tcW w:w="985" w:type="dxa"/>
            <w:tcBorders>
              <w:top w:val="single" w:sz="8" w:space="0" w:color="auto"/>
              <w:left w:val="nil"/>
              <w:bottom w:val="single" w:sz="4" w:space="0" w:color="auto"/>
              <w:right w:val="single" w:sz="4" w:space="0" w:color="auto"/>
            </w:tcBorders>
            <w:shd w:val="clear" w:color="auto" w:fill="auto"/>
            <w:noWrap/>
            <w:vAlign w:val="center"/>
            <w:hideMark/>
          </w:tcPr>
          <w:p w14:paraId="7836C2D2"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V</w:t>
            </w:r>
          </w:p>
        </w:tc>
        <w:tc>
          <w:tcPr>
            <w:tcW w:w="1247" w:type="dxa"/>
            <w:tcBorders>
              <w:top w:val="single" w:sz="8" w:space="0" w:color="auto"/>
              <w:left w:val="nil"/>
              <w:bottom w:val="single" w:sz="4" w:space="0" w:color="auto"/>
              <w:right w:val="single" w:sz="4" w:space="0" w:color="auto"/>
            </w:tcBorders>
            <w:shd w:val="clear" w:color="auto" w:fill="auto"/>
            <w:noWrap/>
            <w:vAlign w:val="bottom"/>
            <w:hideMark/>
          </w:tcPr>
          <w:p w14:paraId="67DCF25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405C7">
              <w:rPr>
                <w:rFonts w:ascii="Arial" w:hAnsi="Arial" w:cs="Arial"/>
                <w:color w:val="000000"/>
                <w:sz w:val="18"/>
                <w:szCs w:val="18"/>
                <w:lang w:eastAsia="zh-CN"/>
              </w:rPr>
              <w:t>TCM_diff</w:t>
            </w:r>
            <w:proofErr w:type="spellEnd"/>
          </w:p>
        </w:tc>
        <w:tc>
          <w:tcPr>
            <w:tcW w:w="1280" w:type="dxa"/>
            <w:tcBorders>
              <w:top w:val="single" w:sz="8" w:space="0" w:color="auto"/>
              <w:left w:val="nil"/>
              <w:bottom w:val="single" w:sz="4" w:space="0" w:color="auto"/>
              <w:right w:val="single" w:sz="4" w:space="0" w:color="auto"/>
            </w:tcBorders>
            <w:shd w:val="clear" w:color="auto" w:fill="auto"/>
            <w:noWrap/>
            <w:vAlign w:val="bottom"/>
            <w:hideMark/>
          </w:tcPr>
          <w:p w14:paraId="2249F4B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405C7">
              <w:rPr>
                <w:rFonts w:ascii="Arial" w:hAnsi="Arial" w:cs="Arial"/>
                <w:color w:val="000000"/>
                <w:sz w:val="18"/>
                <w:szCs w:val="18"/>
                <w:lang w:eastAsia="zh-CN"/>
              </w:rPr>
              <w:t>ABW_diff</w:t>
            </w:r>
            <w:proofErr w:type="spellEnd"/>
          </w:p>
        </w:tc>
        <w:tc>
          <w:tcPr>
            <w:tcW w:w="1329" w:type="dxa"/>
            <w:tcBorders>
              <w:top w:val="single" w:sz="8" w:space="0" w:color="auto"/>
              <w:left w:val="nil"/>
              <w:bottom w:val="single" w:sz="4" w:space="0" w:color="auto"/>
              <w:right w:val="single" w:sz="4" w:space="0" w:color="auto"/>
            </w:tcBorders>
            <w:shd w:val="clear" w:color="auto" w:fill="auto"/>
            <w:noWrap/>
            <w:vAlign w:val="bottom"/>
            <w:hideMark/>
          </w:tcPr>
          <w:p w14:paraId="0A3D9C53"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405C7">
              <w:rPr>
                <w:rFonts w:ascii="Arial" w:hAnsi="Arial" w:cs="Arial"/>
                <w:color w:val="000000"/>
                <w:sz w:val="18"/>
                <w:szCs w:val="18"/>
                <w:lang w:eastAsia="zh-CN"/>
              </w:rPr>
              <w:t>MBW_diff</w:t>
            </w:r>
            <w:proofErr w:type="spellEnd"/>
          </w:p>
        </w:tc>
        <w:tc>
          <w:tcPr>
            <w:tcW w:w="804" w:type="dxa"/>
            <w:tcBorders>
              <w:top w:val="single" w:sz="8" w:space="0" w:color="auto"/>
              <w:left w:val="nil"/>
              <w:bottom w:val="single" w:sz="4" w:space="0" w:color="auto"/>
              <w:right w:val="single" w:sz="4" w:space="0" w:color="auto"/>
            </w:tcBorders>
            <w:shd w:val="clear" w:color="auto" w:fill="auto"/>
            <w:noWrap/>
            <w:vAlign w:val="center"/>
            <w:hideMark/>
          </w:tcPr>
          <w:p w14:paraId="78A2C41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405C7">
              <w:rPr>
                <w:rFonts w:ascii="Arial" w:hAnsi="Arial" w:cs="Arial"/>
                <w:color w:val="000000"/>
                <w:sz w:val="18"/>
                <w:szCs w:val="18"/>
                <w:lang w:eastAsia="zh-CN"/>
              </w:rPr>
              <w:t>EncT</w:t>
            </w:r>
            <w:proofErr w:type="spellEnd"/>
          </w:p>
        </w:tc>
        <w:tc>
          <w:tcPr>
            <w:tcW w:w="804" w:type="dxa"/>
            <w:tcBorders>
              <w:top w:val="single" w:sz="8" w:space="0" w:color="auto"/>
              <w:left w:val="nil"/>
              <w:bottom w:val="single" w:sz="4" w:space="0" w:color="auto"/>
              <w:right w:val="single" w:sz="8" w:space="0" w:color="auto"/>
            </w:tcBorders>
            <w:shd w:val="clear" w:color="auto" w:fill="auto"/>
            <w:noWrap/>
            <w:vAlign w:val="center"/>
            <w:hideMark/>
          </w:tcPr>
          <w:p w14:paraId="1749791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405C7">
              <w:rPr>
                <w:rFonts w:ascii="Arial" w:hAnsi="Arial" w:cs="Arial"/>
                <w:color w:val="000000"/>
                <w:sz w:val="18"/>
                <w:szCs w:val="18"/>
                <w:lang w:eastAsia="zh-CN"/>
              </w:rPr>
              <w:t>DecT</w:t>
            </w:r>
            <w:proofErr w:type="spellEnd"/>
          </w:p>
        </w:tc>
      </w:tr>
      <w:tr w:rsidR="004405C7" w:rsidRPr="004405C7" w14:paraId="557253A3" w14:textId="77777777" w:rsidTr="004405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BD28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A1</w:t>
            </w:r>
          </w:p>
        </w:tc>
        <w:tc>
          <w:tcPr>
            <w:tcW w:w="886" w:type="dxa"/>
            <w:tcBorders>
              <w:top w:val="nil"/>
              <w:left w:val="nil"/>
              <w:bottom w:val="single" w:sz="4" w:space="0" w:color="auto"/>
              <w:right w:val="single" w:sz="4" w:space="0" w:color="auto"/>
            </w:tcBorders>
            <w:shd w:val="clear" w:color="auto" w:fill="auto"/>
            <w:noWrap/>
            <w:vAlign w:val="center"/>
            <w:hideMark/>
          </w:tcPr>
          <w:p w14:paraId="7EA8094F"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0.00%</w:t>
            </w:r>
          </w:p>
        </w:tc>
        <w:tc>
          <w:tcPr>
            <w:tcW w:w="98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F7A2978"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405C7">
              <w:rPr>
                <w:rFonts w:ascii="Arial" w:hAnsi="Arial" w:cs="Arial"/>
                <w:sz w:val="18"/>
                <w:szCs w:val="18"/>
                <w:lang w:eastAsia="zh-CN"/>
              </w:rPr>
              <w:t>-3.16%</w:t>
            </w:r>
          </w:p>
        </w:tc>
        <w:tc>
          <w:tcPr>
            <w:tcW w:w="985" w:type="dxa"/>
            <w:tcBorders>
              <w:top w:val="nil"/>
              <w:left w:val="nil"/>
              <w:bottom w:val="single" w:sz="4" w:space="0" w:color="auto"/>
              <w:right w:val="single" w:sz="4" w:space="0" w:color="auto"/>
            </w:tcBorders>
            <w:shd w:val="clear" w:color="auto" w:fill="auto"/>
            <w:noWrap/>
            <w:vAlign w:val="center"/>
            <w:hideMark/>
          </w:tcPr>
          <w:p w14:paraId="5C95872E"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-2.57%</w:t>
            </w:r>
          </w:p>
        </w:tc>
        <w:tc>
          <w:tcPr>
            <w:tcW w:w="1247" w:type="dxa"/>
            <w:tcBorders>
              <w:top w:val="nil"/>
              <w:left w:val="nil"/>
              <w:bottom w:val="single" w:sz="4" w:space="0" w:color="auto"/>
              <w:right w:val="single" w:sz="4" w:space="0" w:color="auto"/>
            </w:tcBorders>
            <w:shd w:val="clear" w:color="auto" w:fill="auto"/>
            <w:noWrap/>
            <w:vAlign w:val="center"/>
            <w:hideMark/>
          </w:tcPr>
          <w:p w14:paraId="6F6FDE7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-0.17%</w:t>
            </w:r>
          </w:p>
        </w:tc>
        <w:tc>
          <w:tcPr>
            <w:tcW w:w="1280" w:type="dxa"/>
            <w:tcBorders>
              <w:top w:val="nil"/>
              <w:left w:val="nil"/>
              <w:bottom w:val="single" w:sz="4" w:space="0" w:color="auto"/>
              <w:right w:val="single" w:sz="4" w:space="0" w:color="auto"/>
            </w:tcBorders>
            <w:shd w:val="clear" w:color="auto" w:fill="auto"/>
            <w:noWrap/>
            <w:vAlign w:val="center"/>
            <w:hideMark/>
          </w:tcPr>
          <w:p w14:paraId="31B5F3D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-0.14%</w:t>
            </w:r>
          </w:p>
        </w:tc>
        <w:tc>
          <w:tcPr>
            <w:tcW w:w="1329" w:type="dxa"/>
            <w:tcBorders>
              <w:top w:val="nil"/>
              <w:left w:val="nil"/>
              <w:bottom w:val="single" w:sz="4" w:space="0" w:color="auto"/>
              <w:right w:val="single" w:sz="4" w:space="0" w:color="auto"/>
            </w:tcBorders>
            <w:shd w:val="clear" w:color="auto" w:fill="auto"/>
            <w:noWrap/>
            <w:vAlign w:val="center"/>
            <w:hideMark/>
          </w:tcPr>
          <w:p w14:paraId="2C574D2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-0.64%</w:t>
            </w:r>
          </w:p>
        </w:tc>
        <w:tc>
          <w:tcPr>
            <w:tcW w:w="804" w:type="dxa"/>
            <w:tcBorders>
              <w:top w:val="nil"/>
              <w:left w:val="nil"/>
              <w:bottom w:val="single" w:sz="4" w:space="0" w:color="auto"/>
              <w:right w:val="single" w:sz="4" w:space="0" w:color="auto"/>
            </w:tcBorders>
            <w:shd w:val="clear" w:color="auto" w:fill="auto"/>
            <w:noWrap/>
            <w:vAlign w:val="center"/>
            <w:hideMark/>
          </w:tcPr>
          <w:p w14:paraId="2C379BC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97%</w:t>
            </w:r>
          </w:p>
        </w:tc>
        <w:tc>
          <w:tcPr>
            <w:tcW w:w="804" w:type="dxa"/>
            <w:tcBorders>
              <w:top w:val="nil"/>
              <w:left w:val="nil"/>
              <w:bottom w:val="single" w:sz="4" w:space="0" w:color="auto"/>
              <w:right w:val="single" w:sz="8" w:space="0" w:color="auto"/>
            </w:tcBorders>
            <w:shd w:val="clear" w:color="auto" w:fill="auto"/>
            <w:noWrap/>
            <w:vAlign w:val="center"/>
            <w:hideMark/>
          </w:tcPr>
          <w:p w14:paraId="6C60B7A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96%</w:t>
            </w:r>
          </w:p>
        </w:tc>
      </w:tr>
      <w:tr w:rsidR="004405C7" w:rsidRPr="004405C7" w14:paraId="127EBE07" w14:textId="77777777" w:rsidTr="004405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F897B"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A2</w:t>
            </w:r>
          </w:p>
        </w:tc>
        <w:tc>
          <w:tcPr>
            <w:tcW w:w="886" w:type="dxa"/>
            <w:tcBorders>
              <w:top w:val="nil"/>
              <w:left w:val="nil"/>
              <w:bottom w:val="single" w:sz="4" w:space="0" w:color="auto"/>
              <w:right w:val="single" w:sz="4" w:space="0" w:color="auto"/>
            </w:tcBorders>
            <w:shd w:val="clear" w:color="auto" w:fill="auto"/>
            <w:noWrap/>
            <w:vAlign w:val="center"/>
            <w:hideMark/>
          </w:tcPr>
          <w:p w14:paraId="6F49F16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0.26%</w:t>
            </w:r>
          </w:p>
        </w:tc>
        <w:tc>
          <w:tcPr>
            <w:tcW w:w="985" w:type="dxa"/>
            <w:tcBorders>
              <w:top w:val="nil"/>
              <w:left w:val="nil"/>
              <w:bottom w:val="single" w:sz="4" w:space="0" w:color="auto"/>
              <w:right w:val="single" w:sz="4" w:space="0" w:color="auto"/>
            </w:tcBorders>
            <w:shd w:val="clear" w:color="auto" w:fill="auto"/>
            <w:noWrap/>
            <w:vAlign w:val="center"/>
            <w:hideMark/>
          </w:tcPr>
          <w:p w14:paraId="02BFAFD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-1.39%</w:t>
            </w:r>
          </w:p>
        </w:tc>
        <w:tc>
          <w:tcPr>
            <w:tcW w:w="985" w:type="dxa"/>
            <w:tcBorders>
              <w:top w:val="nil"/>
              <w:left w:val="nil"/>
              <w:bottom w:val="single" w:sz="4" w:space="0" w:color="auto"/>
              <w:right w:val="single" w:sz="4" w:space="0" w:color="auto"/>
            </w:tcBorders>
            <w:shd w:val="clear" w:color="auto" w:fill="auto"/>
            <w:noWrap/>
            <w:vAlign w:val="center"/>
            <w:hideMark/>
          </w:tcPr>
          <w:p w14:paraId="0EC9FC2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-1.61%</w:t>
            </w:r>
          </w:p>
        </w:tc>
        <w:tc>
          <w:tcPr>
            <w:tcW w:w="1247" w:type="dxa"/>
            <w:tcBorders>
              <w:top w:val="nil"/>
              <w:left w:val="nil"/>
              <w:bottom w:val="single" w:sz="4" w:space="0" w:color="auto"/>
              <w:right w:val="single" w:sz="4" w:space="0" w:color="auto"/>
            </w:tcBorders>
            <w:shd w:val="clear" w:color="auto" w:fill="auto"/>
            <w:noWrap/>
            <w:vAlign w:val="center"/>
            <w:hideMark/>
          </w:tcPr>
          <w:p w14:paraId="75DB930D"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0.22%</w:t>
            </w:r>
          </w:p>
        </w:tc>
        <w:tc>
          <w:tcPr>
            <w:tcW w:w="1280" w:type="dxa"/>
            <w:tcBorders>
              <w:top w:val="nil"/>
              <w:left w:val="nil"/>
              <w:bottom w:val="single" w:sz="4" w:space="0" w:color="auto"/>
              <w:right w:val="single" w:sz="4" w:space="0" w:color="auto"/>
            </w:tcBorders>
            <w:shd w:val="clear" w:color="auto" w:fill="auto"/>
            <w:noWrap/>
            <w:vAlign w:val="center"/>
            <w:hideMark/>
          </w:tcPr>
          <w:p w14:paraId="03A5489F"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0.28%</w:t>
            </w:r>
          </w:p>
        </w:tc>
        <w:tc>
          <w:tcPr>
            <w:tcW w:w="1329" w:type="dxa"/>
            <w:tcBorders>
              <w:top w:val="nil"/>
              <w:left w:val="nil"/>
              <w:bottom w:val="single" w:sz="4" w:space="0" w:color="auto"/>
              <w:right w:val="single" w:sz="4" w:space="0" w:color="auto"/>
            </w:tcBorders>
            <w:shd w:val="clear" w:color="auto" w:fill="auto"/>
            <w:noWrap/>
            <w:vAlign w:val="center"/>
            <w:hideMark/>
          </w:tcPr>
          <w:p w14:paraId="76DFA8A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0.94%</w:t>
            </w:r>
          </w:p>
        </w:tc>
        <w:tc>
          <w:tcPr>
            <w:tcW w:w="804" w:type="dxa"/>
            <w:tcBorders>
              <w:top w:val="nil"/>
              <w:left w:val="nil"/>
              <w:bottom w:val="single" w:sz="4" w:space="0" w:color="auto"/>
              <w:right w:val="single" w:sz="4" w:space="0" w:color="auto"/>
            </w:tcBorders>
            <w:shd w:val="clear" w:color="auto" w:fill="auto"/>
            <w:noWrap/>
            <w:vAlign w:val="center"/>
            <w:hideMark/>
          </w:tcPr>
          <w:p w14:paraId="7D55943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102%</w:t>
            </w:r>
          </w:p>
        </w:tc>
        <w:tc>
          <w:tcPr>
            <w:tcW w:w="804" w:type="dxa"/>
            <w:tcBorders>
              <w:top w:val="nil"/>
              <w:left w:val="nil"/>
              <w:bottom w:val="single" w:sz="4" w:space="0" w:color="auto"/>
              <w:right w:val="single" w:sz="8" w:space="0" w:color="auto"/>
            </w:tcBorders>
            <w:shd w:val="clear" w:color="auto" w:fill="auto"/>
            <w:noWrap/>
            <w:vAlign w:val="center"/>
            <w:hideMark/>
          </w:tcPr>
          <w:p w14:paraId="5723C66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99%</w:t>
            </w:r>
          </w:p>
        </w:tc>
      </w:tr>
      <w:tr w:rsidR="004405C7" w:rsidRPr="004405C7" w14:paraId="6EEC0EF8" w14:textId="77777777" w:rsidTr="004405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4CC1E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B</w:t>
            </w:r>
          </w:p>
        </w:tc>
        <w:tc>
          <w:tcPr>
            <w:tcW w:w="886" w:type="dxa"/>
            <w:tcBorders>
              <w:top w:val="nil"/>
              <w:left w:val="nil"/>
              <w:bottom w:val="single" w:sz="4" w:space="0" w:color="auto"/>
              <w:right w:val="single" w:sz="4" w:space="0" w:color="auto"/>
            </w:tcBorders>
            <w:shd w:val="clear" w:color="auto" w:fill="auto"/>
            <w:noWrap/>
            <w:vAlign w:val="center"/>
            <w:hideMark/>
          </w:tcPr>
          <w:p w14:paraId="52B7669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0.00%</w:t>
            </w:r>
          </w:p>
        </w:tc>
        <w:tc>
          <w:tcPr>
            <w:tcW w:w="985" w:type="dxa"/>
            <w:tcBorders>
              <w:top w:val="nil"/>
              <w:left w:val="nil"/>
              <w:bottom w:val="single" w:sz="4" w:space="0" w:color="auto"/>
              <w:right w:val="single" w:sz="4" w:space="0" w:color="auto"/>
            </w:tcBorders>
            <w:shd w:val="clear" w:color="auto" w:fill="auto"/>
            <w:noWrap/>
            <w:vAlign w:val="center"/>
            <w:hideMark/>
          </w:tcPr>
          <w:p w14:paraId="60E7F7D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-2.65%</w:t>
            </w:r>
          </w:p>
        </w:tc>
        <w:tc>
          <w:tcPr>
            <w:tcW w:w="985" w:type="dxa"/>
            <w:tcBorders>
              <w:top w:val="nil"/>
              <w:left w:val="nil"/>
              <w:bottom w:val="single" w:sz="4" w:space="0" w:color="auto"/>
              <w:right w:val="single" w:sz="4" w:space="0" w:color="auto"/>
            </w:tcBorders>
            <w:shd w:val="clear" w:color="auto" w:fill="auto"/>
            <w:noWrap/>
            <w:vAlign w:val="center"/>
            <w:hideMark/>
          </w:tcPr>
          <w:p w14:paraId="3E1AC68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-2.09%</w:t>
            </w:r>
          </w:p>
        </w:tc>
        <w:tc>
          <w:tcPr>
            <w:tcW w:w="1247" w:type="dxa"/>
            <w:tcBorders>
              <w:top w:val="nil"/>
              <w:left w:val="nil"/>
              <w:bottom w:val="single" w:sz="4" w:space="0" w:color="auto"/>
              <w:right w:val="single" w:sz="4" w:space="0" w:color="auto"/>
            </w:tcBorders>
            <w:shd w:val="clear" w:color="auto" w:fill="auto"/>
            <w:noWrap/>
            <w:vAlign w:val="center"/>
            <w:hideMark/>
          </w:tcPr>
          <w:p w14:paraId="243FB67D"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0.20%</w:t>
            </w:r>
          </w:p>
        </w:tc>
        <w:tc>
          <w:tcPr>
            <w:tcW w:w="1280" w:type="dxa"/>
            <w:tcBorders>
              <w:top w:val="nil"/>
              <w:left w:val="nil"/>
              <w:bottom w:val="single" w:sz="4" w:space="0" w:color="auto"/>
              <w:right w:val="single" w:sz="4" w:space="0" w:color="auto"/>
            </w:tcBorders>
            <w:shd w:val="clear" w:color="auto" w:fill="auto"/>
            <w:noWrap/>
            <w:vAlign w:val="center"/>
            <w:hideMark/>
          </w:tcPr>
          <w:p w14:paraId="3B4893C8"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0.21%</w:t>
            </w:r>
          </w:p>
        </w:tc>
        <w:tc>
          <w:tcPr>
            <w:tcW w:w="1329" w:type="dxa"/>
            <w:tcBorders>
              <w:top w:val="nil"/>
              <w:left w:val="nil"/>
              <w:bottom w:val="single" w:sz="4" w:space="0" w:color="auto"/>
              <w:right w:val="single" w:sz="4" w:space="0" w:color="auto"/>
            </w:tcBorders>
            <w:shd w:val="clear" w:color="auto" w:fill="auto"/>
            <w:noWrap/>
            <w:vAlign w:val="center"/>
            <w:hideMark/>
          </w:tcPr>
          <w:p w14:paraId="6A5A263D"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0.40%</w:t>
            </w:r>
          </w:p>
        </w:tc>
        <w:tc>
          <w:tcPr>
            <w:tcW w:w="804" w:type="dxa"/>
            <w:tcBorders>
              <w:top w:val="nil"/>
              <w:left w:val="nil"/>
              <w:bottom w:val="single" w:sz="4" w:space="0" w:color="auto"/>
              <w:right w:val="single" w:sz="4" w:space="0" w:color="auto"/>
            </w:tcBorders>
            <w:shd w:val="clear" w:color="auto" w:fill="auto"/>
            <w:noWrap/>
            <w:vAlign w:val="center"/>
            <w:hideMark/>
          </w:tcPr>
          <w:p w14:paraId="1F79D00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95%</w:t>
            </w:r>
          </w:p>
        </w:tc>
        <w:tc>
          <w:tcPr>
            <w:tcW w:w="804" w:type="dxa"/>
            <w:tcBorders>
              <w:top w:val="nil"/>
              <w:left w:val="nil"/>
              <w:bottom w:val="single" w:sz="4" w:space="0" w:color="auto"/>
              <w:right w:val="single" w:sz="8" w:space="0" w:color="auto"/>
            </w:tcBorders>
            <w:shd w:val="clear" w:color="auto" w:fill="auto"/>
            <w:noWrap/>
            <w:vAlign w:val="center"/>
            <w:hideMark/>
          </w:tcPr>
          <w:p w14:paraId="1F2F26B1"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92%</w:t>
            </w:r>
          </w:p>
        </w:tc>
      </w:tr>
      <w:tr w:rsidR="004405C7" w:rsidRPr="004405C7" w14:paraId="444D6DF8" w14:textId="77777777" w:rsidTr="004405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7228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C</w:t>
            </w:r>
          </w:p>
        </w:tc>
        <w:tc>
          <w:tcPr>
            <w:tcW w:w="886" w:type="dxa"/>
            <w:tcBorders>
              <w:top w:val="nil"/>
              <w:left w:val="nil"/>
              <w:bottom w:val="single" w:sz="4" w:space="0" w:color="auto"/>
              <w:right w:val="single" w:sz="4" w:space="0" w:color="auto"/>
            </w:tcBorders>
            <w:shd w:val="clear" w:color="auto" w:fill="auto"/>
            <w:noWrap/>
            <w:vAlign w:val="center"/>
            <w:hideMark/>
          </w:tcPr>
          <w:p w14:paraId="39C548A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0.08%</w:t>
            </w:r>
          </w:p>
        </w:tc>
        <w:tc>
          <w:tcPr>
            <w:tcW w:w="985" w:type="dxa"/>
            <w:tcBorders>
              <w:top w:val="nil"/>
              <w:left w:val="nil"/>
              <w:bottom w:val="single" w:sz="4" w:space="0" w:color="auto"/>
              <w:right w:val="single" w:sz="4" w:space="0" w:color="auto"/>
            </w:tcBorders>
            <w:shd w:val="clear" w:color="auto" w:fill="auto"/>
            <w:noWrap/>
            <w:vAlign w:val="center"/>
            <w:hideMark/>
          </w:tcPr>
          <w:p w14:paraId="607FEE0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-2.90%</w:t>
            </w:r>
          </w:p>
        </w:tc>
        <w:tc>
          <w:tcPr>
            <w:tcW w:w="985" w:type="dxa"/>
            <w:tcBorders>
              <w:top w:val="nil"/>
              <w:left w:val="nil"/>
              <w:bottom w:val="single" w:sz="4" w:space="0" w:color="auto"/>
              <w:right w:val="single" w:sz="4" w:space="0" w:color="auto"/>
            </w:tcBorders>
            <w:shd w:val="clear" w:color="auto" w:fill="auto"/>
            <w:noWrap/>
            <w:vAlign w:val="center"/>
            <w:hideMark/>
          </w:tcPr>
          <w:p w14:paraId="26DB5C7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-2.66%</w:t>
            </w:r>
          </w:p>
        </w:tc>
        <w:tc>
          <w:tcPr>
            <w:tcW w:w="1247" w:type="dxa"/>
            <w:tcBorders>
              <w:top w:val="nil"/>
              <w:left w:val="nil"/>
              <w:bottom w:val="single" w:sz="4" w:space="0" w:color="auto"/>
              <w:right w:val="single" w:sz="4" w:space="0" w:color="auto"/>
            </w:tcBorders>
            <w:shd w:val="clear" w:color="auto" w:fill="auto"/>
            <w:noWrap/>
            <w:vAlign w:val="center"/>
            <w:hideMark/>
          </w:tcPr>
          <w:p w14:paraId="4876CD2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0.22%</w:t>
            </w:r>
          </w:p>
        </w:tc>
        <w:tc>
          <w:tcPr>
            <w:tcW w:w="1280" w:type="dxa"/>
            <w:tcBorders>
              <w:top w:val="nil"/>
              <w:left w:val="nil"/>
              <w:bottom w:val="single" w:sz="4" w:space="0" w:color="auto"/>
              <w:right w:val="single" w:sz="4" w:space="0" w:color="auto"/>
            </w:tcBorders>
            <w:shd w:val="clear" w:color="auto" w:fill="auto"/>
            <w:noWrap/>
            <w:vAlign w:val="center"/>
            <w:hideMark/>
          </w:tcPr>
          <w:p w14:paraId="10A8D9B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0.20%</w:t>
            </w:r>
          </w:p>
        </w:tc>
        <w:tc>
          <w:tcPr>
            <w:tcW w:w="1329" w:type="dxa"/>
            <w:tcBorders>
              <w:top w:val="nil"/>
              <w:left w:val="nil"/>
              <w:bottom w:val="single" w:sz="4" w:space="0" w:color="auto"/>
              <w:right w:val="single" w:sz="4" w:space="0" w:color="auto"/>
            </w:tcBorders>
            <w:shd w:val="clear" w:color="auto" w:fill="auto"/>
            <w:noWrap/>
            <w:vAlign w:val="center"/>
            <w:hideMark/>
          </w:tcPr>
          <w:p w14:paraId="38B4E9B8"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-0.24%</w:t>
            </w:r>
          </w:p>
        </w:tc>
        <w:tc>
          <w:tcPr>
            <w:tcW w:w="804" w:type="dxa"/>
            <w:tcBorders>
              <w:top w:val="nil"/>
              <w:left w:val="nil"/>
              <w:bottom w:val="single" w:sz="4" w:space="0" w:color="auto"/>
              <w:right w:val="single" w:sz="4" w:space="0" w:color="auto"/>
            </w:tcBorders>
            <w:shd w:val="clear" w:color="auto" w:fill="auto"/>
            <w:noWrap/>
            <w:vAlign w:val="center"/>
            <w:hideMark/>
          </w:tcPr>
          <w:p w14:paraId="0F77001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98%</w:t>
            </w:r>
          </w:p>
        </w:tc>
        <w:tc>
          <w:tcPr>
            <w:tcW w:w="804" w:type="dxa"/>
            <w:tcBorders>
              <w:top w:val="nil"/>
              <w:left w:val="nil"/>
              <w:bottom w:val="single" w:sz="4" w:space="0" w:color="auto"/>
              <w:right w:val="single" w:sz="8" w:space="0" w:color="auto"/>
            </w:tcBorders>
            <w:shd w:val="clear" w:color="auto" w:fill="auto"/>
            <w:noWrap/>
            <w:vAlign w:val="center"/>
            <w:hideMark/>
          </w:tcPr>
          <w:p w14:paraId="634AB6A3"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96%</w:t>
            </w:r>
          </w:p>
        </w:tc>
      </w:tr>
      <w:tr w:rsidR="004405C7" w:rsidRPr="004405C7" w14:paraId="127C6750" w14:textId="77777777" w:rsidTr="004405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0AC5E"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E</w:t>
            </w:r>
          </w:p>
        </w:tc>
        <w:tc>
          <w:tcPr>
            <w:tcW w:w="886" w:type="dxa"/>
            <w:tcBorders>
              <w:top w:val="nil"/>
              <w:left w:val="nil"/>
              <w:bottom w:val="single" w:sz="4" w:space="0" w:color="auto"/>
              <w:right w:val="single" w:sz="4" w:space="0" w:color="auto"/>
            </w:tcBorders>
            <w:shd w:val="clear" w:color="auto" w:fill="auto"/>
            <w:noWrap/>
            <w:vAlign w:val="center"/>
            <w:hideMark/>
          </w:tcPr>
          <w:p w14:paraId="086173D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985" w:type="dxa"/>
            <w:tcBorders>
              <w:top w:val="nil"/>
              <w:left w:val="nil"/>
              <w:bottom w:val="single" w:sz="4" w:space="0" w:color="auto"/>
              <w:right w:val="single" w:sz="4" w:space="0" w:color="auto"/>
            </w:tcBorders>
            <w:shd w:val="clear" w:color="auto" w:fill="auto"/>
            <w:noWrap/>
            <w:vAlign w:val="center"/>
            <w:hideMark/>
          </w:tcPr>
          <w:p w14:paraId="1DA66D01"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985" w:type="dxa"/>
            <w:tcBorders>
              <w:top w:val="nil"/>
              <w:left w:val="nil"/>
              <w:bottom w:val="single" w:sz="4" w:space="0" w:color="auto"/>
              <w:right w:val="single" w:sz="4" w:space="0" w:color="auto"/>
            </w:tcBorders>
            <w:shd w:val="clear" w:color="auto" w:fill="auto"/>
            <w:noWrap/>
            <w:vAlign w:val="center"/>
            <w:hideMark/>
          </w:tcPr>
          <w:p w14:paraId="14B08E0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1247" w:type="dxa"/>
            <w:tcBorders>
              <w:top w:val="nil"/>
              <w:left w:val="nil"/>
              <w:bottom w:val="single" w:sz="4" w:space="0" w:color="auto"/>
              <w:right w:val="single" w:sz="4" w:space="0" w:color="auto"/>
            </w:tcBorders>
            <w:shd w:val="clear" w:color="auto" w:fill="auto"/>
            <w:noWrap/>
            <w:vAlign w:val="center"/>
            <w:hideMark/>
          </w:tcPr>
          <w:p w14:paraId="5445E4D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1280" w:type="dxa"/>
            <w:tcBorders>
              <w:top w:val="nil"/>
              <w:left w:val="nil"/>
              <w:bottom w:val="single" w:sz="4" w:space="0" w:color="auto"/>
              <w:right w:val="single" w:sz="4" w:space="0" w:color="auto"/>
            </w:tcBorders>
            <w:shd w:val="clear" w:color="auto" w:fill="auto"/>
            <w:noWrap/>
            <w:vAlign w:val="center"/>
            <w:hideMark/>
          </w:tcPr>
          <w:p w14:paraId="186898FF"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1329" w:type="dxa"/>
            <w:tcBorders>
              <w:top w:val="nil"/>
              <w:left w:val="nil"/>
              <w:bottom w:val="single" w:sz="4" w:space="0" w:color="auto"/>
              <w:right w:val="single" w:sz="4" w:space="0" w:color="auto"/>
            </w:tcBorders>
            <w:shd w:val="clear" w:color="auto" w:fill="auto"/>
            <w:noWrap/>
            <w:vAlign w:val="center"/>
            <w:hideMark/>
          </w:tcPr>
          <w:p w14:paraId="7FC22B6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804" w:type="dxa"/>
            <w:tcBorders>
              <w:top w:val="nil"/>
              <w:left w:val="nil"/>
              <w:bottom w:val="single" w:sz="4" w:space="0" w:color="auto"/>
              <w:right w:val="single" w:sz="4" w:space="0" w:color="auto"/>
            </w:tcBorders>
            <w:shd w:val="clear" w:color="auto" w:fill="auto"/>
            <w:noWrap/>
            <w:vAlign w:val="center"/>
            <w:hideMark/>
          </w:tcPr>
          <w:p w14:paraId="5707F42B"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c>
          <w:tcPr>
            <w:tcW w:w="804" w:type="dxa"/>
            <w:tcBorders>
              <w:top w:val="nil"/>
              <w:left w:val="nil"/>
              <w:bottom w:val="single" w:sz="4" w:space="0" w:color="auto"/>
              <w:right w:val="single" w:sz="8" w:space="0" w:color="auto"/>
            </w:tcBorders>
            <w:shd w:val="clear" w:color="auto" w:fill="auto"/>
            <w:noWrap/>
            <w:vAlign w:val="center"/>
            <w:hideMark/>
          </w:tcPr>
          <w:p w14:paraId="672F091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 </w:t>
            </w:r>
          </w:p>
        </w:tc>
      </w:tr>
      <w:tr w:rsidR="004405C7" w:rsidRPr="004405C7" w14:paraId="0A1E0AEB" w14:textId="77777777" w:rsidTr="004405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42521"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405C7">
              <w:rPr>
                <w:rFonts w:ascii="Arial" w:hAnsi="Arial" w:cs="Arial"/>
                <w:b/>
                <w:bCs/>
                <w:color w:val="000000"/>
                <w:sz w:val="18"/>
                <w:szCs w:val="18"/>
                <w:lang w:eastAsia="zh-CN"/>
              </w:rPr>
              <w:t>Overall</w:t>
            </w:r>
          </w:p>
        </w:tc>
        <w:tc>
          <w:tcPr>
            <w:tcW w:w="886" w:type="dxa"/>
            <w:tcBorders>
              <w:top w:val="nil"/>
              <w:left w:val="nil"/>
              <w:bottom w:val="single" w:sz="4" w:space="0" w:color="auto"/>
              <w:right w:val="single" w:sz="4" w:space="0" w:color="auto"/>
            </w:tcBorders>
            <w:shd w:val="clear" w:color="auto" w:fill="auto"/>
            <w:noWrap/>
            <w:vAlign w:val="center"/>
            <w:hideMark/>
          </w:tcPr>
          <w:p w14:paraId="53613E4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0.07%</w:t>
            </w:r>
          </w:p>
        </w:tc>
        <w:tc>
          <w:tcPr>
            <w:tcW w:w="985" w:type="dxa"/>
            <w:tcBorders>
              <w:top w:val="nil"/>
              <w:left w:val="nil"/>
              <w:bottom w:val="single" w:sz="4" w:space="0" w:color="auto"/>
              <w:right w:val="single" w:sz="4" w:space="0" w:color="auto"/>
            </w:tcBorders>
            <w:shd w:val="clear" w:color="auto" w:fill="auto"/>
            <w:noWrap/>
            <w:vAlign w:val="center"/>
            <w:hideMark/>
          </w:tcPr>
          <w:p w14:paraId="549E003B"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-2.56%</w:t>
            </w:r>
          </w:p>
        </w:tc>
        <w:tc>
          <w:tcPr>
            <w:tcW w:w="985" w:type="dxa"/>
            <w:tcBorders>
              <w:top w:val="nil"/>
              <w:left w:val="nil"/>
              <w:bottom w:val="single" w:sz="4" w:space="0" w:color="auto"/>
              <w:right w:val="single" w:sz="4" w:space="0" w:color="auto"/>
            </w:tcBorders>
            <w:shd w:val="clear" w:color="auto" w:fill="auto"/>
            <w:noWrap/>
            <w:vAlign w:val="center"/>
            <w:hideMark/>
          </w:tcPr>
          <w:p w14:paraId="4C7BAF4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-2.24%</w:t>
            </w:r>
          </w:p>
        </w:tc>
        <w:tc>
          <w:tcPr>
            <w:tcW w:w="1247" w:type="dxa"/>
            <w:tcBorders>
              <w:top w:val="nil"/>
              <w:left w:val="nil"/>
              <w:bottom w:val="single" w:sz="4" w:space="0" w:color="auto"/>
              <w:right w:val="single" w:sz="4" w:space="0" w:color="auto"/>
            </w:tcBorders>
            <w:shd w:val="clear" w:color="auto" w:fill="auto"/>
            <w:noWrap/>
            <w:vAlign w:val="center"/>
            <w:hideMark/>
          </w:tcPr>
          <w:p w14:paraId="3FFEFF98"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0.12%</w:t>
            </w:r>
          </w:p>
        </w:tc>
        <w:tc>
          <w:tcPr>
            <w:tcW w:w="1280" w:type="dxa"/>
            <w:tcBorders>
              <w:top w:val="nil"/>
              <w:left w:val="nil"/>
              <w:bottom w:val="single" w:sz="4" w:space="0" w:color="auto"/>
              <w:right w:val="single" w:sz="4" w:space="0" w:color="auto"/>
            </w:tcBorders>
            <w:shd w:val="clear" w:color="auto" w:fill="auto"/>
            <w:noWrap/>
            <w:vAlign w:val="center"/>
            <w:hideMark/>
          </w:tcPr>
          <w:p w14:paraId="34A03FC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0.14%</w:t>
            </w:r>
          </w:p>
        </w:tc>
        <w:tc>
          <w:tcPr>
            <w:tcW w:w="1329" w:type="dxa"/>
            <w:tcBorders>
              <w:top w:val="nil"/>
              <w:left w:val="nil"/>
              <w:bottom w:val="single" w:sz="4" w:space="0" w:color="auto"/>
              <w:right w:val="single" w:sz="4" w:space="0" w:color="auto"/>
            </w:tcBorders>
            <w:shd w:val="clear" w:color="auto" w:fill="auto"/>
            <w:noWrap/>
            <w:vAlign w:val="center"/>
            <w:hideMark/>
          </w:tcPr>
          <w:p w14:paraId="02BBEC7F"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0.12%</w:t>
            </w:r>
          </w:p>
        </w:tc>
        <w:tc>
          <w:tcPr>
            <w:tcW w:w="804" w:type="dxa"/>
            <w:tcBorders>
              <w:top w:val="nil"/>
              <w:left w:val="nil"/>
              <w:bottom w:val="single" w:sz="4" w:space="0" w:color="auto"/>
              <w:right w:val="single" w:sz="4" w:space="0" w:color="auto"/>
            </w:tcBorders>
            <w:shd w:val="clear" w:color="auto" w:fill="auto"/>
            <w:noWrap/>
            <w:vAlign w:val="center"/>
            <w:hideMark/>
          </w:tcPr>
          <w:p w14:paraId="7E6C7BE1"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98%</w:t>
            </w:r>
          </w:p>
        </w:tc>
        <w:tc>
          <w:tcPr>
            <w:tcW w:w="804" w:type="dxa"/>
            <w:tcBorders>
              <w:top w:val="nil"/>
              <w:left w:val="nil"/>
              <w:bottom w:val="single" w:sz="4" w:space="0" w:color="auto"/>
              <w:right w:val="single" w:sz="8" w:space="0" w:color="auto"/>
            </w:tcBorders>
            <w:shd w:val="clear" w:color="auto" w:fill="auto"/>
            <w:noWrap/>
            <w:vAlign w:val="center"/>
            <w:hideMark/>
          </w:tcPr>
          <w:p w14:paraId="22D96C5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95%</w:t>
            </w:r>
          </w:p>
        </w:tc>
      </w:tr>
      <w:tr w:rsidR="004405C7" w:rsidRPr="004405C7" w14:paraId="4F9222E9" w14:textId="77777777" w:rsidTr="004405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958D8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D</w:t>
            </w:r>
          </w:p>
        </w:tc>
        <w:tc>
          <w:tcPr>
            <w:tcW w:w="886" w:type="dxa"/>
            <w:tcBorders>
              <w:top w:val="nil"/>
              <w:left w:val="nil"/>
              <w:bottom w:val="single" w:sz="4" w:space="0" w:color="auto"/>
              <w:right w:val="single" w:sz="4" w:space="0" w:color="auto"/>
            </w:tcBorders>
            <w:shd w:val="clear" w:color="auto" w:fill="auto"/>
            <w:noWrap/>
            <w:vAlign w:val="center"/>
            <w:hideMark/>
          </w:tcPr>
          <w:p w14:paraId="2D631157"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0.17%</w:t>
            </w:r>
          </w:p>
        </w:tc>
        <w:tc>
          <w:tcPr>
            <w:tcW w:w="985" w:type="dxa"/>
            <w:tcBorders>
              <w:top w:val="nil"/>
              <w:left w:val="nil"/>
              <w:bottom w:val="single" w:sz="4" w:space="0" w:color="auto"/>
              <w:right w:val="single" w:sz="4" w:space="0" w:color="auto"/>
            </w:tcBorders>
            <w:shd w:val="clear" w:color="auto" w:fill="auto"/>
            <w:noWrap/>
            <w:vAlign w:val="center"/>
            <w:hideMark/>
          </w:tcPr>
          <w:p w14:paraId="4C9D114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-1.76%</w:t>
            </w:r>
          </w:p>
        </w:tc>
        <w:tc>
          <w:tcPr>
            <w:tcW w:w="985" w:type="dxa"/>
            <w:tcBorders>
              <w:top w:val="nil"/>
              <w:left w:val="nil"/>
              <w:bottom w:val="single" w:sz="4" w:space="0" w:color="auto"/>
              <w:right w:val="single" w:sz="4" w:space="0" w:color="auto"/>
            </w:tcBorders>
            <w:shd w:val="clear" w:color="auto" w:fill="auto"/>
            <w:noWrap/>
            <w:vAlign w:val="center"/>
            <w:hideMark/>
          </w:tcPr>
          <w:p w14:paraId="40AC55A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-1.81%</w:t>
            </w:r>
          </w:p>
        </w:tc>
        <w:tc>
          <w:tcPr>
            <w:tcW w:w="1247" w:type="dxa"/>
            <w:tcBorders>
              <w:top w:val="nil"/>
              <w:left w:val="nil"/>
              <w:bottom w:val="single" w:sz="4" w:space="0" w:color="auto"/>
              <w:right w:val="single" w:sz="4" w:space="0" w:color="auto"/>
            </w:tcBorders>
            <w:shd w:val="clear" w:color="auto" w:fill="auto"/>
            <w:noWrap/>
            <w:vAlign w:val="center"/>
            <w:hideMark/>
          </w:tcPr>
          <w:p w14:paraId="2E5F2D2E"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0.36%</w:t>
            </w:r>
          </w:p>
        </w:tc>
        <w:tc>
          <w:tcPr>
            <w:tcW w:w="1280" w:type="dxa"/>
            <w:tcBorders>
              <w:top w:val="nil"/>
              <w:left w:val="nil"/>
              <w:bottom w:val="single" w:sz="4" w:space="0" w:color="auto"/>
              <w:right w:val="single" w:sz="4" w:space="0" w:color="auto"/>
            </w:tcBorders>
            <w:shd w:val="clear" w:color="auto" w:fill="auto"/>
            <w:noWrap/>
            <w:vAlign w:val="center"/>
            <w:hideMark/>
          </w:tcPr>
          <w:p w14:paraId="1455100F"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0.39%</w:t>
            </w:r>
          </w:p>
        </w:tc>
        <w:tc>
          <w:tcPr>
            <w:tcW w:w="1329" w:type="dxa"/>
            <w:tcBorders>
              <w:top w:val="nil"/>
              <w:left w:val="nil"/>
              <w:bottom w:val="single" w:sz="4" w:space="0" w:color="auto"/>
              <w:right w:val="single" w:sz="4" w:space="0" w:color="auto"/>
            </w:tcBorders>
            <w:shd w:val="clear" w:color="auto" w:fill="auto"/>
            <w:noWrap/>
            <w:vAlign w:val="center"/>
            <w:hideMark/>
          </w:tcPr>
          <w:p w14:paraId="1E55DAD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-1.05%</w:t>
            </w:r>
          </w:p>
        </w:tc>
        <w:tc>
          <w:tcPr>
            <w:tcW w:w="804" w:type="dxa"/>
            <w:tcBorders>
              <w:top w:val="nil"/>
              <w:left w:val="nil"/>
              <w:bottom w:val="single" w:sz="4" w:space="0" w:color="auto"/>
              <w:right w:val="single" w:sz="4" w:space="0" w:color="auto"/>
            </w:tcBorders>
            <w:shd w:val="clear" w:color="auto" w:fill="auto"/>
            <w:noWrap/>
            <w:vAlign w:val="center"/>
            <w:hideMark/>
          </w:tcPr>
          <w:p w14:paraId="5EB8C683"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92%</w:t>
            </w:r>
          </w:p>
        </w:tc>
        <w:tc>
          <w:tcPr>
            <w:tcW w:w="804" w:type="dxa"/>
            <w:tcBorders>
              <w:top w:val="nil"/>
              <w:left w:val="nil"/>
              <w:bottom w:val="single" w:sz="4" w:space="0" w:color="auto"/>
              <w:right w:val="single" w:sz="8" w:space="0" w:color="auto"/>
            </w:tcBorders>
            <w:shd w:val="clear" w:color="auto" w:fill="auto"/>
            <w:noWrap/>
            <w:vAlign w:val="center"/>
            <w:hideMark/>
          </w:tcPr>
          <w:p w14:paraId="71A48513"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104%</w:t>
            </w:r>
          </w:p>
        </w:tc>
      </w:tr>
      <w:tr w:rsidR="004405C7" w:rsidRPr="004405C7" w14:paraId="7B309CCB" w14:textId="77777777" w:rsidTr="004405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522BF9"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Class F (optional)</w:t>
            </w:r>
          </w:p>
        </w:tc>
        <w:tc>
          <w:tcPr>
            <w:tcW w:w="886" w:type="dxa"/>
            <w:tcBorders>
              <w:top w:val="nil"/>
              <w:left w:val="nil"/>
              <w:bottom w:val="single" w:sz="8" w:space="0" w:color="auto"/>
              <w:right w:val="single" w:sz="4" w:space="0" w:color="auto"/>
            </w:tcBorders>
            <w:shd w:val="clear" w:color="auto" w:fill="auto"/>
            <w:noWrap/>
            <w:vAlign w:val="center"/>
            <w:hideMark/>
          </w:tcPr>
          <w:p w14:paraId="4F6DB570"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0.51%</w:t>
            </w:r>
          </w:p>
        </w:tc>
        <w:tc>
          <w:tcPr>
            <w:tcW w:w="985" w:type="dxa"/>
            <w:tcBorders>
              <w:top w:val="nil"/>
              <w:left w:val="nil"/>
              <w:bottom w:val="single" w:sz="8" w:space="0" w:color="auto"/>
              <w:right w:val="single" w:sz="4" w:space="0" w:color="auto"/>
            </w:tcBorders>
            <w:shd w:val="clear" w:color="auto" w:fill="auto"/>
            <w:noWrap/>
            <w:vAlign w:val="center"/>
            <w:hideMark/>
          </w:tcPr>
          <w:p w14:paraId="3ED67C8E"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-1.59%</w:t>
            </w:r>
          </w:p>
        </w:tc>
        <w:tc>
          <w:tcPr>
            <w:tcW w:w="985" w:type="dxa"/>
            <w:tcBorders>
              <w:top w:val="nil"/>
              <w:left w:val="nil"/>
              <w:bottom w:val="single" w:sz="8" w:space="0" w:color="auto"/>
              <w:right w:val="single" w:sz="4" w:space="0" w:color="auto"/>
            </w:tcBorders>
            <w:shd w:val="clear" w:color="auto" w:fill="auto"/>
            <w:noWrap/>
            <w:vAlign w:val="center"/>
            <w:hideMark/>
          </w:tcPr>
          <w:p w14:paraId="45751885"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-1.24%</w:t>
            </w:r>
          </w:p>
        </w:tc>
        <w:tc>
          <w:tcPr>
            <w:tcW w:w="1247" w:type="dxa"/>
            <w:tcBorders>
              <w:top w:val="nil"/>
              <w:left w:val="nil"/>
              <w:bottom w:val="single" w:sz="8" w:space="0" w:color="auto"/>
              <w:right w:val="single" w:sz="4" w:space="0" w:color="auto"/>
            </w:tcBorders>
            <w:shd w:val="clear" w:color="auto" w:fill="auto"/>
            <w:noWrap/>
            <w:vAlign w:val="center"/>
            <w:hideMark/>
          </w:tcPr>
          <w:p w14:paraId="383A845A"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1.77%</w:t>
            </w:r>
          </w:p>
        </w:tc>
        <w:tc>
          <w:tcPr>
            <w:tcW w:w="1280" w:type="dxa"/>
            <w:tcBorders>
              <w:top w:val="nil"/>
              <w:left w:val="nil"/>
              <w:bottom w:val="single" w:sz="8" w:space="0" w:color="auto"/>
              <w:right w:val="single" w:sz="4" w:space="0" w:color="auto"/>
            </w:tcBorders>
            <w:shd w:val="clear" w:color="auto" w:fill="auto"/>
            <w:noWrap/>
            <w:vAlign w:val="center"/>
            <w:hideMark/>
          </w:tcPr>
          <w:p w14:paraId="37F448F6"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2.40%</w:t>
            </w:r>
          </w:p>
        </w:tc>
        <w:tc>
          <w:tcPr>
            <w:tcW w:w="1329" w:type="dxa"/>
            <w:tcBorders>
              <w:top w:val="nil"/>
              <w:left w:val="nil"/>
              <w:bottom w:val="single" w:sz="8" w:space="0" w:color="auto"/>
              <w:right w:val="single" w:sz="4" w:space="0" w:color="auto"/>
            </w:tcBorders>
            <w:shd w:val="clear" w:color="auto" w:fill="auto"/>
            <w:noWrap/>
            <w:vAlign w:val="center"/>
            <w:hideMark/>
          </w:tcPr>
          <w:p w14:paraId="319FDE29"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1.85%</w:t>
            </w:r>
          </w:p>
        </w:tc>
        <w:tc>
          <w:tcPr>
            <w:tcW w:w="804" w:type="dxa"/>
            <w:tcBorders>
              <w:top w:val="nil"/>
              <w:left w:val="nil"/>
              <w:bottom w:val="single" w:sz="8" w:space="0" w:color="auto"/>
              <w:right w:val="single" w:sz="4" w:space="0" w:color="auto"/>
            </w:tcBorders>
            <w:shd w:val="clear" w:color="auto" w:fill="auto"/>
            <w:noWrap/>
            <w:vAlign w:val="center"/>
            <w:hideMark/>
          </w:tcPr>
          <w:p w14:paraId="5D1A87BC"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101%</w:t>
            </w:r>
          </w:p>
        </w:tc>
        <w:tc>
          <w:tcPr>
            <w:tcW w:w="804" w:type="dxa"/>
            <w:tcBorders>
              <w:top w:val="nil"/>
              <w:left w:val="nil"/>
              <w:bottom w:val="single" w:sz="8" w:space="0" w:color="auto"/>
              <w:right w:val="single" w:sz="8" w:space="0" w:color="auto"/>
            </w:tcBorders>
            <w:shd w:val="clear" w:color="auto" w:fill="auto"/>
            <w:noWrap/>
            <w:vAlign w:val="center"/>
            <w:hideMark/>
          </w:tcPr>
          <w:p w14:paraId="5DD62404" w14:textId="77777777" w:rsidR="004405C7" w:rsidRPr="004405C7" w:rsidRDefault="004405C7" w:rsidP="0044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405C7">
              <w:rPr>
                <w:rFonts w:ascii="Arial" w:hAnsi="Arial" w:cs="Arial"/>
                <w:color w:val="000000"/>
                <w:sz w:val="18"/>
                <w:szCs w:val="18"/>
                <w:lang w:eastAsia="zh-CN"/>
              </w:rPr>
              <w:t>103%</w:t>
            </w:r>
          </w:p>
        </w:tc>
      </w:tr>
    </w:tbl>
    <w:p w14:paraId="4320B24B" w14:textId="78F0841C" w:rsidR="00A723CB" w:rsidRPr="00820848" w:rsidRDefault="00A723CB" w:rsidP="00092AE9">
      <w:pPr>
        <w:jc w:val="center"/>
        <w:rPr>
          <w:b/>
          <w:i/>
        </w:rPr>
      </w:pPr>
      <w:proofErr w:type="gramStart"/>
      <w:r w:rsidRPr="00820848">
        <w:rPr>
          <w:b/>
          <w:i/>
        </w:rPr>
        <w:t>Table 1.</w:t>
      </w:r>
      <w:proofErr w:type="gramEnd"/>
      <w:r w:rsidRPr="00820848">
        <w:rPr>
          <w:b/>
          <w:i/>
        </w:rPr>
        <w:t xml:space="preserve"> </w:t>
      </w:r>
      <w:r w:rsidR="00263608">
        <w:rPr>
          <w:b/>
          <w:i/>
        </w:rPr>
        <w:t xml:space="preserve">Memory bandwidth comparison </w:t>
      </w:r>
      <w:r w:rsidRPr="00820848">
        <w:rPr>
          <w:b/>
          <w:i/>
        </w:rPr>
        <w:t>(</w:t>
      </w:r>
      <w:r w:rsidR="00E403B9">
        <w:rPr>
          <w:b/>
          <w:i/>
        </w:rPr>
        <w:t>VTM</w:t>
      </w:r>
      <w:r w:rsidR="00392A98">
        <w:rPr>
          <w:b/>
          <w:i/>
        </w:rPr>
        <w:t>7</w:t>
      </w:r>
      <w:r w:rsidR="00092AE9">
        <w:rPr>
          <w:b/>
          <w:i/>
        </w:rPr>
        <w:t>.0 vs.</w:t>
      </w:r>
      <w:r w:rsidR="006B6445">
        <w:rPr>
          <w:b/>
          <w:i/>
        </w:rPr>
        <w:t xml:space="preserve"> </w:t>
      </w:r>
      <w:r w:rsidR="00392A98">
        <w:rPr>
          <w:b/>
          <w:i/>
        </w:rPr>
        <w:t>VTM6</w:t>
      </w:r>
      <w:r w:rsidR="00020907">
        <w:rPr>
          <w:b/>
          <w:i/>
        </w:rPr>
        <w:t>.</w:t>
      </w:r>
      <w:r w:rsidR="002E65D9">
        <w:rPr>
          <w:b/>
          <w:i/>
        </w:rPr>
        <w:t>0</w:t>
      </w:r>
      <w:r w:rsidR="00F16944">
        <w:rPr>
          <w:b/>
          <w:i/>
        </w:rPr>
        <w:t>, RA</w:t>
      </w:r>
      <w:r w:rsidRPr="00820848">
        <w:rPr>
          <w:b/>
          <w:i/>
        </w:rPr>
        <w:t>)</w:t>
      </w:r>
    </w:p>
    <w:p w14:paraId="586EAA4F" w14:textId="77777777" w:rsidR="00A723CB" w:rsidRDefault="00A723CB" w:rsidP="00A723CB">
      <w:r>
        <w:t>Where</w:t>
      </w:r>
    </w:p>
    <w:p w14:paraId="4040FA48" w14:textId="3E091272" w:rsidR="002118DA" w:rsidRPr="00820848" w:rsidRDefault="00A723CB" w:rsidP="004A219B">
      <w:pPr>
        <w:pStyle w:val="PlainText"/>
        <w:numPr>
          <w:ilvl w:val="0"/>
          <w:numId w:val="3"/>
        </w:numPr>
        <w:rPr>
          <w:rFonts w:ascii="Times New Roman" w:hAnsi="Times New Roman" w:cs="Times New Roman"/>
        </w:rPr>
      </w:pPr>
      <w:proofErr w:type="spellStart"/>
      <w:r w:rsidRPr="00820848">
        <w:rPr>
          <w:rFonts w:ascii="Times New Roman" w:hAnsi="Times New Roman" w:cs="Times New Roman"/>
        </w:rPr>
        <w:t>TCM</w:t>
      </w:r>
      <w:r>
        <w:rPr>
          <w:rFonts w:ascii="Times New Roman" w:hAnsi="Times New Roman" w:cs="Times New Roman"/>
        </w:rPr>
        <w:t>_</w:t>
      </w:r>
      <w:proofErr w:type="gramStart"/>
      <w:r>
        <w:rPr>
          <w:rFonts w:ascii="Times New Roman" w:hAnsi="Times New Roman" w:cs="Times New Roman"/>
        </w:rPr>
        <w:t>diff</w:t>
      </w:r>
      <w:proofErr w:type="spellEnd"/>
      <w:r w:rsidRPr="00820848">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820848">
        <w:rPr>
          <w:rFonts w:ascii="Times New Roman" w:hAnsi="Times New Roman" w:cs="Times New Roman"/>
        </w:rPr>
        <w:t>Total cache misses (over all the frames coded)</w:t>
      </w:r>
      <w:r>
        <w:rPr>
          <w:rFonts w:ascii="Times New Roman" w:hAnsi="Times New Roman" w:cs="Times New Roman"/>
        </w:rPr>
        <w:t xml:space="preserve">, percentage </w:t>
      </w:r>
      <w:r w:rsidR="00020907">
        <w:rPr>
          <w:rFonts w:ascii="Times New Roman" w:hAnsi="Times New Roman" w:cs="Times New Roman"/>
        </w:rPr>
        <w:t xml:space="preserve">difference </w:t>
      </w:r>
      <w:r>
        <w:rPr>
          <w:rFonts w:ascii="Times New Roman" w:hAnsi="Times New Roman" w:cs="Times New Roman"/>
        </w:rPr>
        <w:t xml:space="preserve">relative to </w:t>
      </w:r>
      <w:r w:rsidR="004405C7">
        <w:rPr>
          <w:rFonts w:ascii="Times New Roman" w:hAnsi="Times New Roman" w:cs="Times New Roman"/>
        </w:rPr>
        <w:t>VTM6</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 xml:space="preserve">. </w:t>
      </w:r>
    </w:p>
    <w:p w14:paraId="1B6F3BB7" w14:textId="7D156505" w:rsidR="002118DA" w:rsidRPr="001F4C2D" w:rsidRDefault="00A723CB" w:rsidP="004A219B">
      <w:pPr>
        <w:pStyle w:val="PlainText"/>
        <w:numPr>
          <w:ilvl w:val="0"/>
          <w:numId w:val="3"/>
        </w:numPr>
        <w:rPr>
          <w:rFonts w:ascii="Times New Roman" w:hAnsi="Times New Roman" w:cs="Times New Roman"/>
        </w:rPr>
      </w:pPr>
      <w:proofErr w:type="spellStart"/>
      <w:r w:rsidRPr="006D1A9A">
        <w:rPr>
          <w:rFonts w:ascii="Times New Roman" w:hAnsi="Times New Roman" w:cs="Times New Roman"/>
        </w:rPr>
        <w:t>ABW_diff</w:t>
      </w:r>
      <w:proofErr w:type="spellEnd"/>
      <w:r w:rsidRPr="006D1A9A">
        <w:rPr>
          <w:rFonts w:ascii="Times New Roman" w:hAnsi="Times New Roman" w:cs="Times New Roman"/>
        </w:rPr>
        <w:t>: Average memory bandwidth (over all the frames coded), perc</w:t>
      </w:r>
      <w:r w:rsidR="00020907" w:rsidRPr="006D1A9A">
        <w:rPr>
          <w:rFonts w:ascii="Times New Roman" w:hAnsi="Times New Roman" w:cs="Times New Roman"/>
        </w:rPr>
        <w:t>entage difference relative to VTM</w:t>
      </w:r>
      <w:r w:rsidR="004405C7">
        <w:rPr>
          <w:rFonts w:ascii="Times New Roman" w:hAnsi="Times New Roman" w:cs="Times New Roman"/>
        </w:rPr>
        <w:t>6</w:t>
      </w:r>
      <w:r w:rsidR="00020907" w:rsidRPr="006D1A9A">
        <w:rPr>
          <w:rFonts w:ascii="Times New Roman" w:hAnsi="Times New Roman" w:cs="Times New Roman"/>
        </w:rPr>
        <w:t>.</w:t>
      </w:r>
      <w:r w:rsidR="001F4C2D" w:rsidRPr="006D1A9A">
        <w:rPr>
          <w:rFonts w:ascii="Times New Roman" w:hAnsi="Times New Roman" w:cs="Times New Roman"/>
        </w:rPr>
        <w:t>0</w:t>
      </w:r>
      <w:r w:rsidRPr="006D1A9A">
        <w:rPr>
          <w:rFonts w:ascii="Times New Roman" w:hAnsi="Times New Roman" w:cs="Times New Roman"/>
        </w:rPr>
        <w:t xml:space="preserve">. </w:t>
      </w:r>
    </w:p>
    <w:p w14:paraId="12383814" w14:textId="38D16734" w:rsidR="00A723CB" w:rsidRPr="00CC4C7D" w:rsidRDefault="00A723CB" w:rsidP="004A219B">
      <w:pPr>
        <w:pStyle w:val="PlainText"/>
        <w:numPr>
          <w:ilvl w:val="0"/>
          <w:numId w:val="3"/>
        </w:numPr>
        <w:rPr>
          <w:rFonts w:ascii="Times New Roman" w:hAnsi="Times New Roman" w:cs="Times New Roman"/>
        </w:rPr>
      </w:pPr>
      <w:proofErr w:type="spellStart"/>
      <w:r w:rsidRPr="00820848">
        <w:rPr>
          <w:rFonts w:ascii="Times New Roman" w:hAnsi="Times New Roman" w:cs="Times New Roman"/>
        </w:rPr>
        <w:t>MBW</w:t>
      </w:r>
      <w:r>
        <w:rPr>
          <w:rFonts w:ascii="Times New Roman" w:hAnsi="Times New Roman" w:cs="Times New Roman"/>
        </w:rPr>
        <w:t>_</w:t>
      </w:r>
      <w:proofErr w:type="gramStart"/>
      <w:r>
        <w:rPr>
          <w:rFonts w:ascii="Times New Roman" w:hAnsi="Times New Roman" w:cs="Times New Roman"/>
        </w:rPr>
        <w:t>diff</w:t>
      </w:r>
      <w:proofErr w:type="spellEnd"/>
      <w:r>
        <w:rPr>
          <w:rFonts w:ascii="Times New Roman" w:hAnsi="Times New Roman" w:cs="Times New Roman"/>
        </w:rPr>
        <w:t xml:space="preserve"> :</w:t>
      </w:r>
      <w:proofErr w:type="gramEnd"/>
      <w:r>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Pr>
          <w:rFonts w:ascii="Times New Roman" w:hAnsi="Times New Roman" w:cs="Times New Roman"/>
        </w:rPr>
        <w:t>, perc</w:t>
      </w:r>
      <w:r w:rsidR="00020907">
        <w:rPr>
          <w:rFonts w:ascii="Times New Roman" w:hAnsi="Times New Roman" w:cs="Times New Roman"/>
        </w:rPr>
        <w:t xml:space="preserve">entage difference relative to </w:t>
      </w:r>
      <w:r w:rsidR="004405C7">
        <w:rPr>
          <w:rFonts w:ascii="Times New Roman" w:hAnsi="Times New Roman" w:cs="Times New Roman"/>
        </w:rPr>
        <w:t>VTM6</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 xml:space="preserve">. </w:t>
      </w:r>
      <w:r w:rsidRPr="00CC4C7D">
        <w:rPr>
          <w:rFonts w:ascii="Times New Roman" w:hAnsi="Times New Roman" w:cs="Times New Roman"/>
        </w:rPr>
        <w:t xml:space="preserve"> </w:t>
      </w:r>
    </w:p>
    <w:p w14:paraId="32941EE1" w14:textId="77777777" w:rsidR="00A723CB" w:rsidRDefault="00A723CB" w:rsidP="00A723CB">
      <w:pPr>
        <w:pStyle w:val="PlainText"/>
      </w:pPr>
      <w:r>
        <w:t> </w:t>
      </w:r>
    </w:p>
    <w:p w14:paraId="69662E19" w14:textId="1069CB20" w:rsidR="006908DA" w:rsidRDefault="00A723CB" w:rsidP="00A723CB">
      <w:pPr>
        <w:pStyle w:val="PlainText"/>
        <w:jc w:val="both"/>
        <w:rPr>
          <w:rFonts w:ascii="Times New Roman" w:hAnsi="Times New Roman" w:cs="Times New Roman"/>
        </w:rPr>
      </w:pPr>
      <w:proofErr w:type="spellStart"/>
      <w:r w:rsidRPr="00820848">
        <w:rPr>
          <w:rFonts w:ascii="Times New Roman" w:hAnsi="Times New Roman" w:cs="Times New Roman"/>
        </w:rPr>
        <w:t>MBW_diff</w:t>
      </w:r>
      <w:proofErr w:type="spellEnd"/>
      <w:r>
        <w:rPr>
          <w:rFonts w:ascii="Times New Roman" w:hAnsi="Times New Roman" w:cs="Times New Roman"/>
        </w:rPr>
        <w:t xml:space="preserve"> </w:t>
      </w:r>
      <w:r w:rsidRPr="00820848">
        <w:rPr>
          <w:rFonts w:ascii="Times New Roman" w:hAnsi="Times New Roman" w:cs="Times New Roman"/>
        </w:rPr>
        <w:t xml:space="preserve">is the most important measure, </w:t>
      </w:r>
      <w:r>
        <w:rPr>
          <w:rFonts w:ascii="Times New Roman" w:hAnsi="Times New Roman" w:cs="Times New Roman"/>
        </w:rPr>
        <w:t>which</w:t>
      </w:r>
      <w:r w:rsidRPr="00820848">
        <w:rPr>
          <w:rFonts w:ascii="Times New Roman" w:hAnsi="Times New Roman" w:cs="Times New Roman"/>
        </w:rPr>
        <w:t xml:space="preserve"> shows </w:t>
      </w:r>
      <w:r w:rsidR="00AB4242">
        <w:rPr>
          <w:rFonts w:ascii="Times New Roman" w:hAnsi="Times New Roman" w:cs="Times New Roman"/>
        </w:rPr>
        <w:t>the</w:t>
      </w:r>
      <w:r w:rsidRPr="00820848">
        <w:rPr>
          <w:rFonts w:ascii="Times New Roman" w:hAnsi="Times New Roman" w:cs="Times New Roman"/>
        </w:rPr>
        <w:t xml:space="preserve"> worst </w:t>
      </w:r>
      <w:r>
        <w:rPr>
          <w:rFonts w:ascii="Times New Roman" w:hAnsi="Times New Roman" w:cs="Times New Roman"/>
        </w:rPr>
        <w:t xml:space="preserve">case memory bandwidth </w:t>
      </w:r>
      <w:r w:rsidR="00AB4242">
        <w:rPr>
          <w:rFonts w:ascii="Times New Roman" w:hAnsi="Times New Roman" w:cs="Times New Roman"/>
        </w:rPr>
        <w:t xml:space="preserve">consumption </w:t>
      </w:r>
      <w:r w:rsidR="00020907">
        <w:rPr>
          <w:rFonts w:ascii="Times New Roman" w:hAnsi="Times New Roman" w:cs="Times New Roman"/>
        </w:rPr>
        <w:t>difference</w:t>
      </w:r>
      <w:r>
        <w:rPr>
          <w:rFonts w:ascii="Times New Roman" w:hAnsi="Times New Roman" w:cs="Times New Roman"/>
        </w:rPr>
        <w:t xml:space="preserve"> </w:t>
      </w:r>
      <w:r w:rsidR="00020907">
        <w:rPr>
          <w:rFonts w:ascii="Times New Roman" w:hAnsi="Times New Roman" w:cs="Times New Roman"/>
        </w:rPr>
        <w:t xml:space="preserve">of </w:t>
      </w:r>
      <w:r w:rsidR="004405C7">
        <w:rPr>
          <w:rFonts w:ascii="Times New Roman" w:hAnsi="Times New Roman" w:cs="Times New Roman"/>
        </w:rPr>
        <w:t>VTM7</w:t>
      </w:r>
      <w:r w:rsidR="00263608">
        <w:rPr>
          <w:rFonts w:ascii="Times New Roman" w:hAnsi="Times New Roman" w:cs="Times New Roman"/>
        </w:rPr>
        <w:t xml:space="preserve">.0 </w:t>
      </w:r>
      <w:r w:rsidR="00020907">
        <w:rPr>
          <w:rFonts w:ascii="Times New Roman" w:hAnsi="Times New Roman" w:cs="Times New Roman"/>
        </w:rPr>
        <w:t xml:space="preserve">relative to </w:t>
      </w:r>
      <w:r w:rsidR="004405C7">
        <w:rPr>
          <w:rFonts w:ascii="Times New Roman" w:hAnsi="Times New Roman" w:cs="Times New Roman"/>
        </w:rPr>
        <w:t>VTM6</w:t>
      </w:r>
      <w:r w:rsidR="00020907">
        <w:rPr>
          <w:rFonts w:ascii="Times New Roman" w:hAnsi="Times New Roman" w:cs="Times New Roman"/>
        </w:rPr>
        <w:t>.</w:t>
      </w:r>
      <w:r w:rsidR="001F4C2D">
        <w:rPr>
          <w:rFonts w:ascii="Times New Roman" w:hAnsi="Times New Roman" w:cs="Times New Roman"/>
        </w:rPr>
        <w:t>0</w:t>
      </w:r>
      <w:r>
        <w:rPr>
          <w:rFonts w:ascii="Times New Roman" w:hAnsi="Times New Roman" w:cs="Times New Roman"/>
        </w:rPr>
        <w:t>.</w:t>
      </w:r>
    </w:p>
    <w:p w14:paraId="6E4753BE" w14:textId="2CFBEAD6" w:rsidR="006908DA" w:rsidRDefault="006908DA" w:rsidP="006908DA">
      <w:pPr>
        <w:pStyle w:val="Heading2"/>
        <w:rPr>
          <w:rStyle w:val="Emphasis"/>
          <w:bCs w:val="0"/>
        </w:rPr>
      </w:pPr>
      <w:r>
        <w:rPr>
          <w:rStyle w:val="Emphasis"/>
          <w:bCs w:val="0"/>
        </w:rPr>
        <w:lastRenderedPageBreak/>
        <w:t xml:space="preserve">Bin to bit ratio </w:t>
      </w:r>
      <w:r w:rsidR="00DC4CB6">
        <w:rPr>
          <w:rStyle w:val="Emphasis"/>
          <w:bCs w:val="0"/>
        </w:rPr>
        <w:t xml:space="preserve">study for </w:t>
      </w:r>
      <w:r w:rsidR="004405C7">
        <w:rPr>
          <w:rStyle w:val="Emphasis"/>
          <w:bCs w:val="0"/>
        </w:rPr>
        <w:t>VTM7</w:t>
      </w:r>
      <w:r>
        <w:rPr>
          <w:rStyle w:val="Emphasis"/>
          <w:bCs w:val="0"/>
        </w:rPr>
        <w:t xml:space="preserve">.0 </w:t>
      </w:r>
    </w:p>
    <w:p w14:paraId="26CE57AD" w14:textId="349DDBC7" w:rsidR="004405C7" w:rsidRPr="00CC2418" w:rsidRDefault="004405C7" w:rsidP="00E667C3">
      <w:pPr>
        <w:rPr>
          <w:lang w:val="en-CA"/>
        </w:rPr>
      </w:pPr>
      <w:r>
        <w:t>JVET-</w:t>
      </w:r>
      <w:r w:rsidR="00264E57">
        <w:t xml:space="preserve">Q0102 </w:t>
      </w:r>
      <w:r w:rsidR="00426F5F">
        <w:t xml:space="preserve">reports </w:t>
      </w:r>
      <w:r w:rsidR="00FF398B">
        <w:t xml:space="preserve">that the bin to bit ratio </w:t>
      </w:r>
      <w:r>
        <w:t>remains unchanged</w:t>
      </w:r>
      <w:r w:rsidR="00FF398B">
        <w:t xml:space="preserve"> from </w:t>
      </w:r>
      <w:r>
        <w:t>VTM6</w:t>
      </w:r>
      <w:r w:rsidR="00FF398B">
        <w:t xml:space="preserve">.0 to </w:t>
      </w:r>
      <w:r>
        <w:t>VTM7</w:t>
      </w:r>
      <w:r w:rsidR="00FF398B">
        <w:t>.0</w:t>
      </w:r>
      <w:r>
        <w:t>.</w:t>
      </w:r>
      <w:r w:rsidR="00CC2418" w:rsidRPr="0053694F">
        <w:t xml:space="preserve"> </w:t>
      </w:r>
      <w:r>
        <w:rPr>
          <w:lang w:val="en-CA"/>
        </w:rPr>
        <w:t xml:space="preserve">As far as the low-QP (QP =2, 7, 12, 17) AI configuration is concerned, the weighted and un-weighted bin to bit ratio of the VTM7.0 is roughly 18% and 10% higher than that of </w:t>
      </w:r>
      <w:r w:rsidR="008E411E">
        <w:rPr>
          <w:lang w:val="en-CA"/>
        </w:rPr>
        <w:t>HM16</w:t>
      </w:r>
      <w:r>
        <w:rPr>
          <w:lang w:val="en-CA"/>
        </w:rPr>
        <w:t>.19, respectively.</w:t>
      </w:r>
    </w:p>
    <w:p w14:paraId="59DDAAEF" w14:textId="51ED265F" w:rsidR="006B6445" w:rsidRPr="00D312BE" w:rsidRDefault="00401A6A" w:rsidP="00564861">
      <w:pPr>
        <w:rPr>
          <w:lang w:val="en-CA"/>
        </w:rPr>
      </w:pPr>
      <w:r w:rsidRPr="00064B6E">
        <w:rPr>
          <w:lang w:val="en-CA"/>
        </w:rPr>
        <w:t xml:space="preserve">In the weighted </w:t>
      </w:r>
      <w:r>
        <w:rPr>
          <w:lang w:val="en-CA"/>
        </w:rPr>
        <w:t xml:space="preserve">bin to bit </w:t>
      </w:r>
      <w:r w:rsidRPr="00064B6E">
        <w:rPr>
          <w:lang w:val="en-CA"/>
        </w:rPr>
        <w:t xml:space="preserve">ratio, a bypass bin is counted at 0.25 context coded bins; in the unweight </w:t>
      </w:r>
      <w:r>
        <w:rPr>
          <w:lang w:val="en-CA"/>
        </w:rPr>
        <w:t xml:space="preserve">bin to bit </w:t>
      </w:r>
      <w:r w:rsidRPr="00064B6E">
        <w:rPr>
          <w:lang w:val="en-CA"/>
        </w:rPr>
        <w:t xml:space="preserve">ratio, a bypass bin and a context coded bin carry </w:t>
      </w:r>
      <w:r>
        <w:rPr>
          <w:lang w:val="en-CA"/>
        </w:rPr>
        <w:t xml:space="preserve">an </w:t>
      </w:r>
      <w:r w:rsidRPr="00064B6E">
        <w:rPr>
          <w:lang w:val="en-CA"/>
        </w:rPr>
        <w:t>equal weight</w:t>
      </w:r>
      <w:r>
        <w:rPr>
          <w:lang w:val="en-CA"/>
        </w:rPr>
        <w:t xml:space="preserve"> (1:1)</w:t>
      </w:r>
      <w:r w:rsidRPr="00064B6E">
        <w:rPr>
          <w:lang w:val="en-CA"/>
        </w:rPr>
        <w:t>.</w:t>
      </w:r>
    </w:p>
    <w:p w14:paraId="146F2867"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contributions</w:t>
      </w:r>
    </w:p>
    <w:p w14:paraId="076DC054" w14:textId="77777777" w:rsidR="00A723CB" w:rsidRDefault="00A723CB" w:rsidP="00A723CB">
      <w:pPr>
        <w:rPr>
          <w:szCs w:val="22"/>
          <w:lang w:val="en-CA"/>
        </w:rPr>
      </w:pPr>
      <w:r w:rsidRPr="003E2AF0">
        <w:rPr>
          <w:szCs w:val="22"/>
          <w:lang w:val="en-CA"/>
        </w:rPr>
        <w:t xml:space="preserve">The following contributions are identified for </w:t>
      </w:r>
      <w:r>
        <w:rPr>
          <w:szCs w:val="22"/>
          <w:lang w:val="en-CA"/>
        </w:rPr>
        <w:t xml:space="preserve">the </w:t>
      </w:r>
      <w:r w:rsidRPr="003E2AF0">
        <w:rPr>
          <w:szCs w:val="22"/>
          <w:lang w:val="en-CA"/>
        </w:rPr>
        <w:t xml:space="preserve">AHG. </w:t>
      </w:r>
    </w:p>
    <w:p w14:paraId="7FB1E5FD" w14:textId="41D80A54" w:rsidR="00514526" w:rsidRDefault="00514526" w:rsidP="00A92E27">
      <w:pPr>
        <w:pStyle w:val="Heading2"/>
      </w:pPr>
      <w:r>
        <w:t>CABAC bin to bit ratio (2)</w:t>
      </w:r>
    </w:p>
    <w:p w14:paraId="2565554D" w14:textId="77777777" w:rsidR="00514526" w:rsidRDefault="00514526" w:rsidP="004A219B">
      <w:pPr>
        <w:pStyle w:val="ListParagraph"/>
        <w:numPr>
          <w:ilvl w:val="0"/>
          <w:numId w:val="14"/>
        </w:numPr>
      </w:pPr>
      <w:r>
        <w:t>JVET-Q0102, “AHG16: A study of bin to bit ratio for VTM7.0”, M. Zhou (Broadcom)</w:t>
      </w:r>
    </w:p>
    <w:p w14:paraId="66D11DA8" w14:textId="5494E2DD" w:rsidR="00514526" w:rsidRPr="000A1BC3" w:rsidRDefault="00514526" w:rsidP="004A219B">
      <w:pPr>
        <w:pStyle w:val="ListParagraph"/>
        <w:numPr>
          <w:ilvl w:val="0"/>
          <w:numId w:val="14"/>
        </w:numPr>
      </w:pPr>
      <w:r w:rsidRPr="00514526">
        <w:t>JVET-Q0436</w:t>
      </w:r>
      <w:r>
        <w:t>, “</w:t>
      </w:r>
      <w:r w:rsidRPr="00514526">
        <w:t>CABAC zero word threshold</w:t>
      </w:r>
      <w:r>
        <w:t xml:space="preserve">”, </w:t>
      </w:r>
      <w:r w:rsidRPr="00514526">
        <w:tab/>
        <w:t>A. Browne, K. Sharman, S. Keating (Sony)</w:t>
      </w:r>
    </w:p>
    <w:p w14:paraId="2421AF12" w14:textId="5ECD6528" w:rsidR="00E55073" w:rsidRDefault="00E55073" w:rsidP="00A92E27">
      <w:pPr>
        <w:pStyle w:val="Heading2"/>
      </w:pPr>
      <w:r>
        <w:t xml:space="preserve">Entry point offset </w:t>
      </w:r>
      <w:proofErr w:type="spellStart"/>
      <w:r>
        <w:t>signalling</w:t>
      </w:r>
      <w:proofErr w:type="spellEnd"/>
      <w:r>
        <w:t xml:space="preserve"> (2)</w:t>
      </w:r>
    </w:p>
    <w:p w14:paraId="3B46035B" w14:textId="0C769BE0" w:rsidR="00E55073" w:rsidRDefault="00E55073" w:rsidP="004A219B">
      <w:pPr>
        <w:pStyle w:val="ListParagraph"/>
        <w:numPr>
          <w:ilvl w:val="0"/>
          <w:numId w:val="6"/>
        </w:numPr>
      </w:pPr>
      <w:r w:rsidRPr="00E55073">
        <w:t>JVET-Q0151</w:t>
      </w:r>
      <w:r>
        <w:t>, “</w:t>
      </w:r>
      <w:r w:rsidRPr="00E55073">
        <w:t xml:space="preserve">AHG12: On entry point offset </w:t>
      </w:r>
      <w:proofErr w:type="spellStart"/>
      <w:r w:rsidRPr="00E55073">
        <w:t>signalling</w:t>
      </w:r>
      <w:proofErr w:type="spellEnd"/>
      <w:r>
        <w:t xml:space="preserve">”, </w:t>
      </w:r>
      <w:r w:rsidRPr="00E55073">
        <w:t>M. Coban, Y.-J. Chang, V. Seregin, A. K. Ramasubra</w:t>
      </w:r>
      <w:r>
        <w:t>monian, M. Karczewicz (Qualcomm)</w:t>
      </w:r>
    </w:p>
    <w:p w14:paraId="43A10809" w14:textId="041DC19A" w:rsidR="00E55073" w:rsidRPr="0096624A" w:rsidRDefault="00E55073" w:rsidP="004A219B">
      <w:pPr>
        <w:pStyle w:val="ListParagraph"/>
        <w:numPr>
          <w:ilvl w:val="0"/>
          <w:numId w:val="6"/>
        </w:numPr>
      </w:pPr>
      <w:r w:rsidRPr="00E55073">
        <w:t>JVET-Q0205</w:t>
      </w:r>
      <w:r>
        <w:t>, “AHG12</w:t>
      </w:r>
      <w:r w:rsidRPr="00E55073">
        <w:t xml:space="preserve">: On the presence of entry point </w:t>
      </w:r>
      <w:r>
        <w:t xml:space="preserve">signaling”, </w:t>
      </w:r>
      <w:r w:rsidRPr="00E55073">
        <w:t>Hendry, S. Kim, S. Lee (LGE)</w:t>
      </w:r>
    </w:p>
    <w:p w14:paraId="119DB88F" w14:textId="3AC195A5" w:rsidR="006819C3" w:rsidRPr="00A92E27" w:rsidRDefault="0027170B" w:rsidP="00A92E27">
      <w:pPr>
        <w:pStyle w:val="Heading2"/>
      </w:pPr>
      <w:r>
        <w:t xml:space="preserve">Chroma QP </w:t>
      </w:r>
      <w:r w:rsidR="00C45AB6">
        <w:t xml:space="preserve">offset </w:t>
      </w:r>
      <w:proofErr w:type="spellStart"/>
      <w:r>
        <w:t>signalling</w:t>
      </w:r>
      <w:proofErr w:type="spellEnd"/>
      <w:r w:rsidR="00117B41" w:rsidRPr="00A92E27">
        <w:t xml:space="preserve"> </w:t>
      </w:r>
      <w:r>
        <w:t>(2)</w:t>
      </w:r>
    </w:p>
    <w:p w14:paraId="0CB7CAED" w14:textId="0716E30C" w:rsidR="0027170B" w:rsidRDefault="0027170B" w:rsidP="00C14CAB">
      <w:pPr>
        <w:pStyle w:val="ListParagraph"/>
        <w:numPr>
          <w:ilvl w:val="0"/>
          <w:numId w:val="30"/>
        </w:numPr>
      </w:pPr>
      <w:r>
        <w:t>JVET-Q0267, “AHG16: On Propagation of Chroma CU QP Offsets”,</w:t>
      </w:r>
      <w:r w:rsidR="00DC2B74">
        <w:t xml:space="preserve"> </w:t>
      </w:r>
      <w:r>
        <w:t>B. Heng, M. Zhou, W. Wan (Broadcom)</w:t>
      </w:r>
    </w:p>
    <w:p w14:paraId="3761AD67" w14:textId="5820A7CA" w:rsidR="0027170B" w:rsidRDefault="0027170B" w:rsidP="00C14CAB">
      <w:pPr>
        <w:pStyle w:val="ListParagraph"/>
        <w:numPr>
          <w:ilvl w:val="0"/>
          <w:numId w:val="30"/>
        </w:numPr>
      </w:pPr>
      <w:r>
        <w:t>JVET-Q0476, “</w:t>
      </w:r>
      <w:r w:rsidRPr="0027170B">
        <w:t xml:space="preserve">On </w:t>
      </w:r>
      <w:proofErr w:type="spellStart"/>
      <w:r w:rsidRPr="0027170B">
        <w:t>chroma</w:t>
      </w:r>
      <w:proofErr w:type="spellEnd"/>
      <w:r w:rsidRPr="0027170B">
        <w:t xml:space="preserve"> QP offsets for zero-CBF leading </w:t>
      </w:r>
      <w:proofErr w:type="spellStart"/>
      <w:r w:rsidRPr="0027170B">
        <w:t>chroma</w:t>
      </w:r>
      <w:proofErr w:type="spellEnd"/>
      <w:r w:rsidRPr="0027170B">
        <w:t xml:space="preserve"> coding blocks</w:t>
      </w:r>
      <w:r>
        <w:t xml:space="preserve">”, </w:t>
      </w:r>
      <w:r w:rsidRPr="0027170B">
        <w:t>A. K. Ramasubramonian, B. Ray, G. Van der Auwera, M. Karczewicz (Qualcomm)</w:t>
      </w:r>
    </w:p>
    <w:p w14:paraId="3E8517E4" w14:textId="0F815874" w:rsidR="0027170B" w:rsidRDefault="004B410F" w:rsidP="0027170B">
      <w:pPr>
        <w:pStyle w:val="Heading2"/>
      </w:pPr>
      <w:r>
        <w:t>M</w:t>
      </w:r>
      <w:r w:rsidR="0027170B">
        <w:t xml:space="preserve">aximum number of </w:t>
      </w:r>
      <w:r>
        <w:t>C</w:t>
      </w:r>
      <w:r w:rsidR="0027170B">
        <w:t>hroma ALF filter sets</w:t>
      </w:r>
      <w:r w:rsidR="0027170B" w:rsidRPr="00A92E27">
        <w:t xml:space="preserve"> </w:t>
      </w:r>
      <w:r>
        <w:t>(1)</w:t>
      </w:r>
    </w:p>
    <w:p w14:paraId="77D1E39F" w14:textId="4DC998B5" w:rsidR="0027170B" w:rsidRDefault="0027170B" w:rsidP="004A219B">
      <w:pPr>
        <w:pStyle w:val="ListParagraph"/>
        <w:numPr>
          <w:ilvl w:val="0"/>
          <w:numId w:val="9"/>
        </w:numPr>
      </w:pPr>
      <w:r>
        <w:t>JVET-Q0378, “</w:t>
      </w:r>
      <w:r w:rsidRPr="0027170B">
        <w:t>Non-CE5: On t</w:t>
      </w:r>
      <w:r>
        <w:t>he number of ALF Chroma filters”,</w:t>
      </w:r>
      <w:r w:rsidR="003F270A">
        <w:t xml:space="preserve"> </w:t>
      </w:r>
      <w:r w:rsidRPr="0027170B">
        <w:t xml:space="preserve">P. Onno, G. Laroche, N. </w:t>
      </w:r>
      <w:proofErr w:type="spellStart"/>
      <w:r w:rsidRPr="0027170B">
        <w:t>Ouedraogo</w:t>
      </w:r>
      <w:proofErr w:type="spellEnd"/>
      <w:r w:rsidRPr="0027170B">
        <w:t xml:space="preserve"> (Canon)</w:t>
      </w:r>
    </w:p>
    <w:p w14:paraId="221D2C60" w14:textId="482DD776" w:rsidR="004B410F" w:rsidRDefault="004B410F" w:rsidP="004B410F">
      <w:pPr>
        <w:pStyle w:val="Heading2"/>
      </w:pPr>
      <w:r>
        <w:t xml:space="preserve">Prevention of non-zero MTS coefficients </w:t>
      </w:r>
      <w:r w:rsidR="00E55073">
        <w:t>in “zero-out”</w:t>
      </w:r>
      <w:r w:rsidR="004F4A7F">
        <w:t xml:space="preserve"> region</w:t>
      </w:r>
      <w:r w:rsidRPr="00A92E27">
        <w:t xml:space="preserve"> </w:t>
      </w:r>
      <w:r w:rsidR="004F4A7F">
        <w:t>(</w:t>
      </w:r>
      <w:r w:rsidR="002F1E7A">
        <w:t>5</w:t>
      </w:r>
      <w:r w:rsidR="004F4A7F">
        <w:t>)</w:t>
      </w:r>
    </w:p>
    <w:p w14:paraId="0AD6AEB6" w14:textId="52841FF1" w:rsidR="004F4A7F" w:rsidRDefault="004F4A7F" w:rsidP="004A219B">
      <w:pPr>
        <w:pStyle w:val="ListParagraph"/>
        <w:numPr>
          <w:ilvl w:val="0"/>
          <w:numId w:val="10"/>
        </w:numPr>
      </w:pPr>
      <w:r w:rsidRPr="004F4A7F">
        <w:t>JVET-Q0055</w:t>
      </w:r>
      <w:r>
        <w:t>, “</w:t>
      </w:r>
      <w:r w:rsidRPr="004F4A7F">
        <w:t xml:space="preserve">On MTS index </w:t>
      </w:r>
      <w:r>
        <w:t xml:space="preserve">signaling”, </w:t>
      </w:r>
      <w:r w:rsidRPr="004F4A7F">
        <w:t>J. Lainema (Nokia)</w:t>
      </w:r>
    </w:p>
    <w:p w14:paraId="31CA4C73" w14:textId="28AD682B" w:rsidR="004F4A7F" w:rsidRDefault="004F4A7F" w:rsidP="004A219B">
      <w:pPr>
        <w:pStyle w:val="ListParagraph"/>
        <w:numPr>
          <w:ilvl w:val="0"/>
          <w:numId w:val="10"/>
        </w:numPr>
      </w:pPr>
      <w:r w:rsidRPr="004F4A7F">
        <w:t>JVET-Q0057</w:t>
      </w:r>
      <w:r>
        <w:t>, “</w:t>
      </w:r>
      <w:r w:rsidRPr="004F4A7F">
        <w:t>Coefficient group based restriction on MTS signaling</w:t>
      </w:r>
      <w:r>
        <w:t xml:space="preserve">”, </w:t>
      </w:r>
      <w:r w:rsidRPr="004F4A7F">
        <w:t>M. Coban, M. Karczewicz, H.E. Egilmez, V. Seregin (Qualcomm)</w:t>
      </w:r>
    </w:p>
    <w:p w14:paraId="1F81F4AB" w14:textId="7597A007" w:rsidR="004F4A7F" w:rsidRDefault="004F4A7F" w:rsidP="004A219B">
      <w:pPr>
        <w:pStyle w:val="ListParagraph"/>
        <w:numPr>
          <w:ilvl w:val="0"/>
          <w:numId w:val="10"/>
        </w:numPr>
      </w:pPr>
      <w:r w:rsidRPr="004F4A7F">
        <w:t>JVET-Q0136</w:t>
      </w:r>
      <w:r>
        <w:t>, “</w:t>
      </w:r>
      <w:r w:rsidRPr="004F4A7F">
        <w:t xml:space="preserve">Alignment of MTS index </w:t>
      </w:r>
      <w:proofErr w:type="spellStart"/>
      <w:r w:rsidRPr="004F4A7F">
        <w:t>signalling</w:t>
      </w:r>
      <w:proofErr w:type="spellEnd"/>
      <w:r w:rsidRPr="004F4A7F">
        <w:t xml:space="preserve"> condition with MTS zero-out</w:t>
      </w:r>
      <w:r>
        <w:t xml:space="preserve">”, </w:t>
      </w:r>
      <w:r w:rsidRPr="004F4A7F">
        <w:t>M. Koo, M. Salehifar, J. Lim, S. Kim (LGE)</w:t>
      </w:r>
    </w:p>
    <w:p w14:paraId="7C15268B" w14:textId="411FB8D4" w:rsidR="004F4A7F" w:rsidRDefault="004F4A7F" w:rsidP="004A219B">
      <w:pPr>
        <w:pStyle w:val="ListParagraph"/>
        <w:numPr>
          <w:ilvl w:val="0"/>
          <w:numId w:val="10"/>
        </w:numPr>
      </w:pPr>
      <w:r>
        <w:t>JVET-Q0430, “AHG16: Syntax based MTS zero out”,</w:t>
      </w:r>
      <w:r w:rsidR="00DC2B74">
        <w:t xml:space="preserve"> </w:t>
      </w:r>
      <w:r>
        <w:t xml:space="preserve">F. Le </w:t>
      </w:r>
      <w:proofErr w:type="spellStart"/>
      <w:r>
        <w:t>LÃ©annec</w:t>
      </w:r>
      <w:proofErr w:type="spellEnd"/>
      <w:r>
        <w:t xml:space="preserve">, K. </w:t>
      </w:r>
      <w:proofErr w:type="spellStart"/>
      <w:r>
        <w:t>Naser</w:t>
      </w:r>
      <w:proofErr w:type="spellEnd"/>
      <w:r>
        <w:t xml:space="preserve">, F. Galpin, P. </w:t>
      </w:r>
      <w:proofErr w:type="spellStart"/>
      <w:r>
        <w:t>Delagrange</w:t>
      </w:r>
      <w:proofErr w:type="spellEnd"/>
      <w:r>
        <w:t xml:space="preserve"> (</w:t>
      </w:r>
      <w:proofErr w:type="spellStart"/>
      <w:r>
        <w:t>InterDigital</w:t>
      </w:r>
      <w:proofErr w:type="spellEnd"/>
      <w:r>
        <w:t>)</w:t>
      </w:r>
    </w:p>
    <w:p w14:paraId="77E64531" w14:textId="4C6E09B2" w:rsidR="002F1E7A" w:rsidRDefault="002F1E7A" w:rsidP="002F1E7A">
      <w:pPr>
        <w:pStyle w:val="ListParagraph"/>
        <w:numPr>
          <w:ilvl w:val="0"/>
          <w:numId w:val="10"/>
        </w:numPr>
      </w:pPr>
      <w:r>
        <w:t>JVET-Q0448, “</w:t>
      </w:r>
      <w:r w:rsidRPr="002F1E7A">
        <w:t xml:space="preserve">MTS dependent coefficient </w:t>
      </w:r>
      <w:proofErr w:type="spellStart"/>
      <w:r w:rsidRPr="002F1E7A">
        <w:t>subblock</w:t>
      </w:r>
      <w:proofErr w:type="spellEnd"/>
      <w:r w:rsidRPr="002F1E7A">
        <w:t xml:space="preserve"> scanning for zero-out</w:t>
      </w:r>
      <w:r>
        <w:t xml:space="preserve">”, </w:t>
      </w:r>
      <w:r w:rsidRPr="002F1E7A">
        <w:t>S.  De-Luxán-</w:t>
      </w:r>
      <w:proofErr w:type="spellStart"/>
      <w:r w:rsidRPr="002F1E7A">
        <w:t>Hernández,T</w:t>
      </w:r>
      <w:proofErr w:type="spellEnd"/>
      <w:r w:rsidRPr="002F1E7A">
        <w:t xml:space="preserve">. </w:t>
      </w:r>
      <w:proofErr w:type="spellStart"/>
      <w:r w:rsidRPr="002F1E7A">
        <w:t>Nguyen,B</w:t>
      </w:r>
      <w:proofErr w:type="spellEnd"/>
      <w:r w:rsidRPr="002F1E7A">
        <w:t xml:space="preserve">. </w:t>
      </w:r>
      <w:proofErr w:type="spellStart"/>
      <w:r w:rsidRPr="002F1E7A">
        <w:t>Bross,H</w:t>
      </w:r>
      <w:proofErr w:type="spellEnd"/>
      <w:r w:rsidRPr="002F1E7A">
        <w:t xml:space="preserve">. </w:t>
      </w:r>
      <w:proofErr w:type="spellStart"/>
      <w:r w:rsidRPr="002F1E7A">
        <w:t>Schwarz,D</w:t>
      </w:r>
      <w:proofErr w:type="spellEnd"/>
      <w:r w:rsidRPr="002F1E7A">
        <w:t xml:space="preserve">. </w:t>
      </w:r>
      <w:proofErr w:type="spellStart"/>
      <w:r w:rsidRPr="002F1E7A">
        <w:t>Marpe,T</w:t>
      </w:r>
      <w:proofErr w:type="spellEnd"/>
      <w:r w:rsidRPr="002F1E7A">
        <w:t>. Wiegand (HHI)</w:t>
      </w:r>
    </w:p>
    <w:p w14:paraId="2AA7DE1D" w14:textId="2F96B16A" w:rsidR="00C66413" w:rsidRDefault="00C66413" w:rsidP="00C66413">
      <w:pPr>
        <w:pStyle w:val="Heading2"/>
      </w:pPr>
      <w:r>
        <w:t xml:space="preserve">Combination of LFNST </w:t>
      </w:r>
      <w:r w:rsidR="00DC0D90">
        <w:t>with</w:t>
      </w:r>
      <w:r>
        <w:t xml:space="preserve"> Chroma transform skip</w:t>
      </w:r>
      <w:r w:rsidRPr="00A92E27">
        <w:t xml:space="preserve"> </w:t>
      </w:r>
      <w:r w:rsidR="00DC0D90">
        <w:t>(</w:t>
      </w:r>
      <w:r w:rsidR="00C45AB6">
        <w:t>9</w:t>
      </w:r>
      <w:r>
        <w:t>)</w:t>
      </w:r>
    </w:p>
    <w:p w14:paraId="5309FDD1" w14:textId="3A00DA4C" w:rsidR="00C66413" w:rsidRDefault="00C66413" w:rsidP="004A219B">
      <w:pPr>
        <w:pStyle w:val="ListParagraph"/>
        <w:numPr>
          <w:ilvl w:val="0"/>
          <w:numId w:val="11"/>
        </w:numPr>
      </w:pPr>
      <w:r w:rsidRPr="00C66413">
        <w:t>JVET-Q0099</w:t>
      </w:r>
      <w:r>
        <w:t>, “</w:t>
      </w:r>
      <w:r w:rsidRPr="00C66413">
        <w:t>On Interaction of LFNST and Transform Skip</w:t>
      </w:r>
      <w:r>
        <w:t xml:space="preserve">”, </w:t>
      </w:r>
      <w:r w:rsidRPr="00C66413">
        <w:t xml:space="preserve">T. Tsukuba, M. Ikeda, Y. </w:t>
      </w:r>
      <w:proofErr w:type="spellStart"/>
      <w:r w:rsidRPr="00C66413">
        <w:t>Yagasaki</w:t>
      </w:r>
      <w:proofErr w:type="spellEnd"/>
      <w:r w:rsidRPr="00C66413">
        <w:t>, T. Suzuki (Sony)</w:t>
      </w:r>
    </w:p>
    <w:p w14:paraId="4DC3596B" w14:textId="4C1C55A9" w:rsidR="00C66413" w:rsidRDefault="00C66413" w:rsidP="004A219B">
      <w:pPr>
        <w:pStyle w:val="ListParagraph"/>
        <w:numPr>
          <w:ilvl w:val="0"/>
          <w:numId w:val="11"/>
        </w:numPr>
      </w:pPr>
      <w:r w:rsidRPr="00C66413">
        <w:t>JVET-Q0103</w:t>
      </w:r>
      <w:r>
        <w:t>, “</w:t>
      </w:r>
      <w:r w:rsidRPr="00C66413">
        <w:t>LFNST Signaling for Chroma based on Chroma Transform Skip Flags</w:t>
      </w:r>
      <w:r>
        <w:t xml:space="preserve">”, </w:t>
      </w:r>
      <w:r w:rsidRPr="00C66413">
        <w:t>H.E. Egilmez, A. Nalci, M. Coban, V. Seregin, M. Karczewicz (Qualcomm)</w:t>
      </w:r>
    </w:p>
    <w:p w14:paraId="550F9512" w14:textId="790283F7" w:rsidR="00C66413" w:rsidRDefault="00C66413" w:rsidP="004A219B">
      <w:pPr>
        <w:pStyle w:val="ListParagraph"/>
        <w:numPr>
          <w:ilvl w:val="0"/>
          <w:numId w:val="11"/>
        </w:numPr>
      </w:pPr>
      <w:r>
        <w:t>JVET-Q0106, “AHG16: Combination of LFNST with transform skip”,</w:t>
      </w:r>
      <w:r w:rsidR="00DC2B74">
        <w:t xml:space="preserve"> </w:t>
      </w:r>
      <w:r>
        <w:t>B. Heng, T. Hellman, M. Zhou, W. Wan (Broadcom)</w:t>
      </w:r>
    </w:p>
    <w:p w14:paraId="44F95381" w14:textId="3DE84128" w:rsidR="00BB7B0F" w:rsidRDefault="00BB7B0F" w:rsidP="00BB7B0F">
      <w:pPr>
        <w:pStyle w:val="ListParagraph"/>
        <w:numPr>
          <w:ilvl w:val="0"/>
          <w:numId w:val="11"/>
        </w:numPr>
      </w:pPr>
      <w:r w:rsidRPr="00BB7B0F">
        <w:lastRenderedPageBreak/>
        <w:t>JVET-Q0126</w:t>
      </w:r>
      <w:r>
        <w:t>, “</w:t>
      </w:r>
      <w:r w:rsidRPr="00BB7B0F">
        <w:t>Initializations and propagation of Chroma QP Offset</w:t>
      </w:r>
      <w:r>
        <w:t xml:space="preserve">”, </w:t>
      </w:r>
      <w:r w:rsidRPr="00BB7B0F">
        <w:t>K. Kawamura, S. Naito (KDDI)</w:t>
      </w:r>
    </w:p>
    <w:p w14:paraId="7A5E8DA3" w14:textId="0CE2AA55" w:rsidR="00900773" w:rsidRDefault="00900773" w:rsidP="004A219B">
      <w:pPr>
        <w:pStyle w:val="ListParagraph"/>
        <w:numPr>
          <w:ilvl w:val="0"/>
          <w:numId w:val="11"/>
        </w:numPr>
      </w:pPr>
      <w:r w:rsidRPr="00900773">
        <w:t>JVET-Q0138</w:t>
      </w:r>
      <w:r>
        <w:t>, “</w:t>
      </w:r>
      <w:r w:rsidRPr="00900773">
        <w:t xml:space="preserve">Separate transform skip checking of </w:t>
      </w:r>
      <w:proofErr w:type="spellStart"/>
      <w:r w:rsidRPr="00900773">
        <w:t>Luma</w:t>
      </w:r>
      <w:proofErr w:type="spellEnd"/>
      <w:r w:rsidRPr="00900773">
        <w:t xml:space="preserve"> and Chroma for LFNST index </w:t>
      </w:r>
      <w:r>
        <w:t xml:space="preserve">signaling”, </w:t>
      </w:r>
      <w:r w:rsidRPr="00900773">
        <w:t>M. Koo, M. Salehifar, J. Lim, S. Kim (LGE)</w:t>
      </w:r>
    </w:p>
    <w:p w14:paraId="6F5EA78F" w14:textId="23C7C3D7" w:rsidR="00DC0D90" w:rsidRDefault="00DC0D90" w:rsidP="004A219B">
      <w:pPr>
        <w:pStyle w:val="ListParagraph"/>
        <w:numPr>
          <w:ilvl w:val="0"/>
          <w:numId w:val="11"/>
        </w:numPr>
      </w:pPr>
      <w:r w:rsidRPr="00DC0D90">
        <w:t>JVET-Q0193</w:t>
      </w:r>
      <w:r>
        <w:t>, “</w:t>
      </w:r>
      <w:r w:rsidRPr="00DC0D90">
        <w:t xml:space="preserve">LFNST </w:t>
      </w:r>
      <w:proofErr w:type="spellStart"/>
      <w:r w:rsidRPr="00DC0D90">
        <w:t>signalling</w:t>
      </w:r>
      <w:proofErr w:type="spellEnd"/>
      <w:r w:rsidRPr="00DC0D90">
        <w:t xml:space="preserve"> cleanup with TS checking</w:t>
      </w:r>
      <w:r>
        <w:t xml:space="preserve">”, </w:t>
      </w:r>
      <w:r w:rsidRPr="00DC0D90">
        <w:t>M.-S. Chiang, C.-W. Hsu, C.-M. Tsai, T.-D. Chuang, C.-Y. Chen, Y.-W. Huang, S.-M. Lei (</w:t>
      </w:r>
      <w:proofErr w:type="spellStart"/>
      <w:r w:rsidRPr="00DC0D90">
        <w:t>MediaTek</w:t>
      </w:r>
      <w:proofErr w:type="spellEnd"/>
      <w:r w:rsidRPr="00DC0D90">
        <w:t>)</w:t>
      </w:r>
    </w:p>
    <w:p w14:paraId="41B0E5CC" w14:textId="043D3660" w:rsidR="00DC0D90" w:rsidRDefault="00DC0D90" w:rsidP="004A219B">
      <w:pPr>
        <w:pStyle w:val="ListParagraph"/>
        <w:numPr>
          <w:ilvl w:val="0"/>
          <w:numId w:val="11"/>
        </w:numPr>
      </w:pPr>
      <w:r w:rsidRPr="00DC0D90">
        <w:t>JVET-Q0328</w:t>
      </w:r>
      <w:r>
        <w:t>, “</w:t>
      </w:r>
      <w:r w:rsidRPr="00DC0D90">
        <w:t xml:space="preserve">On LFNST </w:t>
      </w:r>
      <w:proofErr w:type="spellStart"/>
      <w:r w:rsidRPr="00DC0D90">
        <w:t>signalling</w:t>
      </w:r>
      <w:proofErr w:type="spellEnd"/>
      <w:r w:rsidRPr="00DC0D90">
        <w:t xml:space="preserve"> and transform skip</w:t>
      </w:r>
      <w:r>
        <w:t xml:space="preserve">”, </w:t>
      </w:r>
      <w:r w:rsidRPr="00DC0D90">
        <w:t>C. Rosewarne, J. Gan (Canon)</w:t>
      </w:r>
    </w:p>
    <w:p w14:paraId="72CF9F3F" w14:textId="708D8A99" w:rsidR="004B410F" w:rsidRDefault="00DC0D90" w:rsidP="004A219B">
      <w:pPr>
        <w:pStyle w:val="ListParagraph"/>
        <w:numPr>
          <w:ilvl w:val="0"/>
          <w:numId w:val="11"/>
        </w:numPr>
      </w:pPr>
      <w:r w:rsidRPr="00DC0D90">
        <w:t>JVET-Q0499</w:t>
      </w:r>
      <w:r>
        <w:t>, “</w:t>
      </w:r>
      <w:r w:rsidRPr="00DC0D90">
        <w:t>On LFNST signaling with Transform-skip mode</w:t>
      </w:r>
      <w:r>
        <w:t xml:space="preserve">”, </w:t>
      </w:r>
      <w:r w:rsidRPr="00DC0D90">
        <w:t>T.-C. Ma, X. Xiu, Y.-W. Chen, H.-J. Jhu, X. Wang (</w:t>
      </w:r>
      <w:proofErr w:type="spellStart"/>
      <w:r w:rsidRPr="00DC0D90">
        <w:t>Kwai</w:t>
      </w:r>
      <w:proofErr w:type="spellEnd"/>
      <w:r w:rsidRPr="00DC0D90">
        <w:t xml:space="preserve"> Inc.)</w:t>
      </w:r>
    </w:p>
    <w:p w14:paraId="6CC23C72" w14:textId="54E3355C" w:rsidR="00A21E6B" w:rsidRDefault="00A21E6B" w:rsidP="00A21E6B">
      <w:pPr>
        <w:pStyle w:val="ListParagraph"/>
        <w:numPr>
          <w:ilvl w:val="0"/>
          <w:numId w:val="11"/>
        </w:numPr>
      </w:pPr>
      <w:r w:rsidRPr="00A21E6B">
        <w:t>JVET-Q0529</w:t>
      </w:r>
      <w:r>
        <w:t>, “</w:t>
      </w:r>
      <w:r w:rsidRPr="00A21E6B">
        <w:t xml:space="preserve">On LFNST index and MTS index </w:t>
      </w:r>
      <w:r>
        <w:t xml:space="preserve">signaling”, </w:t>
      </w:r>
      <w:r w:rsidRPr="00A21E6B">
        <w:t>Z.-Y. Lin, M.-S. Chiang, T.-D. Chuang, C.-Y. Chen, C.-W. Hsu, Y.-W. Huang, S.-M. Lei (</w:t>
      </w:r>
      <w:proofErr w:type="spellStart"/>
      <w:r w:rsidRPr="00A21E6B">
        <w:t>MediaTek</w:t>
      </w:r>
      <w:proofErr w:type="spellEnd"/>
      <w:r w:rsidRPr="00A21E6B">
        <w:t>)</w:t>
      </w:r>
    </w:p>
    <w:p w14:paraId="28D3D6EB" w14:textId="2A7DA48E" w:rsidR="00ED7272" w:rsidRDefault="00ED7272" w:rsidP="00ED7272">
      <w:pPr>
        <w:pStyle w:val="Heading2"/>
      </w:pPr>
      <w:r>
        <w:t>Parallel merge</w:t>
      </w:r>
      <w:r w:rsidR="00DD163C">
        <w:t xml:space="preserve"> and merge estimation region</w:t>
      </w:r>
      <w:r w:rsidRPr="00A92E27">
        <w:t xml:space="preserve"> </w:t>
      </w:r>
      <w:r>
        <w:t>(3)</w:t>
      </w:r>
    </w:p>
    <w:p w14:paraId="2D8C9DFB" w14:textId="77777777" w:rsidR="00ED7272" w:rsidRDefault="00ED7272" w:rsidP="004A219B">
      <w:pPr>
        <w:pStyle w:val="ListParagraph"/>
        <w:numPr>
          <w:ilvl w:val="0"/>
          <w:numId w:val="12"/>
        </w:numPr>
      </w:pPr>
      <w:r>
        <w:t>JVET-Q0185, “AHG16: On merge estimation region for VVC”,</w:t>
      </w:r>
      <w:r>
        <w:tab/>
        <w:t>Y.-L. Hsiao, C.-C. Chen, C.-W. Hsu, T.-D. Chuang, C.-Y. Chen, Y.-W. Huang, S.-M. Lei (</w:t>
      </w:r>
      <w:proofErr w:type="spellStart"/>
      <w:r>
        <w:t>MediaTek</w:t>
      </w:r>
      <w:proofErr w:type="spellEnd"/>
      <w:r>
        <w:t>), H. Huang, W.-J. Chien, T. Hsieh, V. Seregin, C.-C. Chen, K. Reuze, M. Karczewicz (Qualcomm)</w:t>
      </w:r>
      <w:r w:rsidRPr="00ED7272">
        <w:t xml:space="preserve"> </w:t>
      </w:r>
    </w:p>
    <w:p w14:paraId="78923255" w14:textId="3045F7D4" w:rsidR="00ED7272" w:rsidRDefault="00ED7272" w:rsidP="004A219B">
      <w:pPr>
        <w:pStyle w:val="ListParagraph"/>
        <w:numPr>
          <w:ilvl w:val="0"/>
          <w:numId w:val="12"/>
        </w:numPr>
      </w:pPr>
      <w:r>
        <w:t>JVET-Q0297, “AHG16: Merge estimation region with constrain in HMVP update”,</w:t>
      </w:r>
      <w:r w:rsidR="00DC2B74">
        <w:t xml:space="preserve"> </w:t>
      </w:r>
      <w:r>
        <w:t>H. Huang, W.-J. Chien, T. Hsieh, V. Seregin, C.-C. Chen, K. Reuze, M. Karczewicz (Qualcomm)</w:t>
      </w:r>
    </w:p>
    <w:p w14:paraId="2F2D0B33" w14:textId="074153FA" w:rsidR="00ED7272" w:rsidRDefault="00ED7272" w:rsidP="004A219B">
      <w:pPr>
        <w:pStyle w:val="ListParagraph"/>
        <w:numPr>
          <w:ilvl w:val="0"/>
          <w:numId w:val="12"/>
        </w:numPr>
      </w:pPr>
      <w:r>
        <w:t>JVET-Q0356, “AHG16: Parallel Merge Estimation for VVC”,</w:t>
      </w:r>
      <w:r>
        <w:tab/>
        <w:t>S. Esenlik, H. Gao, B. Wang, A. M. Kotra, E. Alshina (Huawei), Y.-L. Hsiao, C.-C. Chen, C.-W. Hsu, T.-D. Chuang, C.-Y. Chen, Y.-W. Huang, S.-M. Lei (</w:t>
      </w:r>
      <w:proofErr w:type="spellStart"/>
      <w:r>
        <w:t>MediaTek</w:t>
      </w:r>
      <w:proofErr w:type="spellEnd"/>
      <w:r>
        <w:t>)</w:t>
      </w:r>
    </w:p>
    <w:p w14:paraId="01C40C8B" w14:textId="342D7283" w:rsidR="00DD163C" w:rsidRDefault="00DD163C" w:rsidP="00DD163C">
      <w:pPr>
        <w:pStyle w:val="Heading2"/>
      </w:pPr>
      <w:r>
        <w:t>VVC decoder implementation</w:t>
      </w:r>
      <w:r w:rsidRPr="00A92E27">
        <w:t xml:space="preserve"> </w:t>
      </w:r>
      <w:r>
        <w:t>(2)</w:t>
      </w:r>
    </w:p>
    <w:p w14:paraId="3A20AADD" w14:textId="703F5261" w:rsidR="00DD163C" w:rsidRDefault="00DD163C" w:rsidP="004A219B">
      <w:pPr>
        <w:pStyle w:val="ListParagraph"/>
        <w:numPr>
          <w:ilvl w:val="0"/>
          <w:numId w:val="13"/>
        </w:numPr>
      </w:pPr>
      <w:r>
        <w:t>JVET-Q0211, “AHG16: VVC software decoder and performance analysis”,</w:t>
      </w:r>
      <w:r w:rsidR="00DC2B74">
        <w:t xml:space="preserve"> </w:t>
      </w:r>
      <w:r>
        <w:t xml:space="preserve">S. </w:t>
      </w:r>
      <w:proofErr w:type="spellStart"/>
      <w:r>
        <w:t>Gudumasu</w:t>
      </w:r>
      <w:proofErr w:type="spellEnd"/>
      <w:r>
        <w:t>, S. Bandyopadhyay, A. Srivastava, Y. He, Y. He (</w:t>
      </w:r>
      <w:proofErr w:type="spellStart"/>
      <w:r>
        <w:t>InterDigital</w:t>
      </w:r>
      <w:proofErr w:type="spellEnd"/>
      <w:r>
        <w:t>)</w:t>
      </w:r>
    </w:p>
    <w:p w14:paraId="2222B704" w14:textId="5EA9C964" w:rsidR="00ED7272" w:rsidRDefault="00DD163C" w:rsidP="004A219B">
      <w:pPr>
        <w:pStyle w:val="ListParagraph"/>
        <w:numPr>
          <w:ilvl w:val="0"/>
          <w:numId w:val="13"/>
        </w:numPr>
      </w:pPr>
      <w:r>
        <w:t>JVET-Q0386, “AHG16: Feature-rich implementation of VVC real-time decoding and playback on ARM based mobile clients”,</w:t>
      </w:r>
      <w:r>
        <w:tab/>
      </w:r>
      <w:proofErr w:type="spellStart"/>
      <w:r>
        <w:t>J.Arumugam</w:t>
      </w:r>
      <w:proofErr w:type="spellEnd"/>
      <w:r>
        <w:t xml:space="preserve">, </w:t>
      </w:r>
      <w:proofErr w:type="spellStart"/>
      <w:r>
        <w:t>S.Kotecha</w:t>
      </w:r>
      <w:proofErr w:type="spellEnd"/>
      <w:r>
        <w:t xml:space="preserve">, </w:t>
      </w:r>
      <w:proofErr w:type="spellStart"/>
      <w:r>
        <w:t>S.Ramamurthy</w:t>
      </w:r>
      <w:proofErr w:type="spellEnd"/>
      <w:r w:rsidR="00342435">
        <w:t xml:space="preserve"> </w:t>
      </w:r>
      <w:r>
        <w:t>(</w:t>
      </w:r>
      <w:proofErr w:type="spellStart"/>
      <w:r>
        <w:t>Ittiam</w:t>
      </w:r>
      <w:proofErr w:type="spellEnd"/>
      <w:r>
        <w:t>)</w:t>
      </w:r>
    </w:p>
    <w:p w14:paraId="0A31285F" w14:textId="19417D13" w:rsidR="004651C4" w:rsidRDefault="004651C4" w:rsidP="00165EB9">
      <w:pPr>
        <w:pStyle w:val="Heading2"/>
      </w:pPr>
      <w:r>
        <w:t>Other AHG16-related contributions</w:t>
      </w:r>
      <w:r w:rsidR="00DD163C">
        <w:t xml:space="preserve"> (</w:t>
      </w:r>
      <w:r w:rsidR="00DC2B74">
        <w:t>4</w:t>
      </w:r>
      <w:r w:rsidR="00DD163C">
        <w:t>)</w:t>
      </w:r>
    </w:p>
    <w:p w14:paraId="7A8D5551" w14:textId="33F54A5B" w:rsidR="00DC2B74" w:rsidRDefault="00DC2796" w:rsidP="004A219B">
      <w:pPr>
        <w:pStyle w:val="ListParagraph"/>
        <w:numPr>
          <w:ilvl w:val="0"/>
          <w:numId w:val="15"/>
        </w:numPr>
      </w:pPr>
      <w:r>
        <w:t>JVET-Q0495, “AHG16: Simplified clip ranges for NL-ALF”,</w:t>
      </w:r>
      <w:r w:rsidR="00D0041F">
        <w:t xml:space="preserve"> </w:t>
      </w:r>
      <w:r>
        <w:t>Y.-W. Chen, X. Xiu, T.-C. Ma, H.-J. Jhu, X. Wang (</w:t>
      </w:r>
      <w:proofErr w:type="spellStart"/>
      <w:r>
        <w:t>Kwai</w:t>
      </w:r>
      <w:proofErr w:type="spellEnd"/>
      <w:r>
        <w:t xml:space="preserve"> Inc.)</w:t>
      </w:r>
    </w:p>
    <w:p w14:paraId="37ED1750" w14:textId="643247F8" w:rsidR="00DC2B74" w:rsidRDefault="00DC2796" w:rsidP="004A219B">
      <w:pPr>
        <w:pStyle w:val="ListParagraph"/>
        <w:numPr>
          <w:ilvl w:val="0"/>
          <w:numId w:val="15"/>
        </w:numPr>
      </w:pPr>
      <w:r>
        <w:t xml:space="preserve">JVET-Q0496, “AHG16: On motion shift derivation of </w:t>
      </w:r>
      <w:proofErr w:type="spellStart"/>
      <w:r>
        <w:t>SbTMVP</w:t>
      </w:r>
      <w:proofErr w:type="spellEnd"/>
      <w:r>
        <w:tab/>
      </w:r>
      <w:r w:rsidR="00C34261">
        <w:t>“</w:t>
      </w:r>
      <w:r>
        <w:t>,</w:t>
      </w:r>
      <w:r w:rsidR="00D0041F">
        <w:t xml:space="preserve"> </w:t>
      </w:r>
      <w:r>
        <w:t>Y.-W. Chen, X. Xiu, T.-C. Ma, H.-J. Jhu, X. Wang (</w:t>
      </w:r>
      <w:proofErr w:type="spellStart"/>
      <w:r>
        <w:t>Kwai</w:t>
      </w:r>
      <w:proofErr w:type="spellEnd"/>
      <w:r>
        <w:t xml:space="preserve"> Inc.)</w:t>
      </w:r>
    </w:p>
    <w:p w14:paraId="10F1786E" w14:textId="77FFD6CC" w:rsidR="00DC2B74" w:rsidRDefault="00DC2796" w:rsidP="004A219B">
      <w:pPr>
        <w:pStyle w:val="ListParagraph"/>
        <w:numPr>
          <w:ilvl w:val="0"/>
          <w:numId w:val="15"/>
        </w:numPr>
      </w:pPr>
      <w:r>
        <w:t>JVET-Q0500, “AHG16: On derivation of CCLM predictors”,</w:t>
      </w:r>
      <w:r w:rsidR="00D0041F">
        <w:t xml:space="preserve"> </w:t>
      </w:r>
      <w:r>
        <w:t>Y.-W. Chen, X. Xiu, T.-C. Ma, H.-J. Jhu, X. Wang (</w:t>
      </w:r>
      <w:proofErr w:type="spellStart"/>
      <w:r>
        <w:t>Kwai</w:t>
      </w:r>
      <w:proofErr w:type="spellEnd"/>
      <w:r>
        <w:t xml:space="preserve"> Inc.)</w:t>
      </w:r>
    </w:p>
    <w:p w14:paraId="094CF9A6" w14:textId="2CE04AEB" w:rsidR="00DC2796" w:rsidRPr="00C11AFF" w:rsidRDefault="00DC2796" w:rsidP="004A219B">
      <w:pPr>
        <w:pStyle w:val="ListParagraph"/>
        <w:numPr>
          <w:ilvl w:val="0"/>
          <w:numId w:val="15"/>
        </w:numPr>
      </w:pPr>
      <w:r>
        <w:t>JVET-Q0513, “AHG16: Clipping residual samples for JCCR”,</w:t>
      </w:r>
      <w:r w:rsidR="00D0041F">
        <w:t xml:space="preserve"> </w:t>
      </w:r>
      <w:r>
        <w:t>X. Xiu, Y.-W. Chen, T.-C. Ma, H.-J. Jhu, X. Wang (</w:t>
      </w:r>
      <w:proofErr w:type="spellStart"/>
      <w:r>
        <w:t>Kwai</w:t>
      </w:r>
      <w:proofErr w:type="spellEnd"/>
      <w:r>
        <w:t>)</w:t>
      </w:r>
      <w:r>
        <w:cr/>
      </w:r>
    </w:p>
    <w:p w14:paraId="12EFE82D"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1E2C3554" w14:textId="48F46458" w:rsidR="00693CE0" w:rsidRPr="00ED4DD5" w:rsidRDefault="00A723CB" w:rsidP="00126C52">
      <w:pPr>
        <w:ind w:left="360"/>
      </w:pPr>
      <w:r>
        <w:rPr>
          <w:lang w:val="en-CA"/>
        </w:rPr>
        <w:t>The AHG recommends reviewing the input contributions.</w:t>
      </w:r>
    </w:p>
    <w:sectPr w:rsidR="00693CE0" w:rsidRPr="00ED4DD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B2491" w14:textId="77777777" w:rsidR="00D325C0" w:rsidRDefault="00D325C0">
      <w:r>
        <w:separator/>
      </w:r>
    </w:p>
  </w:endnote>
  <w:endnote w:type="continuationSeparator" w:id="0">
    <w:p w14:paraId="2F322436" w14:textId="77777777" w:rsidR="00D325C0" w:rsidRDefault="00D3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1AFAF06" w:rsidR="00537F17" w:rsidRPr="00C00DDE" w:rsidRDefault="00537F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B53B5">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53B5">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D4C90" w14:textId="77777777" w:rsidR="00D325C0" w:rsidRDefault="00D325C0">
      <w:r>
        <w:separator/>
      </w:r>
    </w:p>
  </w:footnote>
  <w:footnote w:type="continuationSeparator" w:id="0">
    <w:p w14:paraId="082AEA8D" w14:textId="77777777" w:rsidR="00D325C0" w:rsidRDefault="00D32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C22AF"/>
    <w:multiLevelType w:val="hybridMultilevel"/>
    <w:tmpl w:val="B24A53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C22B1"/>
    <w:multiLevelType w:val="hybridMultilevel"/>
    <w:tmpl w:val="9E5490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0677D"/>
    <w:multiLevelType w:val="hybridMultilevel"/>
    <w:tmpl w:val="76983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0B47FC"/>
    <w:multiLevelType w:val="hybridMultilevel"/>
    <w:tmpl w:val="C2DACF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8B43E4"/>
    <w:multiLevelType w:val="hybridMultilevel"/>
    <w:tmpl w:val="8F3EE846"/>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26D565B8"/>
    <w:multiLevelType w:val="multilevel"/>
    <w:tmpl w:val="FB08F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2535229"/>
    <w:multiLevelType w:val="hybridMultilevel"/>
    <w:tmpl w:val="6B18D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950523"/>
    <w:multiLevelType w:val="hybridMultilevel"/>
    <w:tmpl w:val="BE2661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F4229"/>
    <w:multiLevelType w:val="hybridMultilevel"/>
    <w:tmpl w:val="4E8A5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AF424B"/>
    <w:multiLevelType w:val="hybridMultilevel"/>
    <w:tmpl w:val="F12018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BB42BE"/>
    <w:multiLevelType w:val="hybridMultilevel"/>
    <w:tmpl w:val="7DC8E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447C76"/>
    <w:multiLevelType w:val="hybridMultilevel"/>
    <w:tmpl w:val="8398BE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D7D2671"/>
    <w:multiLevelType w:val="hybridMultilevel"/>
    <w:tmpl w:val="0B681514"/>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D77873"/>
    <w:multiLevelType w:val="hybridMultilevel"/>
    <w:tmpl w:val="668800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9B2A74"/>
    <w:multiLevelType w:val="hybridMultilevel"/>
    <w:tmpl w:val="193EAC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AAA1F56"/>
    <w:multiLevelType w:val="hybridMultilevel"/>
    <w:tmpl w:val="DDD831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1"/>
  </w:num>
  <w:num w:numId="4">
    <w:abstractNumId w:val="13"/>
  </w:num>
  <w:num w:numId="5">
    <w:abstractNumId w:val="3"/>
  </w:num>
  <w:num w:numId="6">
    <w:abstractNumId w:val="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9"/>
  </w:num>
  <w:num w:numId="11">
    <w:abstractNumId w:val="1"/>
  </w:num>
  <w:num w:numId="12">
    <w:abstractNumId w:val="14"/>
  </w:num>
  <w:num w:numId="13">
    <w:abstractNumId w:val="16"/>
  </w:num>
  <w:num w:numId="14">
    <w:abstractNumId w:val="7"/>
  </w:num>
  <w:num w:numId="15">
    <w:abstractNumId w:val="15"/>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20907"/>
    <w:rsid w:val="000308A3"/>
    <w:rsid w:val="000314A6"/>
    <w:rsid w:val="00035741"/>
    <w:rsid w:val="0003771F"/>
    <w:rsid w:val="0004025F"/>
    <w:rsid w:val="00040513"/>
    <w:rsid w:val="0004113C"/>
    <w:rsid w:val="00044C72"/>
    <w:rsid w:val="000458BC"/>
    <w:rsid w:val="00045C41"/>
    <w:rsid w:val="00046C03"/>
    <w:rsid w:val="000512A6"/>
    <w:rsid w:val="00054362"/>
    <w:rsid w:val="00057932"/>
    <w:rsid w:val="0006098B"/>
    <w:rsid w:val="00063366"/>
    <w:rsid w:val="00065039"/>
    <w:rsid w:val="00075699"/>
    <w:rsid w:val="0007614F"/>
    <w:rsid w:val="00076C25"/>
    <w:rsid w:val="00085BE2"/>
    <w:rsid w:val="00091B0F"/>
    <w:rsid w:val="00092AE9"/>
    <w:rsid w:val="00093427"/>
    <w:rsid w:val="000957D6"/>
    <w:rsid w:val="000962EE"/>
    <w:rsid w:val="000A0AF5"/>
    <w:rsid w:val="000A0CC3"/>
    <w:rsid w:val="000A1929"/>
    <w:rsid w:val="000A1BC3"/>
    <w:rsid w:val="000A6BD3"/>
    <w:rsid w:val="000A739A"/>
    <w:rsid w:val="000B0C0F"/>
    <w:rsid w:val="000B1C6B"/>
    <w:rsid w:val="000B4FF9"/>
    <w:rsid w:val="000C09AC"/>
    <w:rsid w:val="000C2785"/>
    <w:rsid w:val="000D3099"/>
    <w:rsid w:val="000D44BB"/>
    <w:rsid w:val="000D6EC3"/>
    <w:rsid w:val="000E00F3"/>
    <w:rsid w:val="000E0B37"/>
    <w:rsid w:val="000E1377"/>
    <w:rsid w:val="000E48AA"/>
    <w:rsid w:val="000E4DDE"/>
    <w:rsid w:val="000E6746"/>
    <w:rsid w:val="000E7FA0"/>
    <w:rsid w:val="000F158C"/>
    <w:rsid w:val="00100FBD"/>
    <w:rsid w:val="00102F3D"/>
    <w:rsid w:val="00104A5F"/>
    <w:rsid w:val="00111118"/>
    <w:rsid w:val="001138B0"/>
    <w:rsid w:val="00114623"/>
    <w:rsid w:val="00115046"/>
    <w:rsid w:val="00117B41"/>
    <w:rsid w:val="00124E38"/>
    <w:rsid w:val="0012580B"/>
    <w:rsid w:val="00126C52"/>
    <w:rsid w:val="00127D37"/>
    <w:rsid w:val="00131F90"/>
    <w:rsid w:val="0013458C"/>
    <w:rsid w:val="00135245"/>
    <w:rsid w:val="0013526E"/>
    <w:rsid w:val="0014067E"/>
    <w:rsid w:val="00146152"/>
    <w:rsid w:val="00146ADF"/>
    <w:rsid w:val="00150359"/>
    <w:rsid w:val="0015409D"/>
    <w:rsid w:val="00155526"/>
    <w:rsid w:val="00157581"/>
    <w:rsid w:val="00160264"/>
    <w:rsid w:val="0016229B"/>
    <w:rsid w:val="0016335F"/>
    <w:rsid w:val="00164B58"/>
    <w:rsid w:val="00165CCD"/>
    <w:rsid w:val="00165EB9"/>
    <w:rsid w:val="00167A6C"/>
    <w:rsid w:val="00171371"/>
    <w:rsid w:val="0017171A"/>
    <w:rsid w:val="00175A24"/>
    <w:rsid w:val="00180868"/>
    <w:rsid w:val="00187E58"/>
    <w:rsid w:val="001A0F79"/>
    <w:rsid w:val="001A297E"/>
    <w:rsid w:val="001A368E"/>
    <w:rsid w:val="001A45B5"/>
    <w:rsid w:val="001A7329"/>
    <w:rsid w:val="001A792F"/>
    <w:rsid w:val="001B24FA"/>
    <w:rsid w:val="001B4E28"/>
    <w:rsid w:val="001B5056"/>
    <w:rsid w:val="001B53B5"/>
    <w:rsid w:val="001B6433"/>
    <w:rsid w:val="001C3525"/>
    <w:rsid w:val="001C3AFB"/>
    <w:rsid w:val="001D1BD2"/>
    <w:rsid w:val="001D4D28"/>
    <w:rsid w:val="001D7C19"/>
    <w:rsid w:val="001E02BE"/>
    <w:rsid w:val="001E1D44"/>
    <w:rsid w:val="001E273C"/>
    <w:rsid w:val="001E3613"/>
    <w:rsid w:val="001E3B37"/>
    <w:rsid w:val="001E61C4"/>
    <w:rsid w:val="001F1210"/>
    <w:rsid w:val="001F2312"/>
    <w:rsid w:val="001F2594"/>
    <w:rsid w:val="001F4C2D"/>
    <w:rsid w:val="001F50F2"/>
    <w:rsid w:val="002003E2"/>
    <w:rsid w:val="00204279"/>
    <w:rsid w:val="002055A6"/>
    <w:rsid w:val="002060E9"/>
    <w:rsid w:val="00206460"/>
    <w:rsid w:val="002069B4"/>
    <w:rsid w:val="00207E8C"/>
    <w:rsid w:val="002118DA"/>
    <w:rsid w:val="002124D1"/>
    <w:rsid w:val="00215DFC"/>
    <w:rsid w:val="00216A17"/>
    <w:rsid w:val="00216F69"/>
    <w:rsid w:val="002212A6"/>
    <w:rsid w:val="002212DF"/>
    <w:rsid w:val="0022157E"/>
    <w:rsid w:val="0022285C"/>
    <w:rsid w:val="00222CD4"/>
    <w:rsid w:val="0022301C"/>
    <w:rsid w:val="00223628"/>
    <w:rsid w:val="00225016"/>
    <w:rsid w:val="002264A6"/>
    <w:rsid w:val="00227BA7"/>
    <w:rsid w:val="0023011C"/>
    <w:rsid w:val="00231550"/>
    <w:rsid w:val="00236D13"/>
    <w:rsid w:val="002375C1"/>
    <w:rsid w:val="0024039D"/>
    <w:rsid w:val="00246756"/>
    <w:rsid w:val="00246E62"/>
    <w:rsid w:val="00254946"/>
    <w:rsid w:val="00256112"/>
    <w:rsid w:val="00260A20"/>
    <w:rsid w:val="00263398"/>
    <w:rsid w:val="00263608"/>
    <w:rsid w:val="002647AC"/>
    <w:rsid w:val="00264E57"/>
    <w:rsid w:val="00265D86"/>
    <w:rsid w:val="00266F06"/>
    <w:rsid w:val="0027170B"/>
    <w:rsid w:val="00275BCF"/>
    <w:rsid w:val="00280531"/>
    <w:rsid w:val="00287CE6"/>
    <w:rsid w:val="00291E36"/>
    <w:rsid w:val="00292257"/>
    <w:rsid w:val="002929C7"/>
    <w:rsid w:val="002956B6"/>
    <w:rsid w:val="002A54E0"/>
    <w:rsid w:val="002B1595"/>
    <w:rsid w:val="002B191D"/>
    <w:rsid w:val="002B585B"/>
    <w:rsid w:val="002C50BD"/>
    <w:rsid w:val="002C5D8C"/>
    <w:rsid w:val="002C6549"/>
    <w:rsid w:val="002C675A"/>
    <w:rsid w:val="002C6D13"/>
    <w:rsid w:val="002C75B5"/>
    <w:rsid w:val="002C7CEF"/>
    <w:rsid w:val="002D0AF6"/>
    <w:rsid w:val="002D0C6B"/>
    <w:rsid w:val="002D2071"/>
    <w:rsid w:val="002E2C19"/>
    <w:rsid w:val="002E6357"/>
    <w:rsid w:val="002E65D9"/>
    <w:rsid w:val="002F164D"/>
    <w:rsid w:val="002F197E"/>
    <w:rsid w:val="002F1E7A"/>
    <w:rsid w:val="002F5A3A"/>
    <w:rsid w:val="003021BC"/>
    <w:rsid w:val="00303627"/>
    <w:rsid w:val="003048F2"/>
    <w:rsid w:val="00306206"/>
    <w:rsid w:val="00307999"/>
    <w:rsid w:val="00316253"/>
    <w:rsid w:val="00317D85"/>
    <w:rsid w:val="00320BC5"/>
    <w:rsid w:val="00320E67"/>
    <w:rsid w:val="0032421A"/>
    <w:rsid w:val="00327C56"/>
    <w:rsid w:val="003315A1"/>
    <w:rsid w:val="003372CA"/>
    <w:rsid w:val="003373EC"/>
    <w:rsid w:val="0034077A"/>
    <w:rsid w:val="00341926"/>
    <w:rsid w:val="00342435"/>
    <w:rsid w:val="00342DAC"/>
    <w:rsid w:val="00342FF4"/>
    <w:rsid w:val="00346148"/>
    <w:rsid w:val="00347D8C"/>
    <w:rsid w:val="00356CBA"/>
    <w:rsid w:val="0035738A"/>
    <w:rsid w:val="00360267"/>
    <w:rsid w:val="00362A73"/>
    <w:rsid w:val="003669EA"/>
    <w:rsid w:val="00366A09"/>
    <w:rsid w:val="003706CC"/>
    <w:rsid w:val="00370CDB"/>
    <w:rsid w:val="0037109B"/>
    <w:rsid w:val="003722F5"/>
    <w:rsid w:val="003746C6"/>
    <w:rsid w:val="00377710"/>
    <w:rsid w:val="00381620"/>
    <w:rsid w:val="00384DAF"/>
    <w:rsid w:val="00385C32"/>
    <w:rsid w:val="00392A75"/>
    <w:rsid w:val="00392A98"/>
    <w:rsid w:val="00395462"/>
    <w:rsid w:val="00396244"/>
    <w:rsid w:val="00396443"/>
    <w:rsid w:val="003A2D8E"/>
    <w:rsid w:val="003A7CE6"/>
    <w:rsid w:val="003B1EE9"/>
    <w:rsid w:val="003B2B54"/>
    <w:rsid w:val="003B4976"/>
    <w:rsid w:val="003B5699"/>
    <w:rsid w:val="003C20E4"/>
    <w:rsid w:val="003C7458"/>
    <w:rsid w:val="003D5CFF"/>
    <w:rsid w:val="003D6342"/>
    <w:rsid w:val="003E1041"/>
    <w:rsid w:val="003E12BA"/>
    <w:rsid w:val="003E179E"/>
    <w:rsid w:val="003E2AF0"/>
    <w:rsid w:val="003E365F"/>
    <w:rsid w:val="003E6F90"/>
    <w:rsid w:val="003E7C70"/>
    <w:rsid w:val="003F270A"/>
    <w:rsid w:val="003F2CBA"/>
    <w:rsid w:val="003F3080"/>
    <w:rsid w:val="003F5D0F"/>
    <w:rsid w:val="003F6A1D"/>
    <w:rsid w:val="00401A6A"/>
    <w:rsid w:val="00401C98"/>
    <w:rsid w:val="00406957"/>
    <w:rsid w:val="00414101"/>
    <w:rsid w:val="00416A7B"/>
    <w:rsid w:val="004219CF"/>
    <w:rsid w:val="00422FF6"/>
    <w:rsid w:val="004234F0"/>
    <w:rsid w:val="00426F5F"/>
    <w:rsid w:val="004271ED"/>
    <w:rsid w:val="004324D7"/>
    <w:rsid w:val="00433DDB"/>
    <w:rsid w:val="00435A29"/>
    <w:rsid w:val="004368B6"/>
    <w:rsid w:val="00437619"/>
    <w:rsid w:val="004405C7"/>
    <w:rsid w:val="00444026"/>
    <w:rsid w:val="00452618"/>
    <w:rsid w:val="00452DEA"/>
    <w:rsid w:val="00454ECC"/>
    <w:rsid w:val="004651C4"/>
    <w:rsid w:val="00465277"/>
    <w:rsid w:val="00465A1E"/>
    <w:rsid w:val="00470E7D"/>
    <w:rsid w:val="00471979"/>
    <w:rsid w:val="0047410B"/>
    <w:rsid w:val="00486945"/>
    <w:rsid w:val="00490C69"/>
    <w:rsid w:val="004916E5"/>
    <w:rsid w:val="00493C87"/>
    <w:rsid w:val="004956EC"/>
    <w:rsid w:val="00497BDA"/>
    <w:rsid w:val="004A219B"/>
    <w:rsid w:val="004A2A63"/>
    <w:rsid w:val="004A4674"/>
    <w:rsid w:val="004A738B"/>
    <w:rsid w:val="004B1E72"/>
    <w:rsid w:val="004B210C"/>
    <w:rsid w:val="004B410F"/>
    <w:rsid w:val="004B4588"/>
    <w:rsid w:val="004B5D5F"/>
    <w:rsid w:val="004C47D1"/>
    <w:rsid w:val="004D405F"/>
    <w:rsid w:val="004E4F4F"/>
    <w:rsid w:val="004E6789"/>
    <w:rsid w:val="004E79F4"/>
    <w:rsid w:val="004F0D03"/>
    <w:rsid w:val="004F20B8"/>
    <w:rsid w:val="004F29EB"/>
    <w:rsid w:val="004F362D"/>
    <w:rsid w:val="004F4A7F"/>
    <w:rsid w:val="004F575F"/>
    <w:rsid w:val="004F61E3"/>
    <w:rsid w:val="004F67DE"/>
    <w:rsid w:val="004F6817"/>
    <w:rsid w:val="00502D08"/>
    <w:rsid w:val="00502E10"/>
    <w:rsid w:val="00503605"/>
    <w:rsid w:val="0050449D"/>
    <w:rsid w:val="0050579A"/>
    <w:rsid w:val="0050600F"/>
    <w:rsid w:val="0051015C"/>
    <w:rsid w:val="005113AF"/>
    <w:rsid w:val="005114D1"/>
    <w:rsid w:val="00514526"/>
    <w:rsid w:val="00516CF1"/>
    <w:rsid w:val="005267C6"/>
    <w:rsid w:val="005302D9"/>
    <w:rsid w:val="00531AE9"/>
    <w:rsid w:val="005324B0"/>
    <w:rsid w:val="0053694F"/>
    <w:rsid w:val="00537F17"/>
    <w:rsid w:val="00542D11"/>
    <w:rsid w:val="0054309D"/>
    <w:rsid w:val="00543A9C"/>
    <w:rsid w:val="005504AD"/>
    <w:rsid w:val="00550A66"/>
    <w:rsid w:val="00551931"/>
    <w:rsid w:val="00562834"/>
    <w:rsid w:val="00563FD2"/>
    <w:rsid w:val="005646DE"/>
    <w:rsid w:val="00564861"/>
    <w:rsid w:val="00565ECB"/>
    <w:rsid w:val="00567EC7"/>
    <w:rsid w:val="00570013"/>
    <w:rsid w:val="005718EA"/>
    <w:rsid w:val="00571E32"/>
    <w:rsid w:val="0057366E"/>
    <w:rsid w:val="005760A8"/>
    <w:rsid w:val="005801A2"/>
    <w:rsid w:val="00582E50"/>
    <w:rsid w:val="00583110"/>
    <w:rsid w:val="00586E02"/>
    <w:rsid w:val="00591779"/>
    <w:rsid w:val="005952A5"/>
    <w:rsid w:val="0059724C"/>
    <w:rsid w:val="005A0305"/>
    <w:rsid w:val="005A12E1"/>
    <w:rsid w:val="005A33A1"/>
    <w:rsid w:val="005A44E1"/>
    <w:rsid w:val="005A5A68"/>
    <w:rsid w:val="005A7D15"/>
    <w:rsid w:val="005B07B4"/>
    <w:rsid w:val="005B217D"/>
    <w:rsid w:val="005B381D"/>
    <w:rsid w:val="005B5782"/>
    <w:rsid w:val="005C0E85"/>
    <w:rsid w:val="005C34FD"/>
    <w:rsid w:val="005C385F"/>
    <w:rsid w:val="005C4E9C"/>
    <w:rsid w:val="005C51AB"/>
    <w:rsid w:val="005C6F76"/>
    <w:rsid w:val="005D04DC"/>
    <w:rsid w:val="005D0EFD"/>
    <w:rsid w:val="005D5202"/>
    <w:rsid w:val="005D72A5"/>
    <w:rsid w:val="005E1618"/>
    <w:rsid w:val="005E1730"/>
    <w:rsid w:val="005E1AC6"/>
    <w:rsid w:val="005F1802"/>
    <w:rsid w:val="005F5CBB"/>
    <w:rsid w:val="005F6F1B"/>
    <w:rsid w:val="00615995"/>
    <w:rsid w:val="0061741C"/>
    <w:rsid w:val="00620C10"/>
    <w:rsid w:val="0062198F"/>
    <w:rsid w:val="006234F2"/>
    <w:rsid w:val="00623E0F"/>
    <w:rsid w:val="0062457F"/>
    <w:rsid w:val="00624B33"/>
    <w:rsid w:val="0063041A"/>
    <w:rsid w:val="00630AA2"/>
    <w:rsid w:val="00642368"/>
    <w:rsid w:val="006427D7"/>
    <w:rsid w:val="00646707"/>
    <w:rsid w:val="006479E6"/>
    <w:rsid w:val="00653551"/>
    <w:rsid w:val="00655240"/>
    <w:rsid w:val="00657F7E"/>
    <w:rsid w:val="00661221"/>
    <w:rsid w:val="00662E58"/>
    <w:rsid w:val="006637F2"/>
    <w:rsid w:val="006642A5"/>
    <w:rsid w:val="00664DCF"/>
    <w:rsid w:val="006800E7"/>
    <w:rsid w:val="006819C3"/>
    <w:rsid w:val="006908DA"/>
    <w:rsid w:val="006933F7"/>
    <w:rsid w:val="00693CE0"/>
    <w:rsid w:val="00697539"/>
    <w:rsid w:val="006A6DF2"/>
    <w:rsid w:val="006B4CC7"/>
    <w:rsid w:val="006B6445"/>
    <w:rsid w:val="006B78DD"/>
    <w:rsid w:val="006C03D5"/>
    <w:rsid w:val="006C5D39"/>
    <w:rsid w:val="006C6E9E"/>
    <w:rsid w:val="006D1A9A"/>
    <w:rsid w:val="006D1E44"/>
    <w:rsid w:val="006D32E2"/>
    <w:rsid w:val="006D6D82"/>
    <w:rsid w:val="006D6D9B"/>
    <w:rsid w:val="006E03B8"/>
    <w:rsid w:val="006E2810"/>
    <w:rsid w:val="006E5417"/>
    <w:rsid w:val="006F2A67"/>
    <w:rsid w:val="006F70FA"/>
    <w:rsid w:val="00700897"/>
    <w:rsid w:val="007023DE"/>
    <w:rsid w:val="007054CD"/>
    <w:rsid w:val="00712F60"/>
    <w:rsid w:val="00714B2A"/>
    <w:rsid w:val="00720E3B"/>
    <w:rsid w:val="00722DE1"/>
    <w:rsid w:val="00727023"/>
    <w:rsid w:val="00730565"/>
    <w:rsid w:val="007311C9"/>
    <w:rsid w:val="00731F77"/>
    <w:rsid w:val="00733969"/>
    <w:rsid w:val="00740075"/>
    <w:rsid w:val="0074393F"/>
    <w:rsid w:val="00744AF7"/>
    <w:rsid w:val="00744B4A"/>
    <w:rsid w:val="00745F6B"/>
    <w:rsid w:val="007501A8"/>
    <w:rsid w:val="007508E2"/>
    <w:rsid w:val="0075321C"/>
    <w:rsid w:val="007547C4"/>
    <w:rsid w:val="0075585E"/>
    <w:rsid w:val="00756A86"/>
    <w:rsid w:val="00765D0A"/>
    <w:rsid w:val="00765E22"/>
    <w:rsid w:val="00766CF2"/>
    <w:rsid w:val="00770571"/>
    <w:rsid w:val="00774EC7"/>
    <w:rsid w:val="007768FF"/>
    <w:rsid w:val="00781655"/>
    <w:rsid w:val="007824D3"/>
    <w:rsid w:val="00787FE0"/>
    <w:rsid w:val="00792087"/>
    <w:rsid w:val="00795F8A"/>
    <w:rsid w:val="00796EE3"/>
    <w:rsid w:val="007A7C6F"/>
    <w:rsid w:val="007A7D29"/>
    <w:rsid w:val="007B4AB8"/>
    <w:rsid w:val="007B4FA0"/>
    <w:rsid w:val="007C0B9E"/>
    <w:rsid w:val="007C2D14"/>
    <w:rsid w:val="007C2DDC"/>
    <w:rsid w:val="007C3050"/>
    <w:rsid w:val="007C5998"/>
    <w:rsid w:val="007D1181"/>
    <w:rsid w:val="007D23D7"/>
    <w:rsid w:val="007D515F"/>
    <w:rsid w:val="007D61B1"/>
    <w:rsid w:val="007E01A3"/>
    <w:rsid w:val="007E13F2"/>
    <w:rsid w:val="007E1414"/>
    <w:rsid w:val="007E2AAF"/>
    <w:rsid w:val="007F1F8B"/>
    <w:rsid w:val="007F67A1"/>
    <w:rsid w:val="00800B17"/>
    <w:rsid w:val="00810412"/>
    <w:rsid w:val="00811C05"/>
    <w:rsid w:val="008206C8"/>
    <w:rsid w:val="00820848"/>
    <w:rsid w:val="00825413"/>
    <w:rsid w:val="008254AB"/>
    <w:rsid w:val="00825743"/>
    <w:rsid w:val="00826215"/>
    <w:rsid w:val="00830F91"/>
    <w:rsid w:val="008311A6"/>
    <w:rsid w:val="00833FDF"/>
    <w:rsid w:val="00836E16"/>
    <w:rsid w:val="008374A8"/>
    <w:rsid w:val="008377DF"/>
    <w:rsid w:val="00846EC6"/>
    <w:rsid w:val="00850C43"/>
    <w:rsid w:val="008512AF"/>
    <w:rsid w:val="00854662"/>
    <w:rsid w:val="00861C0B"/>
    <w:rsid w:val="0086387C"/>
    <w:rsid w:val="00866B87"/>
    <w:rsid w:val="00874A6C"/>
    <w:rsid w:val="0087541F"/>
    <w:rsid w:val="0087694A"/>
    <w:rsid w:val="00876C65"/>
    <w:rsid w:val="00877ADF"/>
    <w:rsid w:val="008907C4"/>
    <w:rsid w:val="008A05E9"/>
    <w:rsid w:val="008A319B"/>
    <w:rsid w:val="008A4B4C"/>
    <w:rsid w:val="008B4DDD"/>
    <w:rsid w:val="008B6D8E"/>
    <w:rsid w:val="008C239F"/>
    <w:rsid w:val="008C23AF"/>
    <w:rsid w:val="008C4F97"/>
    <w:rsid w:val="008E03E4"/>
    <w:rsid w:val="008E1E54"/>
    <w:rsid w:val="008E411E"/>
    <w:rsid w:val="008E467B"/>
    <w:rsid w:val="008E480C"/>
    <w:rsid w:val="008E7653"/>
    <w:rsid w:val="008F67AA"/>
    <w:rsid w:val="00900773"/>
    <w:rsid w:val="009051AC"/>
    <w:rsid w:val="00905447"/>
    <w:rsid w:val="00907757"/>
    <w:rsid w:val="00912521"/>
    <w:rsid w:val="00913F65"/>
    <w:rsid w:val="0091526D"/>
    <w:rsid w:val="00917443"/>
    <w:rsid w:val="009212B0"/>
    <w:rsid w:val="00921FA1"/>
    <w:rsid w:val="009234A5"/>
    <w:rsid w:val="00926BB2"/>
    <w:rsid w:val="00933453"/>
    <w:rsid w:val="009336F7"/>
    <w:rsid w:val="009357DC"/>
    <w:rsid w:val="0093636C"/>
    <w:rsid w:val="009374A7"/>
    <w:rsid w:val="00940F1C"/>
    <w:rsid w:val="00942E2E"/>
    <w:rsid w:val="009453E6"/>
    <w:rsid w:val="0094785B"/>
    <w:rsid w:val="00950B01"/>
    <w:rsid w:val="00952FA9"/>
    <w:rsid w:val="00955F6D"/>
    <w:rsid w:val="0096624A"/>
    <w:rsid w:val="00971AEC"/>
    <w:rsid w:val="00974024"/>
    <w:rsid w:val="00977C16"/>
    <w:rsid w:val="00982792"/>
    <w:rsid w:val="00982967"/>
    <w:rsid w:val="0098551D"/>
    <w:rsid w:val="00991648"/>
    <w:rsid w:val="009917A4"/>
    <w:rsid w:val="00994CC9"/>
    <w:rsid w:val="0099518F"/>
    <w:rsid w:val="009A2191"/>
    <w:rsid w:val="009A40BC"/>
    <w:rsid w:val="009A41B1"/>
    <w:rsid w:val="009A523D"/>
    <w:rsid w:val="009A5C70"/>
    <w:rsid w:val="009B02A1"/>
    <w:rsid w:val="009B550E"/>
    <w:rsid w:val="009C56B1"/>
    <w:rsid w:val="009C6AAF"/>
    <w:rsid w:val="009D3B1E"/>
    <w:rsid w:val="009D4ED9"/>
    <w:rsid w:val="009D7CE6"/>
    <w:rsid w:val="009E7A3C"/>
    <w:rsid w:val="009F496B"/>
    <w:rsid w:val="009F5978"/>
    <w:rsid w:val="009F7897"/>
    <w:rsid w:val="00A01439"/>
    <w:rsid w:val="00A028D9"/>
    <w:rsid w:val="00A02E61"/>
    <w:rsid w:val="00A03523"/>
    <w:rsid w:val="00A04B03"/>
    <w:rsid w:val="00A05CFF"/>
    <w:rsid w:val="00A13048"/>
    <w:rsid w:val="00A13DE7"/>
    <w:rsid w:val="00A14EAA"/>
    <w:rsid w:val="00A20E62"/>
    <w:rsid w:val="00A21366"/>
    <w:rsid w:val="00A21E6B"/>
    <w:rsid w:val="00A46647"/>
    <w:rsid w:val="00A46843"/>
    <w:rsid w:val="00A47966"/>
    <w:rsid w:val="00A52970"/>
    <w:rsid w:val="00A530C3"/>
    <w:rsid w:val="00A537B5"/>
    <w:rsid w:val="00A56B97"/>
    <w:rsid w:val="00A6093D"/>
    <w:rsid w:val="00A61294"/>
    <w:rsid w:val="00A62523"/>
    <w:rsid w:val="00A67AE6"/>
    <w:rsid w:val="00A723CB"/>
    <w:rsid w:val="00A73A15"/>
    <w:rsid w:val="00A76563"/>
    <w:rsid w:val="00A767DC"/>
    <w:rsid w:val="00A76A6D"/>
    <w:rsid w:val="00A82B2F"/>
    <w:rsid w:val="00A83253"/>
    <w:rsid w:val="00A8418A"/>
    <w:rsid w:val="00A8567C"/>
    <w:rsid w:val="00A865D4"/>
    <w:rsid w:val="00A87CE8"/>
    <w:rsid w:val="00A92E27"/>
    <w:rsid w:val="00A94A10"/>
    <w:rsid w:val="00A95649"/>
    <w:rsid w:val="00AA1840"/>
    <w:rsid w:val="00AA1B0B"/>
    <w:rsid w:val="00AA4DB6"/>
    <w:rsid w:val="00AA6E84"/>
    <w:rsid w:val="00AB0528"/>
    <w:rsid w:val="00AB1A1C"/>
    <w:rsid w:val="00AB2B2F"/>
    <w:rsid w:val="00AB4242"/>
    <w:rsid w:val="00AC1FC0"/>
    <w:rsid w:val="00AC49D2"/>
    <w:rsid w:val="00AC6143"/>
    <w:rsid w:val="00AD05A8"/>
    <w:rsid w:val="00AD131C"/>
    <w:rsid w:val="00AD7A6F"/>
    <w:rsid w:val="00AE341B"/>
    <w:rsid w:val="00AE4ED3"/>
    <w:rsid w:val="00AF24AD"/>
    <w:rsid w:val="00AF4C4E"/>
    <w:rsid w:val="00AF5038"/>
    <w:rsid w:val="00B00B53"/>
    <w:rsid w:val="00B0661A"/>
    <w:rsid w:val="00B07CA7"/>
    <w:rsid w:val="00B1279A"/>
    <w:rsid w:val="00B14BCB"/>
    <w:rsid w:val="00B23549"/>
    <w:rsid w:val="00B23D21"/>
    <w:rsid w:val="00B24B1B"/>
    <w:rsid w:val="00B27498"/>
    <w:rsid w:val="00B4194A"/>
    <w:rsid w:val="00B4195B"/>
    <w:rsid w:val="00B4257F"/>
    <w:rsid w:val="00B42E51"/>
    <w:rsid w:val="00B437E8"/>
    <w:rsid w:val="00B4745F"/>
    <w:rsid w:val="00B51EBD"/>
    <w:rsid w:val="00B5222E"/>
    <w:rsid w:val="00B53179"/>
    <w:rsid w:val="00B56525"/>
    <w:rsid w:val="00B57991"/>
    <w:rsid w:val="00B600CD"/>
    <w:rsid w:val="00B61C96"/>
    <w:rsid w:val="00B67626"/>
    <w:rsid w:val="00B7116F"/>
    <w:rsid w:val="00B719F2"/>
    <w:rsid w:val="00B73A2A"/>
    <w:rsid w:val="00B7522A"/>
    <w:rsid w:val="00B75254"/>
    <w:rsid w:val="00B752E3"/>
    <w:rsid w:val="00B75A51"/>
    <w:rsid w:val="00B812C7"/>
    <w:rsid w:val="00B827C6"/>
    <w:rsid w:val="00B86B17"/>
    <w:rsid w:val="00B90401"/>
    <w:rsid w:val="00B94B06"/>
    <w:rsid w:val="00B94C28"/>
    <w:rsid w:val="00B94EBF"/>
    <w:rsid w:val="00B95BDB"/>
    <w:rsid w:val="00B95F71"/>
    <w:rsid w:val="00B97E8A"/>
    <w:rsid w:val="00BA1455"/>
    <w:rsid w:val="00BA2E15"/>
    <w:rsid w:val="00BA54BE"/>
    <w:rsid w:val="00BB7B0F"/>
    <w:rsid w:val="00BC10BA"/>
    <w:rsid w:val="00BC13CD"/>
    <w:rsid w:val="00BC4FBB"/>
    <w:rsid w:val="00BC5A20"/>
    <w:rsid w:val="00BC5AFD"/>
    <w:rsid w:val="00BD4464"/>
    <w:rsid w:val="00BD7810"/>
    <w:rsid w:val="00BE559A"/>
    <w:rsid w:val="00BF1F8F"/>
    <w:rsid w:val="00BF27EF"/>
    <w:rsid w:val="00BF2DAD"/>
    <w:rsid w:val="00C00DDE"/>
    <w:rsid w:val="00C036A1"/>
    <w:rsid w:val="00C04F43"/>
    <w:rsid w:val="00C0609D"/>
    <w:rsid w:val="00C062D7"/>
    <w:rsid w:val="00C115AB"/>
    <w:rsid w:val="00C11AFF"/>
    <w:rsid w:val="00C14CAB"/>
    <w:rsid w:val="00C17A16"/>
    <w:rsid w:val="00C26CCB"/>
    <w:rsid w:val="00C275BB"/>
    <w:rsid w:val="00C30249"/>
    <w:rsid w:val="00C314BA"/>
    <w:rsid w:val="00C34261"/>
    <w:rsid w:val="00C3723B"/>
    <w:rsid w:val="00C40C2D"/>
    <w:rsid w:val="00C42466"/>
    <w:rsid w:val="00C45AB6"/>
    <w:rsid w:val="00C50A90"/>
    <w:rsid w:val="00C5668B"/>
    <w:rsid w:val="00C604A2"/>
    <w:rsid w:val="00C606C9"/>
    <w:rsid w:val="00C61751"/>
    <w:rsid w:val="00C654E3"/>
    <w:rsid w:val="00C660AD"/>
    <w:rsid w:val="00C66413"/>
    <w:rsid w:val="00C76705"/>
    <w:rsid w:val="00C80288"/>
    <w:rsid w:val="00C8108A"/>
    <w:rsid w:val="00C8243B"/>
    <w:rsid w:val="00C84003"/>
    <w:rsid w:val="00C87ACA"/>
    <w:rsid w:val="00C90650"/>
    <w:rsid w:val="00C922D9"/>
    <w:rsid w:val="00C94C19"/>
    <w:rsid w:val="00C95BE0"/>
    <w:rsid w:val="00C962CC"/>
    <w:rsid w:val="00C97D78"/>
    <w:rsid w:val="00CA5B57"/>
    <w:rsid w:val="00CA6F9A"/>
    <w:rsid w:val="00CA7A8A"/>
    <w:rsid w:val="00CB2793"/>
    <w:rsid w:val="00CB779E"/>
    <w:rsid w:val="00CC15FB"/>
    <w:rsid w:val="00CC2418"/>
    <w:rsid w:val="00CC26AE"/>
    <w:rsid w:val="00CC2AAE"/>
    <w:rsid w:val="00CC4C7D"/>
    <w:rsid w:val="00CC5A42"/>
    <w:rsid w:val="00CD0EAB"/>
    <w:rsid w:val="00CD6956"/>
    <w:rsid w:val="00CE2DA9"/>
    <w:rsid w:val="00CE347E"/>
    <w:rsid w:val="00CE5E02"/>
    <w:rsid w:val="00CE5ED4"/>
    <w:rsid w:val="00CF04DD"/>
    <w:rsid w:val="00CF34DB"/>
    <w:rsid w:val="00CF558F"/>
    <w:rsid w:val="00CF5DB7"/>
    <w:rsid w:val="00CF7E19"/>
    <w:rsid w:val="00D0041F"/>
    <w:rsid w:val="00D010C0"/>
    <w:rsid w:val="00D02FCE"/>
    <w:rsid w:val="00D05C7E"/>
    <w:rsid w:val="00D073E2"/>
    <w:rsid w:val="00D07936"/>
    <w:rsid w:val="00D169C3"/>
    <w:rsid w:val="00D17C8F"/>
    <w:rsid w:val="00D26AA7"/>
    <w:rsid w:val="00D312BE"/>
    <w:rsid w:val="00D325C0"/>
    <w:rsid w:val="00D32E68"/>
    <w:rsid w:val="00D33AA6"/>
    <w:rsid w:val="00D418E8"/>
    <w:rsid w:val="00D446EC"/>
    <w:rsid w:val="00D456D0"/>
    <w:rsid w:val="00D456DE"/>
    <w:rsid w:val="00D51BF0"/>
    <w:rsid w:val="00D531DB"/>
    <w:rsid w:val="00D53948"/>
    <w:rsid w:val="00D55942"/>
    <w:rsid w:val="00D6172C"/>
    <w:rsid w:val="00D662FC"/>
    <w:rsid w:val="00D665A4"/>
    <w:rsid w:val="00D66DA5"/>
    <w:rsid w:val="00D671CD"/>
    <w:rsid w:val="00D80308"/>
    <w:rsid w:val="00D807BF"/>
    <w:rsid w:val="00D80852"/>
    <w:rsid w:val="00D81274"/>
    <w:rsid w:val="00D82FCC"/>
    <w:rsid w:val="00D91CAE"/>
    <w:rsid w:val="00D9705B"/>
    <w:rsid w:val="00DA17FC"/>
    <w:rsid w:val="00DA7887"/>
    <w:rsid w:val="00DB2C26"/>
    <w:rsid w:val="00DB610B"/>
    <w:rsid w:val="00DC0D90"/>
    <w:rsid w:val="00DC2796"/>
    <w:rsid w:val="00DC2B74"/>
    <w:rsid w:val="00DC2F31"/>
    <w:rsid w:val="00DC4CB6"/>
    <w:rsid w:val="00DC7324"/>
    <w:rsid w:val="00DD02F4"/>
    <w:rsid w:val="00DD163C"/>
    <w:rsid w:val="00DD2FB6"/>
    <w:rsid w:val="00DD6622"/>
    <w:rsid w:val="00DE1C7C"/>
    <w:rsid w:val="00DE2742"/>
    <w:rsid w:val="00DE6B43"/>
    <w:rsid w:val="00DF1753"/>
    <w:rsid w:val="00DF678A"/>
    <w:rsid w:val="00DF7A45"/>
    <w:rsid w:val="00E01231"/>
    <w:rsid w:val="00E03447"/>
    <w:rsid w:val="00E06B51"/>
    <w:rsid w:val="00E06F65"/>
    <w:rsid w:val="00E11923"/>
    <w:rsid w:val="00E14736"/>
    <w:rsid w:val="00E15BCA"/>
    <w:rsid w:val="00E16031"/>
    <w:rsid w:val="00E17C4A"/>
    <w:rsid w:val="00E17EA5"/>
    <w:rsid w:val="00E24F8F"/>
    <w:rsid w:val="00E262D4"/>
    <w:rsid w:val="00E27200"/>
    <w:rsid w:val="00E3134F"/>
    <w:rsid w:val="00E3307B"/>
    <w:rsid w:val="00E36250"/>
    <w:rsid w:val="00E403B9"/>
    <w:rsid w:val="00E44AAF"/>
    <w:rsid w:val="00E454B8"/>
    <w:rsid w:val="00E54511"/>
    <w:rsid w:val="00E55073"/>
    <w:rsid w:val="00E57C4B"/>
    <w:rsid w:val="00E6030E"/>
    <w:rsid w:val="00E61DAC"/>
    <w:rsid w:val="00E620DF"/>
    <w:rsid w:val="00E653F3"/>
    <w:rsid w:val="00E667C3"/>
    <w:rsid w:val="00E668F5"/>
    <w:rsid w:val="00E66BC2"/>
    <w:rsid w:val="00E72B80"/>
    <w:rsid w:val="00E74191"/>
    <w:rsid w:val="00E75FE3"/>
    <w:rsid w:val="00E83B70"/>
    <w:rsid w:val="00E86C4C"/>
    <w:rsid w:val="00E87CE1"/>
    <w:rsid w:val="00E90755"/>
    <w:rsid w:val="00E907A3"/>
    <w:rsid w:val="00E909BC"/>
    <w:rsid w:val="00E911DD"/>
    <w:rsid w:val="00EA5AE0"/>
    <w:rsid w:val="00EA7539"/>
    <w:rsid w:val="00EB3475"/>
    <w:rsid w:val="00EB56E1"/>
    <w:rsid w:val="00EB59DF"/>
    <w:rsid w:val="00EB676C"/>
    <w:rsid w:val="00EB748C"/>
    <w:rsid w:val="00EB7AB1"/>
    <w:rsid w:val="00EC411D"/>
    <w:rsid w:val="00ED42C6"/>
    <w:rsid w:val="00ED4DD5"/>
    <w:rsid w:val="00ED5310"/>
    <w:rsid w:val="00ED7272"/>
    <w:rsid w:val="00EE0DFA"/>
    <w:rsid w:val="00EE1944"/>
    <w:rsid w:val="00EE5D0C"/>
    <w:rsid w:val="00EE7CD8"/>
    <w:rsid w:val="00EF16B1"/>
    <w:rsid w:val="00EF41FC"/>
    <w:rsid w:val="00EF48CC"/>
    <w:rsid w:val="00EF529B"/>
    <w:rsid w:val="00F00801"/>
    <w:rsid w:val="00F03E4F"/>
    <w:rsid w:val="00F16944"/>
    <w:rsid w:val="00F177FA"/>
    <w:rsid w:val="00F21F57"/>
    <w:rsid w:val="00F2488D"/>
    <w:rsid w:val="00F278B9"/>
    <w:rsid w:val="00F33AB4"/>
    <w:rsid w:val="00F36B1E"/>
    <w:rsid w:val="00F36EFB"/>
    <w:rsid w:val="00F4311B"/>
    <w:rsid w:val="00F441F0"/>
    <w:rsid w:val="00F53182"/>
    <w:rsid w:val="00F601A0"/>
    <w:rsid w:val="00F70D9E"/>
    <w:rsid w:val="00F73032"/>
    <w:rsid w:val="00F7354D"/>
    <w:rsid w:val="00F752AE"/>
    <w:rsid w:val="00F84563"/>
    <w:rsid w:val="00F848FC"/>
    <w:rsid w:val="00F85FC8"/>
    <w:rsid w:val="00F87F53"/>
    <w:rsid w:val="00F906F6"/>
    <w:rsid w:val="00F90A5C"/>
    <w:rsid w:val="00F917E0"/>
    <w:rsid w:val="00F927AC"/>
    <w:rsid w:val="00F9282A"/>
    <w:rsid w:val="00F96AA3"/>
    <w:rsid w:val="00F96BAD"/>
    <w:rsid w:val="00FA139D"/>
    <w:rsid w:val="00FA3320"/>
    <w:rsid w:val="00FA4DEE"/>
    <w:rsid w:val="00FA61D3"/>
    <w:rsid w:val="00FB0E84"/>
    <w:rsid w:val="00FB114E"/>
    <w:rsid w:val="00FB53B3"/>
    <w:rsid w:val="00FB6E71"/>
    <w:rsid w:val="00FD01C2"/>
    <w:rsid w:val="00FD271E"/>
    <w:rsid w:val="00FD74EC"/>
    <w:rsid w:val="00FE0A10"/>
    <w:rsid w:val="00FE595C"/>
    <w:rsid w:val="00FF0CE3"/>
    <w:rsid w:val="00FF0D72"/>
    <w:rsid w:val="00FF398B"/>
    <w:rsid w:val="00FF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156190479">
      <w:bodyDiv w:val="1"/>
      <w:marLeft w:val="0"/>
      <w:marRight w:val="0"/>
      <w:marTop w:val="0"/>
      <w:marBottom w:val="0"/>
      <w:divBdr>
        <w:top w:val="none" w:sz="0" w:space="0" w:color="auto"/>
        <w:left w:val="none" w:sz="0" w:space="0" w:color="auto"/>
        <w:bottom w:val="none" w:sz="0" w:space="0" w:color="auto"/>
        <w:right w:val="none" w:sz="0" w:space="0" w:color="auto"/>
      </w:divBdr>
    </w:div>
    <w:div w:id="172841311">
      <w:bodyDiv w:val="1"/>
      <w:marLeft w:val="0"/>
      <w:marRight w:val="0"/>
      <w:marTop w:val="0"/>
      <w:marBottom w:val="0"/>
      <w:divBdr>
        <w:top w:val="none" w:sz="0" w:space="0" w:color="auto"/>
        <w:left w:val="none" w:sz="0" w:space="0" w:color="auto"/>
        <w:bottom w:val="none" w:sz="0" w:space="0" w:color="auto"/>
        <w:right w:val="none" w:sz="0" w:space="0" w:color="auto"/>
      </w:divBdr>
    </w:div>
    <w:div w:id="204829636">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57300173">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186376">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1419477">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84979978">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6480418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49959040">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780222705">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42881500">
      <w:bodyDiv w:val="1"/>
      <w:marLeft w:val="0"/>
      <w:marRight w:val="0"/>
      <w:marTop w:val="0"/>
      <w:marBottom w:val="0"/>
      <w:divBdr>
        <w:top w:val="none" w:sz="0" w:space="0" w:color="auto"/>
        <w:left w:val="none" w:sz="0" w:space="0" w:color="auto"/>
        <w:bottom w:val="none" w:sz="0" w:space="0" w:color="auto"/>
        <w:right w:val="none" w:sz="0" w:space="0" w:color="auto"/>
      </w:divBdr>
    </w:div>
    <w:div w:id="954407665">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273781521">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327518345">
      <w:bodyDiv w:val="1"/>
      <w:marLeft w:val="0"/>
      <w:marRight w:val="0"/>
      <w:marTop w:val="0"/>
      <w:marBottom w:val="0"/>
      <w:divBdr>
        <w:top w:val="none" w:sz="0" w:space="0" w:color="auto"/>
        <w:left w:val="none" w:sz="0" w:space="0" w:color="auto"/>
        <w:bottom w:val="none" w:sz="0" w:space="0" w:color="auto"/>
        <w:right w:val="none" w:sz="0" w:space="0" w:color="auto"/>
      </w:divBdr>
    </w:div>
    <w:div w:id="1357971744">
      <w:bodyDiv w:val="1"/>
      <w:marLeft w:val="0"/>
      <w:marRight w:val="0"/>
      <w:marTop w:val="0"/>
      <w:marBottom w:val="0"/>
      <w:divBdr>
        <w:top w:val="none" w:sz="0" w:space="0" w:color="auto"/>
        <w:left w:val="none" w:sz="0" w:space="0" w:color="auto"/>
        <w:bottom w:val="none" w:sz="0" w:space="0" w:color="auto"/>
        <w:right w:val="none" w:sz="0" w:space="0" w:color="auto"/>
      </w:divBdr>
    </w:div>
    <w:div w:id="1394767599">
      <w:bodyDiv w:val="1"/>
      <w:marLeft w:val="0"/>
      <w:marRight w:val="0"/>
      <w:marTop w:val="0"/>
      <w:marBottom w:val="0"/>
      <w:divBdr>
        <w:top w:val="none" w:sz="0" w:space="0" w:color="auto"/>
        <w:left w:val="none" w:sz="0" w:space="0" w:color="auto"/>
        <w:bottom w:val="none" w:sz="0" w:space="0" w:color="auto"/>
        <w:right w:val="none" w:sz="0" w:space="0" w:color="auto"/>
      </w:divBdr>
    </w:div>
    <w:div w:id="1395659786">
      <w:bodyDiv w:val="1"/>
      <w:marLeft w:val="0"/>
      <w:marRight w:val="0"/>
      <w:marTop w:val="0"/>
      <w:marBottom w:val="0"/>
      <w:divBdr>
        <w:top w:val="none" w:sz="0" w:space="0" w:color="auto"/>
        <w:left w:val="none" w:sz="0" w:space="0" w:color="auto"/>
        <w:bottom w:val="none" w:sz="0" w:space="0" w:color="auto"/>
        <w:right w:val="none" w:sz="0" w:space="0" w:color="auto"/>
      </w:divBdr>
    </w:div>
    <w:div w:id="1396780036">
      <w:bodyDiv w:val="1"/>
      <w:marLeft w:val="0"/>
      <w:marRight w:val="0"/>
      <w:marTop w:val="0"/>
      <w:marBottom w:val="0"/>
      <w:divBdr>
        <w:top w:val="none" w:sz="0" w:space="0" w:color="auto"/>
        <w:left w:val="none" w:sz="0" w:space="0" w:color="auto"/>
        <w:bottom w:val="none" w:sz="0" w:space="0" w:color="auto"/>
        <w:right w:val="none" w:sz="0" w:space="0" w:color="auto"/>
      </w:divBdr>
    </w:div>
    <w:div w:id="1428113368">
      <w:bodyDiv w:val="1"/>
      <w:marLeft w:val="0"/>
      <w:marRight w:val="0"/>
      <w:marTop w:val="0"/>
      <w:marBottom w:val="0"/>
      <w:divBdr>
        <w:top w:val="none" w:sz="0" w:space="0" w:color="auto"/>
        <w:left w:val="none" w:sz="0" w:space="0" w:color="auto"/>
        <w:bottom w:val="none" w:sz="0" w:space="0" w:color="auto"/>
        <w:right w:val="none" w:sz="0" w:space="0" w:color="auto"/>
      </w:divBdr>
    </w:div>
    <w:div w:id="1478952927">
      <w:bodyDiv w:val="1"/>
      <w:marLeft w:val="0"/>
      <w:marRight w:val="0"/>
      <w:marTop w:val="0"/>
      <w:marBottom w:val="0"/>
      <w:divBdr>
        <w:top w:val="none" w:sz="0" w:space="0" w:color="auto"/>
        <w:left w:val="none" w:sz="0" w:space="0" w:color="auto"/>
        <w:bottom w:val="none" w:sz="0" w:space="0" w:color="auto"/>
        <w:right w:val="none" w:sz="0" w:space="0" w:color="auto"/>
      </w:divBdr>
    </w:div>
    <w:div w:id="1577279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953372">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1864976999">
      <w:bodyDiv w:val="1"/>
      <w:marLeft w:val="0"/>
      <w:marRight w:val="0"/>
      <w:marTop w:val="0"/>
      <w:marBottom w:val="0"/>
      <w:divBdr>
        <w:top w:val="none" w:sz="0" w:space="0" w:color="auto"/>
        <w:left w:val="none" w:sz="0" w:space="0" w:color="auto"/>
        <w:bottom w:val="none" w:sz="0" w:space="0" w:color="auto"/>
        <w:right w:val="none" w:sz="0" w:space="0" w:color="auto"/>
      </w:divBdr>
    </w:div>
    <w:div w:id="1945266217">
      <w:bodyDiv w:val="1"/>
      <w:marLeft w:val="0"/>
      <w:marRight w:val="0"/>
      <w:marTop w:val="0"/>
      <w:marBottom w:val="0"/>
      <w:divBdr>
        <w:top w:val="none" w:sz="0" w:space="0" w:color="auto"/>
        <w:left w:val="none" w:sz="0" w:space="0" w:color="auto"/>
        <w:bottom w:val="none" w:sz="0" w:space="0" w:color="auto"/>
        <w:right w:val="none" w:sz="0" w:space="0" w:color="auto"/>
      </w:divBdr>
    </w:div>
    <w:div w:id="2039575696">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ric.chai@ublnx.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icheng.ajc@alibaba-in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vet@lists.rwth-aachen.d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thsieh@qti.qualcomm.com"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CD26D-46EC-4794-8179-ECEFBD52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5</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183</cp:revision>
  <cp:lastPrinted>1901-01-01T08:00:00Z</cp:lastPrinted>
  <dcterms:created xsi:type="dcterms:W3CDTF">2019-07-01T23:42:00Z</dcterms:created>
  <dcterms:modified xsi:type="dcterms:W3CDTF">2020-01-04T19:26:00Z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