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33C2E8C" w:rsidR="00E61DAC" w:rsidRPr="005B217D" w:rsidRDefault="00F46586" w:rsidP="00FA60F5">
            <w:pPr>
              <w:tabs>
                <w:tab w:val="left" w:pos="7200"/>
              </w:tabs>
              <w:spacing w:before="0"/>
              <w:rPr>
                <w:b/>
                <w:szCs w:val="22"/>
                <w:lang w:val="en-CA"/>
              </w:rPr>
            </w:pPr>
            <w:r>
              <w:t xml:space="preserve">14th Meeting: </w:t>
            </w:r>
            <w:r>
              <w:rPr>
                <w:lang w:val="en-CA"/>
              </w:rPr>
              <w:t>Geneva, CH, 19–27 March 2019</w:t>
            </w:r>
          </w:p>
        </w:tc>
        <w:tc>
          <w:tcPr>
            <w:tcW w:w="3060" w:type="dxa"/>
          </w:tcPr>
          <w:p w14:paraId="59B7E346" w14:textId="1C3E43E4" w:rsidR="008A4B4C" w:rsidRPr="005B217D" w:rsidRDefault="00E61DAC" w:rsidP="00250AF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E12E9">
              <w:rPr>
                <w:lang w:val="en-CA"/>
              </w:rPr>
              <w:t>N</w:t>
            </w:r>
            <w:r w:rsidR="0090286F" w:rsidRPr="008A5D05">
              <w:rPr>
                <w:lang w:val="en-CA"/>
              </w:rPr>
              <w:t>0</w:t>
            </w:r>
            <w:r w:rsidR="00260279">
              <w:rPr>
                <w:lang w:val="en-CA"/>
              </w:rPr>
              <w:t>743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C35ED2" w:rsidR="00E61DAC" w:rsidRPr="005B217D" w:rsidRDefault="00F7075D" w:rsidP="00250AFC">
            <w:pPr>
              <w:spacing w:before="60" w:after="60"/>
              <w:rPr>
                <w:b/>
                <w:szCs w:val="22"/>
                <w:lang w:val="en-CA"/>
              </w:rPr>
            </w:pPr>
            <w:r w:rsidRPr="00F7075D">
              <w:rPr>
                <w:b/>
                <w:szCs w:val="22"/>
                <w:lang w:val="en-CA"/>
              </w:rPr>
              <w:t>Crosscheck of JVET-N0</w:t>
            </w:r>
            <w:r w:rsidR="008C5313">
              <w:rPr>
                <w:b/>
                <w:szCs w:val="22"/>
                <w:lang w:val="en-CA"/>
              </w:rPr>
              <w:t>388</w:t>
            </w:r>
            <w:r w:rsidRPr="00F7075D">
              <w:rPr>
                <w:b/>
                <w:szCs w:val="22"/>
                <w:lang w:val="en-CA"/>
              </w:rPr>
              <w:t xml:space="preserve"> (</w:t>
            </w:r>
            <w:r w:rsidR="008C5313" w:rsidRPr="008C5313">
              <w:rPr>
                <w:b/>
                <w:szCs w:val="22"/>
                <w:lang w:val="en-CA"/>
              </w:rPr>
              <w:t>Non-CE6: Shape Adaptive Transform Selection for ISP, SBT and MTS</w:t>
            </w:r>
            <w:r w:rsidRPr="00F7075D">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1D0621F" w:rsidR="00E61DAC" w:rsidRPr="005B217D" w:rsidRDefault="00250AFC" w:rsidP="009459D9">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BC996DA" w:rsidR="00E61DAC" w:rsidRPr="005B217D" w:rsidRDefault="00EE2F5E" w:rsidP="009459D9">
            <w:pPr>
              <w:spacing w:before="60" w:after="60"/>
              <w:rPr>
                <w:szCs w:val="22"/>
                <w:lang w:val="en-CA"/>
              </w:rPr>
            </w:pPr>
            <w:r>
              <w:rPr>
                <w:szCs w:val="22"/>
                <w:lang w:val="en-CA"/>
              </w:rPr>
              <w:t>Pierrick Philippe</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32C2ABFD" w14:textId="50F1C14D" w:rsidR="009459D9" w:rsidRPr="00522B19" w:rsidRDefault="00E81B1B" w:rsidP="00522B19">
            <w:pPr>
              <w:rPr>
                <w:lang w:val="en-CA"/>
              </w:rPr>
            </w:pPr>
            <w:hyperlink r:id="rId9" w:history="1">
              <w:r w:rsidR="00EE2F5E" w:rsidRPr="00FA1690">
                <w:rPr>
                  <w:rStyle w:val="Lienhypertexte"/>
                  <w:szCs w:val="22"/>
                  <w:lang w:val="en-CA"/>
                </w:rPr>
                <w:t>pierrick.philippe@orange.com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2EF990" w:rsidR="00E61DAC" w:rsidRPr="005B217D" w:rsidRDefault="00EE2F5E" w:rsidP="009459D9">
            <w:pPr>
              <w:spacing w:before="60" w:after="60"/>
              <w:rPr>
                <w:szCs w:val="22"/>
                <w:lang w:val="en-CA"/>
              </w:rPr>
            </w:pPr>
            <w:r>
              <w:rPr>
                <w:szCs w:val="22"/>
                <w:lang w:val="en-CA"/>
              </w:rPr>
              <w:t xml:space="preserve">Orange, </w:t>
            </w:r>
            <w:proofErr w:type="spellStart"/>
            <w:r>
              <w:rPr>
                <w:szCs w:val="22"/>
                <w:lang w:val="en-CA"/>
              </w:rPr>
              <w:t>bcom</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723883F2" w14:textId="4CAE7633" w:rsidR="00263398" w:rsidRDefault="00C5476C" w:rsidP="009234A5">
      <w:pPr>
        <w:rPr>
          <w:lang w:val="en-CA"/>
        </w:rPr>
      </w:pPr>
      <w:r>
        <w:rPr>
          <w:lang w:val="en-CA"/>
        </w:rPr>
        <w:t xml:space="preserve">This document </w:t>
      </w:r>
      <w:r w:rsidR="00250AFC">
        <w:rPr>
          <w:lang w:val="en-CA"/>
        </w:rPr>
        <w:t xml:space="preserve">reports </w:t>
      </w:r>
      <w:r w:rsidR="0016127D">
        <w:rPr>
          <w:lang w:val="en-CA"/>
        </w:rPr>
        <w:t xml:space="preserve">the </w:t>
      </w:r>
      <w:r w:rsidR="00250AFC">
        <w:rPr>
          <w:lang w:val="en-CA"/>
        </w:rPr>
        <w:t xml:space="preserve">crosscheck </w:t>
      </w:r>
      <w:r w:rsidR="00A71E2C">
        <w:rPr>
          <w:lang w:val="en-CA"/>
        </w:rPr>
        <w:t>of JVET</w:t>
      </w:r>
      <w:r w:rsidR="00250AFC">
        <w:rPr>
          <w:lang w:val="en-CA"/>
        </w:rPr>
        <w:t>-</w:t>
      </w:r>
      <w:r w:rsidR="00912492">
        <w:rPr>
          <w:lang w:val="en-CA"/>
        </w:rPr>
        <w:t>N</w:t>
      </w:r>
      <w:r w:rsidR="00250AFC">
        <w:rPr>
          <w:lang w:val="en-CA"/>
        </w:rPr>
        <w:t>0</w:t>
      </w:r>
      <w:r w:rsidR="008C5313">
        <w:rPr>
          <w:lang w:val="en-CA"/>
        </w:rPr>
        <w:t>388</w:t>
      </w:r>
      <w:r w:rsidR="00250AFC">
        <w:rPr>
          <w:lang w:val="en-CA"/>
        </w:rPr>
        <w:t>.</w:t>
      </w:r>
      <w:r w:rsidR="008A5D05">
        <w:rPr>
          <w:lang w:val="en-CA"/>
        </w:rPr>
        <w:t xml:space="preserve"> It is reported that the average BD-rates </w:t>
      </w:r>
      <w:r w:rsidR="00DB5A93">
        <w:rPr>
          <w:lang w:val="en-CA"/>
        </w:rPr>
        <w:t>match those provided by the proponents.</w:t>
      </w:r>
      <w:r w:rsidR="00903722">
        <w:rPr>
          <w:lang w:val="en-CA"/>
        </w:rPr>
        <w:t xml:space="preserve"> </w:t>
      </w:r>
      <w:r w:rsidR="00025D89">
        <w:rPr>
          <w:lang w:val="en-CA"/>
        </w:rPr>
        <w:t>No discrepancies have been found between the provided software and the description of the tests. T</w:t>
      </w:r>
      <w:r w:rsidR="00025D89" w:rsidRPr="00E57FBF">
        <w:rPr>
          <w:lang w:val="en-CA"/>
        </w:rPr>
        <w:t>he execution times are within the measurement error range</w:t>
      </w:r>
      <w:r w:rsidR="00025D89">
        <w:rPr>
          <w:lang w:val="en-CA"/>
        </w:rPr>
        <w:t>.</w:t>
      </w:r>
    </w:p>
    <w:p w14:paraId="7D2AC1F0" w14:textId="51DD0D79" w:rsidR="00745F6B" w:rsidRDefault="00BF38FF" w:rsidP="00E11923">
      <w:pPr>
        <w:pStyle w:val="Titre1"/>
        <w:rPr>
          <w:lang w:val="en-CA"/>
        </w:rPr>
      </w:pPr>
      <w:r>
        <w:rPr>
          <w:lang w:val="en-CA"/>
        </w:rPr>
        <w:t>D</w:t>
      </w:r>
      <w:r w:rsidR="008A5D05">
        <w:rPr>
          <w:lang w:val="en-CA"/>
        </w:rPr>
        <w:t>escription</w:t>
      </w:r>
    </w:p>
    <w:p w14:paraId="4C703331" w14:textId="38B22FA7" w:rsidR="008C5313" w:rsidRDefault="00542C7F" w:rsidP="008C5313">
      <w:pPr>
        <w:rPr>
          <w:szCs w:val="22"/>
          <w:lang w:val="en-CA"/>
        </w:rPr>
      </w:pPr>
      <w:r>
        <w:rPr>
          <w:lang w:val="en-CA"/>
        </w:rPr>
        <w:t>In this proposal</w:t>
      </w:r>
      <w:r w:rsidR="00D416A7">
        <w:rPr>
          <w:lang w:val="en-CA"/>
        </w:rPr>
        <w:t xml:space="preserve">, a new </w:t>
      </w:r>
      <w:r w:rsidR="00D416A7">
        <w:rPr>
          <w:lang w:val="en-CA"/>
        </w:rPr>
        <w:t>design of the transform coding in which the transform pair of I</w:t>
      </w:r>
      <w:r w:rsidR="00D416A7">
        <w:rPr>
          <w:lang w:val="en-CA"/>
        </w:rPr>
        <w:t xml:space="preserve">ntra </w:t>
      </w:r>
      <w:proofErr w:type="spellStart"/>
      <w:proofErr w:type="gramStart"/>
      <w:r w:rsidR="00D416A7">
        <w:rPr>
          <w:lang w:val="en-CA"/>
        </w:rPr>
        <w:t>S</w:t>
      </w:r>
      <w:r w:rsidR="00D416A7">
        <w:rPr>
          <w:lang w:val="en-CA"/>
        </w:rPr>
        <w:t>ubpartitions</w:t>
      </w:r>
      <w:proofErr w:type="spellEnd"/>
      <w:r w:rsidR="00D416A7">
        <w:rPr>
          <w:lang w:val="en-CA"/>
        </w:rPr>
        <w:t xml:space="preserve"> </w:t>
      </w:r>
      <w:r w:rsidR="00D416A7">
        <w:rPr>
          <w:lang w:val="en-CA"/>
        </w:rPr>
        <w:t xml:space="preserve"> and</w:t>
      </w:r>
      <w:proofErr w:type="gramEnd"/>
      <w:r w:rsidR="00D416A7">
        <w:rPr>
          <w:lang w:val="en-CA"/>
        </w:rPr>
        <w:t xml:space="preserve"> </w:t>
      </w:r>
      <w:proofErr w:type="spellStart"/>
      <w:r w:rsidR="00D416A7">
        <w:rPr>
          <w:lang w:val="en-CA"/>
        </w:rPr>
        <w:t>S</w:t>
      </w:r>
      <w:r w:rsidR="00D416A7">
        <w:rPr>
          <w:lang w:val="en-CA"/>
        </w:rPr>
        <w:t>ubblock</w:t>
      </w:r>
      <w:proofErr w:type="spellEnd"/>
      <w:r w:rsidR="00D416A7">
        <w:rPr>
          <w:lang w:val="en-CA"/>
        </w:rPr>
        <w:t xml:space="preserve"> transform </w:t>
      </w:r>
      <w:r w:rsidR="00D416A7">
        <w:rPr>
          <w:lang w:val="en-CA"/>
        </w:rPr>
        <w:t>is the same as the one for Implicit</w:t>
      </w:r>
      <w:r w:rsidR="00D416A7">
        <w:rPr>
          <w:lang w:val="en-CA"/>
        </w:rPr>
        <w:t xml:space="preserve"> </w:t>
      </w:r>
      <w:r w:rsidR="00D416A7">
        <w:rPr>
          <w:lang w:val="en-CA"/>
        </w:rPr>
        <w:t>MTS. Additionally, the Implicit</w:t>
      </w:r>
      <w:r w:rsidR="00D416A7">
        <w:rPr>
          <w:lang w:val="en-CA"/>
        </w:rPr>
        <w:t xml:space="preserve"> </w:t>
      </w:r>
      <w:r w:rsidR="00D416A7">
        <w:rPr>
          <w:lang w:val="en-CA"/>
        </w:rPr>
        <w:t>MTS transform pair is embedded within the MTS design, so that it becomes an encoder option without signaling.</w:t>
      </w:r>
      <w:r w:rsidR="007760F8">
        <w:rPr>
          <w:lang w:val="en-CA"/>
        </w:rPr>
        <w:t xml:space="preserve"> The last MTS pair being replaced with the pair of transforms determined for the implicit MTS.</w:t>
      </w:r>
    </w:p>
    <w:p w14:paraId="5EB2BC75" w14:textId="7241C627" w:rsidR="009F1C58" w:rsidRPr="00D416A7" w:rsidRDefault="007760F8" w:rsidP="00D416A7">
      <w:pPr>
        <w:rPr>
          <w:szCs w:val="22"/>
          <w:lang w:val="en-CA"/>
        </w:rPr>
      </w:pPr>
      <w:r>
        <w:rPr>
          <w:szCs w:val="22"/>
          <w:lang w:val="en-CA"/>
        </w:rPr>
        <w:t>The software was verified and the elements described above are consistently implemented.</w:t>
      </w:r>
      <w:bookmarkStart w:id="0" w:name="_GoBack"/>
      <w:bookmarkEnd w:id="0"/>
    </w:p>
    <w:p w14:paraId="20057364" w14:textId="710F3323" w:rsidR="00CD2A94" w:rsidRPr="00CD2A94" w:rsidRDefault="00CD2A94" w:rsidP="00CD2A94">
      <w:pPr>
        <w:rPr>
          <w:szCs w:val="22"/>
          <w:lang w:val="en-CA"/>
        </w:rPr>
      </w:pPr>
      <w:r>
        <w:rPr>
          <w:szCs w:val="22"/>
          <w:lang w:val="en-CA"/>
        </w:rPr>
        <w:t>Consequent</w:t>
      </w:r>
      <w:r w:rsidR="00C30FD4">
        <w:rPr>
          <w:szCs w:val="22"/>
          <w:lang w:val="en-CA"/>
        </w:rPr>
        <w:t>l</w:t>
      </w:r>
      <w:r>
        <w:rPr>
          <w:szCs w:val="22"/>
          <w:lang w:val="en-CA"/>
        </w:rPr>
        <w:t>y, the software matches the description made in JVET-N0</w:t>
      </w:r>
      <w:r w:rsidR="008C5313">
        <w:rPr>
          <w:szCs w:val="22"/>
          <w:lang w:val="en-CA"/>
        </w:rPr>
        <w:t>388</w:t>
      </w:r>
      <w:r>
        <w:rPr>
          <w:szCs w:val="22"/>
          <w:lang w:val="en-CA"/>
        </w:rPr>
        <w:t>.</w:t>
      </w:r>
    </w:p>
    <w:p w14:paraId="5A08C1CB" w14:textId="19AE12A3" w:rsidR="003C3A6F" w:rsidRDefault="00FE184D" w:rsidP="003C3A6F">
      <w:pPr>
        <w:pStyle w:val="Titre1"/>
        <w:rPr>
          <w:lang w:val="en-CA"/>
        </w:rPr>
      </w:pPr>
      <w:r>
        <w:rPr>
          <w:lang w:val="en-CA"/>
        </w:rPr>
        <w:t>Experiment</w:t>
      </w:r>
      <w:r w:rsidR="00BF38FF">
        <w:rPr>
          <w:lang w:val="en-CA"/>
        </w:rPr>
        <w:t>al</w:t>
      </w:r>
      <w:r>
        <w:rPr>
          <w:lang w:val="en-CA"/>
        </w:rPr>
        <w:t xml:space="preserve"> </w:t>
      </w:r>
      <w:r w:rsidR="003C3A6F">
        <w:rPr>
          <w:lang w:val="en-CA"/>
        </w:rPr>
        <w:t>Results</w:t>
      </w:r>
    </w:p>
    <w:p w14:paraId="5EB3F1C6" w14:textId="62618CF6" w:rsidR="00BE5D92" w:rsidRDefault="00FD1309" w:rsidP="004234F0">
      <w:pPr>
        <w:rPr>
          <w:szCs w:val="22"/>
          <w:lang w:val="en-CA"/>
        </w:rPr>
      </w:pPr>
      <w:r>
        <w:rPr>
          <w:szCs w:val="22"/>
          <w:lang w:val="en-CA"/>
        </w:rPr>
        <w:t>Experiments were performed based on</w:t>
      </w:r>
      <w:r w:rsidR="00FE184D">
        <w:rPr>
          <w:szCs w:val="22"/>
          <w:lang w:val="en-CA"/>
        </w:rPr>
        <w:t xml:space="preserve"> VTM</w:t>
      </w:r>
      <w:r w:rsidR="00391AED">
        <w:rPr>
          <w:szCs w:val="22"/>
          <w:lang w:val="en-CA"/>
        </w:rPr>
        <w:t>4</w:t>
      </w:r>
      <w:r w:rsidR="00FE184D">
        <w:rPr>
          <w:szCs w:val="22"/>
          <w:lang w:val="en-CA"/>
        </w:rPr>
        <w:t>.0,</w:t>
      </w:r>
      <w:r w:rsidR="006B5B24">
        <w:rPr>
          <w:szCs w:val="22"/>
          <w:lang w:val="en-CA"/>
        </w:rPr>
        <w:t xml:space="preserve"> in All Intra configuration, </w:t>
      </w:r>
      <w:r w:rsidR="00FE184D">
        <w:rPr>
          <w:szCs w:val="22"/>
          <w:lang w:val="en-CA"/>
        </w:rPr>
        <w:t xml:space="preserve">using the common test conditions </w:t>
      </w:r>
      <w:r w:rsidR="00A93816">
        <w:rPr>
          <w:szCs w:val="22"/>
          <w:lang w:val="en-CA"/>
        </w:rPr>
        <w:t xml:space="preserve">described in </w:t>
      </w:r>
      <w:r w:rsidR="00FE184D">
        <w:rPr>
          <w:szCs w:val="22"/>
          <w:lang w:val="en-CA"/>
        </w:rPr>
        <w:t>JVET-</w:t>
      </w:r>
      <w:r w:rsidR="006B5B24">
        <w:rPr>
          <w:szCs w:val="22"/>
          <w:lang w:val="en-CA"/>
        </w:rPr>
        <w:t>M</w:t>
      </w:r>
      <w:r w:rsidR="00FE184D">
        <w:rPr>
          <w:szCs w:val="22"/>
          <w:lang w:val="en-CA"/>
        </w:rPr>
        <w:t>1010</w:t>
      </w:r>
      <w:r w:rsidR="00153A2E">
        <w:rPr>
          <w:szCs w:val="22"/>
          <w:lang w:val="en-CA"/>
        </w:rPr>
        <w:t xml:space="preserve">. </w:t>
      </w:r>
    </w:p>
    <w:p w14:paraId="5369B2AD" w14:textId="087B13D9" w:rsidR="00D73F14" w:rsidRDefault="00D73F14" w:rsidP="00D73F14">
      <w:pPr>
        <w:pStyle w:val="Titre2"/>
        <w:rPr>
          <w:lang w:val="en-CA"/>
        </w:rPr>
      </w:pPr>
      <w:r>
        <w:rPr>
          <w:lang w:val="en-CA"/>
        </w:rPr>
        <w:t>Method 1</w:t>
      </w:r>
    </w:p>
    <w:tbl>
      <w:tblPr>
        <w:tblW w:w="7061"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D73F14" w:rsidRPr="00D73F14" w14:paraId="0F747451" w14:textId="77777777" w:rsidTr="00D73F14">
        <w:trPr>
          <w:trHeight w:val="255"/>
        </w:trPr>
        <w:tc>
          <w:tcPr>
            <w:tcW w:w="1640" w:type="dxa"/>
            <w:tcBorders>
              <w:top w:val="nil"/>
              <w:left w:val="nil"/>
              <w:bottom w:val="nil"/>
              <w:right w:val="nil"/>
            </w:tcBorders>
            <w:shd w:val="clear" w:color="auto" w:fill="auto"/>
            <w:noWrap/>
            <w:vAlign w:val="center"/>
            <w:hideMark/>
          </w:tcPr>
          <w:p w14:paraId="0625CF6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fr-FR" w:eastAsia="fr-FR"/>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39194CD"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06712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D73F14">
              <w:rPr>
                <w:rFonts w:ascii="Calibri" w:hAnsi="Calibri" w:cs="Calibri"/>
                <w:color w:val="000000"/>
                <w:sz w:val="24"/>
                <w:szCs w:val="24"/>
                <w:lang w:val="fr-FR" w:eastAsia="fr-FR"/>
              </w:rPr>
              <w:t> </w:t>
            </w:r>
          </w:p>
        </w:tc>
        <w:tc>
          <w:tcPr>
            <w:tcW w:w="1181" w:type="dxa"/>
            <w:tcBorders>
              <w:top w:val="single" w:sz="8" w:space="0" w:color="auto"/>
              <w:left w:val="nil"/>
              <w:bottom w:val="single" w:sz="8" w:space="0" w:color="auto"/>
              <w:right w:val="nil"/>
            </w:tcBorders>
            <w:shd w:val="clear" w:color="auto" w:fill="auto"/>
            <w:noWrap/>
            <w:vAlign w:val="center"/>
            <w:hideMark/>
          </w:tcPr>
          <w:p w14:paraId="192F1E8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FB2566A"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D73F14">
              <w:rPr>
                <w:rFonts w:ascii="Calibri" w:hAnsi="Calibri" w:cs="Calibri"/>
                <w:color w:val="000000"/>
                <w:sz w:val="24"/>
                <w:szCs w:val="24"/>
                <w:lang w:val="fr-FR" w:eastAsia="fr-FR"/>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A9FDA5"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r w:rsidRPr="00D73F14">
              <w:rPr>
                <w:rFonts w:ascii="Calibri" w:hAnsi="Calibri" w:cs="Calibri"/>
                <w:color w:val="000000"/>
                <w:sz w:val="24"/>
                <w:szCs w:val="24"/>
                <w:lang w:val="fr-FR" w:eastAsia="fr-FR"/>
              </w:rPr>
              <w:t> </w:t>
            </w:r>
          </w:p>
        </w:tc>
      </w:tr>
      <w:tr w:rsidR="00D73F14" w:rsidRPr="00D73F14" w14:paraId="53B67C44" w14:textId="77777777" w:rsidTr="00D73F14">
        <w:trPr>
          <w:trHeight w:val="255"/>
        </w:trPr>
        <w:tc>
          <w:tcPr>
            <w:tcW w:w="1640" w:type="dxa"/>
            <w:tcBorders>
              <w:top w:val="nil"/>
              <w:left w:val="nil"/>
              <w:bottom w:val="nil"/>
              <w:right w:val="nil"/>
            </w:tcBorders>
            <w:shd w:val="clear" w:color="auto" w:fill="auto"/>
            <w:noWrap/>
            <w:vAlign w:val="center"/>
            <w:hideMark/>
          </w:tcPr>
          <w:p w14:paraId="019F04F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r-FR" w:eastAsia="fr-FR"/>
              </w:rPr>
            </w:pPr>
          </w:p>
        </w:tc>
        <w:tc>
          <w:tcPr>
            <w:tcW w:w="1060" w:type="dxa"/>
            <w:tcBorders>
              <w:top w:val="nil"/>
              <w:left w:val="single" w:sz="8" w:space="0" w:color="auto"/>
              <w:bottom w:val="nil"/>
              <w:right w:val="nil"/>
            </w:tcBorders>
            <w:shd w:val="clear" w:color="auto" w:fill="auto"/>
            <w:noWrap/>
            <w:vAlign w:val="center"/>
            <w:hideMark/>
          </w:tcPr>
          <w:p w14:paraId="4C8D704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 </w:t>
            </w:r>
          </w:p>
        </w:tc>
        <w:tc>
          <w:tcPr>
            <w:tcW w:w="1060" w:type="dxa"/>
            <w:tcBorders>
              <w:top w:val="nil"/>
              <w:left w:val="nil"/>
              <w:bottom w:val="nil"/>
              <w:right w:val="nil"/>
            </w:tcBorders>
            <w:shd w:val="clear" w:color="auto" w:fill="auto"/>
            <w:noWrap/>
            <w:vAlign w:val="center"/>
            <w:hideMark/>
          </w:tcPr>
          <w:p w14:paraId="69188498"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 </w:t>
            </w:r>
          </w:p>
        </w:tc>
        <w:tc>
          <w:tcPr>
            <w:tcW w:w="1181" w:type="dxa"/>
            <w:tcBorders>
              <w:top w:val="nil"/>
              <w:left w:val="nil"/>
              <w:bottom w:val="nil"/>
              <w:right w:val="nil"/>
            </w:tcBorders>
            <w:shd w:val="clear" w:color="auto" w:fill="auto"/>
            <w:noWrap/>
            <w:vAlign w:val="center"/>
            <w:hideMark/>
          </w:tcPr>
          <w:p w14:paraId="6CA3A0BF"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Over VTM-4.0</w:t>
            </w:r>
          </w:p>
        </w:tc>
        <w:tc>
          <w:tcPr>
            <w:tcW w:w="1060" w:type="dxa"/>
            <w:tcBorders>
              <w:top w:val="nil"/>
              <w:left w:val="nil"/>
              <w:bottom w:val="nil"/>
              <w:right w:val="nil"/>
            </w:tcBorders>
            <w:shd w:val="clear" w:color="auto" w:fill="auto"/>
            <w:noWrap/>
            <w:vAlign w:val="center"/>
            <w:hideMark/>
          </w:tcPr>
          <w:p w14:paraId="5C5A9DF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 </w:t>
            </w:r>
          </w:p>
        </w:tc>
        <w:tc>
          <w:tcPr>
            <w:tcW w:w="1060" w:type="dxa"/>
            <w:tcBorders>
              <w:top w:val="nil"/>
              <w:left w:val="nil"/>
              <w:bottom w:val="nil"/>
              <w:right w:val="single" w:sz="8" w:space="0" w:color="auto"/>
            </w:tcBorders>
            <w:shd w:val="clear" w:color="auto" w:fill="auto"/>
            <w:noWrap/>
            <w:vAlign w:val="center"/>
            <w:hideMark/>
          </w:tcPr>
          <w:p w14:paraId="1B6A2FBF"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D73F14">
              <w:rPr>
                <w:rFonts w:ascii="Arial" w:hAnsi="Arial" w:cs="Arial"/>
                <w:b/>
                <w:bCs/>
                <w:color w:val="000000"/>
                <w:sz w:val="18"/>
                <w:szCs w:val="18"/>
                <w:lang w:val="fr-FR" w:eastAsia="fr-FR"/>
              </w:rPr>
              <w:t> </w:t>
            </w:r>
          </w:p>
        </w:tc>
      </w:tr>
      <w:tr w:rsidR="00D73F14" w:rsidRPr="00D73F14" w14:paraId="0027936B" w14:textId="77777777" w:rsidTr="00D73F14">
        <w:trPr>
          <w:trHeight w:val="255"/>
        </w:trPr>
        <w:tc>
          <w:tcPr>
            <w:tcW w:w="1640" w:type="dxa"/>
            <w:tcBorders>
              <w:top w:val="nil"/>
              <w:left w:val="nil"/>
              <w:bottom w:val="nil"/>
              <w:right w:val="nil"/>
            </w:tcBorders>
            <w:shd w:val="clear" w:color="auto" w:fill="auto"/>
            <w:noWrap/>
            <w:vAlign w:val="center"/>
            <w:hideMark/>
          </w:tcPr>
          <w:p w14:paraId="1ACA1A4B"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060" w:type="dxa"/>
            <w:tcBorders>
              <w:top w:val="nil"/>
              <w:left w:val="single" w:sz="8" w:space="0" w:color="auto"/>
              <w:bottom w:val="single" w:sz="8" w:space="0" w:color="auto"/>
              <w:right w:val="nil"/>
            </w:tcBorders>
            <w:shd w:val="clear" w:color="auto" w:fill="auto"/>
            <w:noWrap/>
            <w:vAlign w:val="center"/>
            <w:hideMark/>
          </w:tcPr>
          <w:p w14:paraId="565F5DB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Y</w:t>
            </w:r>
          </w:p>
        </w:tc>
        <w:tc>
          <w:tcPr>
            <w:tcW w:w="1060" w:type="dxa"/>
            <w:tcBorders>
              <w:top w:val="nil"/>
              <w:left w:val="nil"/>
              <w:bottom w:val="single" w:sz="8" w:space="0" w:color="auto"/>
              <w:right w:val="nil"/>
            </w:tcBorders>
            <w:shd w:val="clear" w:color="auto" w:fill="auto"/>
            <w:noWrap/>
            <w:vAlign w:val="center"/>
            <w:hideMark/>
          </w:tcPr>
          <w:p w14:paraId="239A8D8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U</w:t>
            </w:r>
          </w:p>
        </w:tc>
        <w:tc>
          <w:tcPr>
            <w:tcW w:w="1181" w:type="dxa"/>
            <w:tcBorders>
              <w:top w:val="nil"/>
              <w:left w:val="nil"/>
              <w:bottom w:val="single" w:sz="8" w:space="0" w:color="auto"/>
              <w:right w:val="single" w:sz="4" w:space="0" w:color="auto"/>
            </w:tcBorders>
            <w:shd w:val="clear" w:color="auto" w:fill="auto"/>
            <w:noWrap/>
            <w:vAlign w:val="center"/>
            <w:hideMark/>
          </w:tcPr>
          <w:p w14:paraId="7B34EE7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V</w:t>
            </w:r>
          </w:p>
        </w:tc>
        <w:tc>
          <w:tcPr>
            <w:tcW w:w="1060" w:type="dxa"/>
            <w:tcBorders>
              <w:top w:val="nil"/>
              <w:left w:val="nil"/>
              <w:bottom w:val="single" w:sz="8" w:space="0" w:color="auto"/>
              <w:right w:val="nil"/>
            </w:tcBorders>
            <w:shd w:val="clear" w:color="auto" w:fill="auto"/>
            <w:noWrap/>
            <w:vAlign w:val="center"/>
            <w:hideMark/>
          </w:tcPr>
          <w:p w14:paraId="38ACB3A1"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73F14">
              <w:rPr>
                <w:rFonts w:ascii="Arial" w:hAnsi="Arial" w:cs="Arial"/>
                <w:color w:val="000000"/>
                <w:sz w:val="18"/>
                <w:szCs w:val="18"/>
                <w:lang w:val="fr-FR" w:eastAsia="fr-FR"/>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73F916"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D73F14">
              <w:rPr>
                <w:rFonts w:ascii="Arial" w:hAnsi="Arial" w:cs="Arial"/>
                <w:color w:val="000000"/>
                <w:sz w:val="18"/>
                <w:szCs w:val="18"/>
                <w:lang w:val="fr-FR" w:eastAsia="fr-FR"/>
              </w:rPr>
              <w:t>DecT</w:t>
            </w:r>
            <w:proofErr w:type="spellEnd"/>
          </w:p>
        </w:tc>
      </w:tr>
      <w:tr w:rsidR="00D73F14" w:rsidRPr="00D73F14" w14:paraId="3CF88A57" w14:textId="77777777" w:rsidTr="00D73F1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1BD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A1</w:t>
            </w:r>
          </w:p>
        </w:tc>
        <w:tc>
          <w:tcPr>
            <w:tcW w:w="1060" w:type="dxa"/>
            <w:tcBorders>
              <w:top w:val="nil"/>
              <w:left w:val="nil"/>
              <w:bottom w:val="nil"/>
              <w:right w:val="nil"/>
            </w:tcBorders>
            <w:shd w:val="clear" w:color="auto" w:fill="auto"/>
            <w:noWrap/>
            <w:vAlign w:val="center"/>
          </w:tcPr>
          <w:p w14:paraId="3AEC6BF0" w14:textId="33DB0952"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tcPr>
          <w:p w14:paraId="1AF5B411" w14:textId="02D155F3"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5F09AB38" w14:textId="19DE5E38"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tcPr>
          <w:p w14:paraId="10FA6248" w14:textId="69C7323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single" w:sz="8" w:space="0" w:color="auto"/>
            </w:tcBorders>
            <w:shd w:val="clear" w:color="auto" w:fill="auto"/>
            <w:noWrap/>
            <w:vAlign w:val="center"/>
          </w:tcPr>
          <w:p w14:paraId="70991CF3" w14:textId="0AF4BB6E"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73F14" w:rsidRPr="00D73F14" w14:paraId="7C6DCD1B" w14:textId="77777777" w:rsidTr="00D73F1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E0136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A2</w:t>
            </w:r>
          </w:p>
        </w:tc>
        <w:tc>
          <w:tcPr>
            <w:tcW w:w="1060" w:type="dxa"/>
            <w:tcBorders>
              <w:top w:val="nil"/>
              <w:left w:val="nil"/>
              <w:bottom w:val="nil"/>
              <w:right w:val="nil"/>
            </w:tcBorders>
            <w:shd w:val="clear" w:color="auto" w:fill="auto"/>
            <w:noWrap/>
            <w:vAlign w:val="center"/>
          </w:tcPr>
          <w:p w14:paraId="20546009" w14:textId="1D7AFBA2"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tcPr>
          <w:p w14:paraId="5FF4ED0B" w14:textId="48486C99"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nil"/>
              <w:right w:val="single" w:sz="4" w:space="0" w:color="auto"/>
            </w:tcBorders>
            <w:shd w:val="clear" w:color="auto" w:fill="auto"/>
            <w:noWrap/>
            <w:vAlign w:val="center"/>
          </w:tcPr>
          <w:p w14:paraId="5236AC8A" w14:textId="4A08A255"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nil"/>
            </w:tcBorders>
            <w:shd w:val="clear" w:color="auto" w:fill="auto"/>
            <w:noWrap/>
            <w:vAlign w:val="center"/>
          </w:tcPr>
          <w:p w14:paraId="16861967" w14:textId="4EA278FF"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nil"/>
              <w:right w:val="single" w:sz="8" w:space="0" w:color="auto"/>
            </w:tcBorders>
            <w:shd w:val="clear" w:color="auto" w:fill="auto"/>
            <w:noWrap/>
            <w:vAlign w:val="center"/>
          </w:tcPr>
          <w:p w14:paraId="31895425" w14:textId="7501518D"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73F14" w:rsidRPr="00D73F14" w14:paraId="65FE7CED" w14:textId="77777777" w:rsidTr="00D73F1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627175"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B</w:t>
            </w:r>
          </w:p>
        </w:tc>
        <w:tc>
          <w:tcPr>
            <w:tcW w:w="1060" w:type="dxa"/>
            <w:tcBorders>
              <w:top w:val="nil"/>
              <w:left w:val="nil"/>
              <w:bottom w:val="nil"/>
              <w:right w:val="nil"/>
            </w:tcBorders>
            <w:shd w:val="clear" w:color="auto" w:fill="auto"/>
            <w:noWrap/>
            <w:vAlign w:val="center"/>
            <w:hideMark/>
          </w:tcPr>
          <w:p w14:paraId="2AA757AB"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70DAFD81"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-0.02%</w:t>
            </w:r>
          </w:p>
        </w:tc>
        <w:tc>
          <w:tcPr>
            <w:tcW w:w="1181" w:type="dxa"/>
            <w:tcBorders>
              <w:top w:val="nil"/>
              <w:left w:val="nil"/>
              <w:bottom w:val="nil"/>
              <w:right w:val="single" w:sz="4" w:space="0" w:color="auto"/>
            </w:tcBorders>
            <w:shd w:val="clear" w:color="auto" w:fill="auto"/>
            <w:noWrap/>
            <w:vAlign w:val="center"/>
            <w:hideMark/>
          </w:tcPr>
          <w:p w14:paraId="1C3C3B85"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0.07%</w:t>
            </w:r>
          </w:p>
        </w:tc>
        <w:tc>
          <w:tcPr>
            <w:tcW w:w="1060" w:type="dxa"/>
            <w:tcBorders>
              <w:top w:val="nil"/>
              <w:left w:val="nil"/>
              <w:bottom w:val="nil"/>
              <w:right w:val="nil"/>
            </w:tcBorders>
            <w:shd w:val="clear" w:color="auto" w:fill="auto"/>
            <w:noWrap/>
            <w:vAlign w:val="center"/>
            <w:hideMark/>
          </w:tcPr>
          <w:p w14:paraId="4DC4285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794BA4CE"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105%</w:t>
            </w:r>
          </w:p>
        </w:tc>
      </w:tr>
      <w:tr w:rsidR="00D73F14" w:rsidRPr="00D73F14" w14:paraId="18BB4BF9" w14:textId="77777777" w:rsidTr="00D73F1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0B874E"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C</w:t>
            </w:r>
          </w:p>
        </w:tc>
        <w:tc>
          <w:tcPr>
            <w:tcW w:w="1060" w:type="dxa"/>
            <w:tcBorders>
              <w:top w:val="nil"/>
              <w:left w:val="nil"/>
              <w:bottom w:val="nil"/>
              <w:right w:val="nil"/>
            </w:tcBorders>
            <w:shd w:val="clear" w:color="auto" w:fill="auto"/>
            <w:noWrap/>
            <w:vAlign w:val="center"/>
            <w:hideMark/>
          </w:tcPr>
          <w:p w14:paraId="2852BB2A"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0.02%</w:t>
            </w:r>
          </w:p>
        </w:tc>
        <w:tc>
          <w:tcPr>
            <w:tcW w:w="1060" w:type="dxa"/>
            <w:tcBorders>
              <w:top w:val="nil"/>
              <w:left w:val="nil"/>
              <w:bottom w:val="nil"/>
              <w:right w:val="nil"/>
            </w:tcBorders>
            <w:shd w:val="clear" w:color="auto" w:fill="auto"/>
            <w:noWrap/>
            <w:vAlign w:val="center"/>
            <w:hideMark/>
          </w:tcPr>
          <w:p w14:paraId="08E30F9B"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-0.08%</w:t>
            </w:r>
          </w:p>
        </w:tc>
        <w:tc>
          <w:tcPr>
            <w:tcW w:w="1181" w:type="dxa"/>
            <w:tcBorders>
              <w:top w:val="nil"/>
              <w:left w:val="nil"/>
              <w:bottom w:val="nil"/>
              <w:right w:val="single" w:sz="4" w:space="0" w:color="auto"/>
            </w:tcBorders>
            <w:shd w:val="clear" w:color="auto" w:fill="auto"/>
            <w:noWrap/>
            <w:vAlign w:val="center"/>
            <w:hideMark/>
          </w:tcPr>
          <w:p w14:paraId="09DA5C84"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-0.05%</w:t>
            </w:r>
          </w:p>
        </w:tc>
        <w:tc>
          <w:tcPr>
            <w:tcW w:w="1060" w:type="dxa"/>
            <w:tcBorders>
              <w:top w:val="nil"/>
              <w:left w:val="nil"/>
              <w:bottom w:val="nil"/>
              <w:right w:val="nil"/>
            </w:tcBorders>
            <w:shd w:val="clear" w:color="auto" w:fill="auto"/>
            <w:noWrap/>
            <w:vAlign w:val="center"/>
            <w:hideMark/>
          </w:tcPr>
          <w:p w14:paraId="191BF811"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61085BE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109%</w:t>
            </w:r>
          </w:p>
        </w:tc>
      </w:tr>
      <w:tr w:rsidR="00D73F14" w:rsidRPr="00D73F14" w14:paraId="1D02B6BF" w14:textId="77777777" w:rsidTr="00D73F1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5E3DC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E</w:t>
            </w:r>
          </w:p>
        </w:tc>
        <w:tc>
          <w:tcPr>
            <w:tcW w:w="1060" w:type="dxa"/>
            <w:tcBorders>
              <w:top w:val="nil"/>
              <w:left w:val="nil"/>
              <w:bottom w:val="nil"/>
              <w:right w:val="nil"/>
            </w:tcBorders>
            <w:shd w:val="clear" w:color="auto" w:fill="auto"/>
            <w:noWrap/>
            <w:vAlign w:val="center"/>
            <w:hideMark/>
          </w:tcPr>
          <w:p w14:paraId="0E74456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-0.01%</w:t>
            </w:r>
          </w:p>
        </w:tc>
        <w:tc>
          <w:tcPr>
            <w:tcW w:w="1060" w:type="dxa"/>
            <w:tcBorders>
              <w:top w:val="nil"/>
              <w:left w:val="nil"/>
              <w:bottom w:val="nil"/>
              <w:right w:val="nil"/>
            </w:tcBorders>
            <w:shd w:val="clear" w:color="auto" w:fill="auto"/>
            <w:noWrap/>
            <w:vAlign w:val="center"/>
            <w:hideMark/>
          </w:tcPr>
          <w:p w14:paraId="1D980313"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0.09%</w:t>
            </w:r>
          </w:p>
        </w:tc>
        <w:tc>
          <w:tcPr>
            <w:tcW w:w="1181" w:type="dxa"/>
            <w:tcBorders>
              <w:top w:val="nil"/>
              <w:left w:val="nil"/>
              <w:bottom w:val="nil"/>
              <w:right w:val="single" w:sz="4" w:space="0" w:color="auto"/>
            </w:tcBorders>
            <w:shd w:val="clear" w:color="auto" w:fill="auto"/>
            <w:noWrap/>
            <w:vAlign w:val="center"/>
            <w:hideMark/>
          </w:tcPr>
          <w:p w14:paraId="6BBAA446"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-0.14%</w:t>
            </w:r>
          </w:p>
        </w:tc>
        <w:tc>
          <w:tcPr>
            <w:tcW w:w="1060" w:type="dxa"/>
            <w:tcBorders>
              <w:top w:val="nil"/>
              <w:left w:val="nil"/>
              <w:bottom w:val="nil"/>
              <w:right w:val="nil"/>
            </w:tcBorders>
            <w:shd w:val="clear" w:color="auto" w:fill="auto"/>
            <w:noWrap/>
            <w:vAlign w:val="center"/>
            <w:hideMark/>
          </w:tcPr>
          <w:p w14:paraId="723D105B"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93%</w:t>
            </w:r>
          </w:p>
        </w:tc>
        <w:tc>
          <w:tcPr>
            <w:tcW w:w="1060" w:type="dxa"/>
            <w:tcBorders>
              <w:top w:val="nil"/>
              <w:left w:val="nil"/>
              <w:bottom w:val="nil"/>
              <w:right w:val="single" w:sz="8" w:space="0" w:color="auto"/>
            </w:tcBorders>
            <w:shd w:val="clear" w:color="auto" w:fill="auto"/>
            <w:noWrap/>
            <w:vAlign w:val="center"/>
            <w:hideMark/>
          </w:tcPr>
          <w:p w14:paraId="2BA967E0"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107%</w:t>
            </w:r>
          </w:p>
        </w:tc>
      </w:tr>
      <w:tr w:rsidR="00D73F14" w:rsidRPr="00D73F14" w14:paraId="600F0536" w14:textId="77777777" w:rsidTr="00D73F1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983F9"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D73F14">
              <w:rPr>
                <w:rFonts w:ascii="Arial" w:hAnsi="Arial" w:cs="Arial"/>
                <w:b/>
                <w:bCs/>
                <w:color w:val="000000"/>
                <w:sz w:val="18"/>
                <w:szCs w:val="18"/>
                <w:lang w:val="fr-FR" w:eastAsia="fr-FR"/>
              </w:rPr>
              <w:t>Overall</w:t>
            </w:r>
            <w:proofErr w:type="spellEnd"/>
            <w:r w:rsidRPr="00D73F14">
              <w:rPr>
                <w:rFonts w:ascii="Arial" w:hAnsi="Arial" w:cs="Arial"/>
                <w:b/>
                <w:bCs/>
                <w:color w:val="000000"/>
                <w:sz w:val="18"/>
                <w:szCs w:val="18"/>
                <w:lang w:val="fr-FR" w:eastAsia="fr-FR"/>
              </w:rPr>
              <w:t xml:space="preserve"> </w:t>
            </w:r>
          </w:p>
        </w:tc>
        <w:tc>
          <w:tcPr>
            <w:tcW w:w="1060" w:type="dxa"/>
            <w:tcBorders>
              <w:top w:val="single" w:sz="8" w:space="0" w:color="auto"/>
              <w:left w:val="nil"/>
              <w:bottom w:val="nil"/>
              <w:right w:val="nil"/>
            </w:tcBorders>
            <w:shd w:val="clear" w:color="auto" w:fill="auto"/>
            <w:noWrap/>
            <w:vAlign w:val="center"/>
          </w:tcPr>
          <w:p w14:paraId="2FB89EFB" w14:textId="549E41B8"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nil"/>
              <w:bottom w:val="nil"/>
              <w:right w:val="nil"/>
            </w:tcBorders>
            <w:shd w:val="clear" w:color="auto" w:fill="auto"/>
            <w:noWrap/>
            <w:vAlign w:val="center"/>
          </w:tcPr>
          <w:p w14:paraId="58B7CD83" w14:textId="424B0F7F"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single" w:sz="8" w:space="0" w:color="auto"/>
              <w:left w:val="nil"/>
              <w:bottom w:val="nil"/>
              <w:right w:val="single" w:sz="4" w:space="0" w:color="auto"/>
            </w:tcBorders>
            <w:shd w:val="clear" w:color="auto" w:fill="auto"/>
            <w:noWrap/>
            <w:vAlign w:val="center"/>
          </w:tcPr>
          <w:p w14:paraId="1E53FBA0" w14:textId="0F4417A0"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nil"/>
              <w:bottom w:val="nil"/>
              <w:right w:val="nil"/>
            </w:tcBorders>
            <w:shd w:val="clear" w:color="auto" w:fill="auto"/>
            <w:noWrap/>
            <w:vAlign w:val="center"/>
          </w:tcPr>
          <w:p w14:paraId="16E8E538" w14:textId="29E9F40B"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single" w:sz="8" w:space="0" w:color="auto"/>
              <w:left w:val="nil"/>
              <w:bottom w:val="nil"/>
              <w:right w:val="single" w:sz="8" w:space="0" w:color="auto"/>
            </w:tcBorders>
            <w:shd w:val="clear" w:color="auto" w:fill="auto"/>
            <w:noWrap/>
            <w:vAlign w:val="center"/>
          </w:tcPr>
          <w:p w14:paraId="7FAE62BE" w14:textId="1214255C"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r w:rsidR="00D73F14" w:rsidRPr="00D73F14" w14:paraId="74A8568A" w14:textId="77777777" w:rsidTr="00D73F1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B47E1ED"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FB31DD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0.01%</w:t>
            </w:r>
          </w:p>
        </w:tc>
        <w:tc>
          <w:tcPr>
            <w:tcW w:w="1060" w:type="dxa"/>
            <w:tcBorders>
              <w:top w:val="single" w:sz="8" w:space="0" w:color="auto"/>
              <w:left w:val="nil"/>
              <w:bottom w:val="nil"/>
              <w:right w:val="nil"/>
            </w:tcBorders>
            <w:shd w:val="clear" w:color="auto" w:fill="auto"/>
            <w:noWrap/>
            <w:vAlign w:val="center"/>
            <w:hideMark/>
          </w:tcPr>
          <w:p w14:paraId="258D55D1"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3A22050C"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-0.18%</w:t>
            </w:r>
          </w:p>
        </w:tc>
        <w:tc>
          <w:tcPr>
            <w:tcW w:w="1060" w:type="dxa"/>
            <w:tcBorders>
              <w:top w:val="single" w:sz="8" w:space="0" w:color="auto"/>
              <w:left w:val="nil"/>
              <w:bottom w:val="nil"/>
              <w:right w:val="nil"/>
            </w:tcBorders>
            <w:shd w:val="clear" w:color="auto" w:fill="auto"/>
            <w:noWrap/>
            <w:vAlign w:val="center"/>
            <w:hideMark/>
          </w:tcPr>
          <w:p w14:paraId="46287A32"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93%</w:t>
            </w:r>
          </w:p>
        </w:tc>
        <w:tc>
          <w:tcPr>
            <w:tcW w:w="1060" w:type="dxa"/>
            <w:tcBorders>
              <w:top w:val="single" w:sz="8" w:space="0" w:color="auto"/>
              <w:left w:val="nil"/>
              <w:bottom w:val="nil"/>
              <w:right w:val="single" w:sz="8" w:space="0" w:color="auto"/>
            </w:tcBorders>
            <w:shd w:val="clear" w:color="auto" w:fill="auto"/>
            <w:noWrap/>
            <w:vAlign w:val="center"/>
            <w:hideMark/>
          </w:tcPr>
          <w:p w14:paraId="19E4AC07"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109%</w:t>
            </w:r>
          </w:p>
        </w:tc>
      </w:tr>
      <w:tr w:rsidR="00D73F14" w:rsidRPr="00D73F14" w14:paraId="2CE005F9" w14:textId="77777777" w:rsidTr="00D73F1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90CEFB4" w14:textId="77777777"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D73F14">
              <w:rPr>
                <w:rFonts w:ascii="Arial" w:hAnsi="Arial" w:cs="Arial"/>
                <w:color w:val="000000"/>
                <w:sz w:val="18"/>
                <w:szCs w:val="18"/>
                <w:lang w:val="fr-FR" w:eastAsia="fr-FR"/>
              </w:rPr>
              <w:t>Class F</w:t>
            </w:r>
          </w:p>
        </w:tc>
        <w:tc>
          <w:tcPr>
            <w:tcW w:w="1060" w:type="dxa"/>
            <w:tcBorders>
              <w:top w:val="nil"/>
              <w:left w:val="single" w:sz="8" w:space="0" w:color="auto"/>
              <w:bottom w:val="single" w:sz="8" w:space="0" w:color="auto"/>
              <w:right w:val="nil"/>
            </w:tcBorders>
            <w:shd w:val="clear" w:color="auto" w:fill="auto"/>
            <w:noWrap/>
            <w:vAlign w:val="center"/>
          </w:tcPr>
          <w:p w14:paraId="0054CB19" w14:textId="079B0D80"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single" w:sz="8" w:space="0" w:color="auto"/>
              <w:right w:val="nil"/>
            </w:tcBorders>
            <w:shd w:val="clear" w:color="auto" w:fill="auto"/>
            <w:noWrap/>
            <w:vAlign w:val="center"/>
          </w:tcPr>
          <w:p w14:paraId="5000378D" w14:textId="4E900EF8"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181" w:type="dxa"/>
            <w:tcBorders>
              <w:top w:val="nil"/>
              <w:left w:val="nil"/>
              <w:bottom w:val="single" w:sz="8" w:space="0" w:color="auto"/>
              <w:right w:val="single" w:sz="4" w:space="0" w:color="auto"/>
            </w:tcBorders>
            <w:shd w:val="clear" w:color="auto" w:fill="auto"/>
            <w:noWrap/>
            <w:vAlign w:val="center"/>
          </w:tcPr>
          <w:p w14:paraId="33600247" w14:textId="2219B060"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single" w:sz="8" w:space="0" w:color="auto"/>
              <w:right w:val="nil"/>
            </w:tcBorders>
            <w:shd w:val="clear" w:color="auto" w:fill="auto"/>
            <w:noWrap/>
            <w:vAlign w:val="center"/>
          </w:tcPr>
          <w:p w14:paraId="05442ECB" w14:textId="3EB78943"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c>
          <w:tcPr>
            <w:tcW w:w="1060" w:type="dxa"/>
            <w:tcBorders>
              <w:top w:val="nil"/>
              <w:left w:val="nil"/>
              <w:bottom w:val="single" w:sz="8" w:space="0" w:color="auto"/>
              <w:right w:val="single" w:sz="8" w:space="0" w:color="auto"/>
            </w:tcBorders>
            <w:shd w:val="clear" w:color="auto" w:fill="auto"/>
            <w:noWrap/>
            <w:vAlign w:val="center"/>
          </w:tcPr>
          <w:p w14:paraId="23C3E2C9" w14:textId="564C0DBA" w:rsidR="00D73F14" w:rsidRPr="00D73F14" w:rsidRDefault="00D73F14" w:rsidP="00D73F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
        </w:tc>
      </w:tr>
    </w:tbl>
    <w:p w14:paraId="3A15B00B" w14:textId="2016205C" w:rsidR="008C5313" w:rsidRDefault="00BC63F8" w:rsidP="004234F0">
      <w:pPr>
        <w:rPr>
          <w:lang w:val="en-CA"/>
        </w:rPr>
      </w:pPr>
      <w:r>
        <w:rPr>
          <w:lang w:val="en-CA"/>
        </w:rPr>
        <w:t>The</w:t>
      </w:r>
      <w:r w:rsidR="007677D9">
        <w:rPr>
          <w:lang w:val="en-CA"/>
        </w:rPr>
        <w:t xml:space="preserve"> average BD-rates match those provided by the proponents</w:t>
      </w:r>
      <w:r w:rsidR="008C5313">
        <w:rPr>
          <w:lang w:val="en-CA"/>
        </w:rPr>
        <w:t xml:space="preserve">. Note that the </w:t>
      </w:r>
      <w:r w:rsidRPr="00E57FBF">
        <w:rPr>
          <w:lang w:val="en-CA"/>
        </w:rPr>
        <w:t xml:space="preserve">execution times are </w:t>
      </w:r>
      <w:r w:rsidR="008C5313" w:rsidRPr="00D73F14">
        <w:rPr>
          <w:u w:val="single"/>
          <w:lang w:val="en-CA"/>
        </w:rPr>
        <w:t>NOT reliable</w:t>
      </w:r>
      <w:r w:rsidR="008C5313">
        <w:rPr>
          <w:lang w:val="en-CA"/>
        </w:rPr>
        <w:t xml:space="preserve"> as the measurement on the experiment and the anchors were performed on different computing architectures. According to the modifications in the software, the encoding and decoding runtimes should be in the range of 100%</w:t>
      </w:r>
    </w:p>
    <w:p w14:paraId="0BE423DF" w14:textId="77777777" w:rsidR="00D73F14" w:rsidRDefault="00D73F14" w:rsidP="004234F0">
      <w:pPr>
        <w:rPr>
          <w:lang w:val="en-CA"/>
        </w:rPr>
      </w:pPr>
    </w:p>
    <w:p w14:paraId="6E31A3A8" w14:textId="77777777" w:rsidR="00101DC3" w:rsidRDefault="00101DC3" w:rsidP="004234F0">
      <w:pPr>
        <w:rPr>
          <w:szCs w:val="22"/>
          <w:lang w:val="en-CA"/>
        </w:rPr>
      </w:pPr>
    </w:p>
    <w:p w14:paraId="6AE807E6" w14:textId="77777777" w:rsidR="001A6A42" w:rsidRDefault="001A6A42" w:rsidP="001A6A42">
      <w:pPr>
        <w:pStyle w:val="Titre1"/>
        <w:rPr>
          <w:rFonts w:eastAsia="SimSun"/>
          <w:lang w:val="en-CA"/>
        </w:rPr>
      </w:pPr>
      <w:r>
        <w:rPr>
          <w:rFonts w:eastAsia="SimSun"/>
          <w:lang w:val="en-CA"/>
        </w:rPr>
        <w:t>Patent rights declaration</w:t>
      </w:r>
    </w:p>
    <w:p w14:paraId="4D5CB18D" w14:textId="77777777" w:rsidR="00AE3D92" w:rsidRPr="005B217D" w:rsidRDefault="00AE3D92" w:rsidP="00AE3D92">
      <w:pPr>
        <w:rPr>
          <w:szCs w:val="22"/>
          <w:lang w:val="en-CA"/>
        </w:rPr>
      </w:pPr>
      <w:r>
        <w:rPr>
          <w:b/>
          <w:szCs w:val="22"/>
          <w:lang w:val="en-CA"/>
        </w:rPr>
        <w:t xml:space="preserve">Orange and b&lt;&gt;com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8144B21" w14:textId="77777777" w:rsidR="00AE3D92" w:rsidRPr="005B217D" w:rsidRDefault="00AE3D92" w:rsidP="00AE3D92">
      <w:pPr>
        <w:rPr>
          <w:szCs w:val="22"/>
          <w:lang w:val="en-CA"/>
        </w:rPr>
      </w:pPr>
    </w:p>
    <w:p w14:paraId="32EAF635" w14:textId="472ABB35" w:rsidR="007F1F8B" w:rsidRPr="001A6A42" w:rsidRDefault="007F1F8B" w:rsidP="009234A5">
      <w:pPr>
        <w:rPr>
          <w:rFonts w:eastAsia="SimSun"/>
          <w:szCs w:val="22"/>
          <w:lang w:val="en-CA"/>
        </w:rPr>
      </w:pPr>
    </w:p>
    <w:sectPr w:rsidR="007F1F8B" w:rsidRPr="001A6A42"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26820" w14:textId="77777777" w:rsidR="00E81B1B" w:rsidRDefault="00E81B1B">
      <w:r>
        <w:separator/>
      </w:r>
    </w:p>
  </w:endnote>
  <w:endnote w:type="continuationSeparator" w:id="0">
    <w:p w14:paraId="1E8741DC" w14:textId="77777777" w:rsidR="00E81B1B" w:rsidRDefault="00E8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0F3CA9C"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FD1309">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8C5313">
      <w:rPr>
        <w:rStyle w:val="Numrodepage"/>
        <w:noProof/>
      </w:rPr>
      <w:t>2019-03-20</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BFD4" w14:textId="77777777" w:rsidR="00E81B1B" w:rsidRDefault="00E81B1B">
      <w:r>
        <w:separator/>
      </w:r>
    </w:p>
  </w:footnote>
  <w:footnote w:type="continuationSeparator" w:id="0">
    <w:p w14:paraId="07CE764B" w14:textId="77777777" w:rsidR="00E81B1B" w:rsidRDefault="00E81B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6247"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40D6FC7"/>
    <w:multiLevelType w:val="hybridMultilevel"/>
    <w:tmpl w:val="359AB054"/>
    <w:lvl w:ilvl="0" w:tplc="040C0001">
      <w:start w:val="3"/>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54F6"/>
    <w:rsid w:val="00025D89"/>
    <w:rsid w:val="000308A3"/>
    <w:rsid w:val="000458BC"/>
    <w:rsid w:val="00045C41"/>
    <w:rsid w:val="00046C03"/>
    <w:rsid w:val="00065039"/>
    <w:rsid w:val="0007614F"/>
    <w:rsid w:val="00081398"/>
    <w:rsid w:val="00094479"/>
    <w:rsid w:val="000962AC"/>
    <w:rsid w:val="000B0C0F"/>
    <w:rsid w:val="000B1C6B"/>
    <w:rsid w:val="000B4FF9"/>
    <w:rsid w:val="000C09AC"/>
    <w:rsid w:val="000D2E39"/>
    <w:rsid w:val="000E00F3"/>
    <w:rsid w:val="000F158C"/>
    <w:rsid w:val="00101DC3"/>
    <w:rsid w:val="00102F3D"/>
    <w:rsid w:val="00124E38"/>
    <w:rsid w:val="0012580B"/>
    <w:rsid w:val="00131F90"/>
    <w:rsid w:val="0013458C"/>
    <w:rsid w:val="0013526E"/>
    <w:rsid w:val="00146152"/>
    <w:rsid w:val="00153A2E"/>
    <w:rsid w:val="00155526"/>
    <w:rsid w:val="0016127D"/>
    <w:rsid w:val="00171371"/>
    <w:rsid w:val="00175A24"/>
    <w:rsid w:val="00187E58"/>
    <w:rsid w:val="001A297E"/>
    <w:rsid w:val="001A368E"/>
    <w:rsid w:val="001A6A42"/>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D0E"/>
    <w:rsid w:val="002375C1"/>
    <w:rsid w:val="00250AFC"/>
    <w:rsid w:val="00260279"/>
    <w:rsid w:val="00263398"/>
    <w:rsid w:val="00263B99"/>
    <w:rsid w:val="00266F06"/>
    <w:rsid w:val="00275BCF"/>
    <w:rsid w:val="00291E36"/>
    <w:rsid w:val="00292257"/>
    <w:rsid w:val="002A54E0"/>
    <w:rsid w:val="002B1595"/>
    <w:rsid w:val="002B191D"/>
    <w:rsid w:val="002B2E83"/>
    <w:rsid w:val="002D0AF6"/>
    <w:rsid w:val="002F164D"/>
    <w:rsid w:val="002F1DB1"/>
    <w:rsid w:val="002F335D"/>
    <w:rsid w:val="003021BC"/>
    <w:rsid w:val="00306206"/>
    <w:rsid w:val="00317D85"/>
    <w:rsid w:val="00327C56"/>
    <w:rsid w:val="003315A1"/>
    <w:rsid w:val="003373EC"/>
    <w:rsid w:val="00337707"/>
    <w:rsid w:val="00342FF4"/>
    <w:rsid w:val="00344E5A"/>
    <w:rsid w:val="00346148"/>
    <w:rsid w:val="003669EA"/>
    <w:rsid w:val="003706CC"/>
    <w:rsid w:val="00377710"/>
    <w:rsid w:val="00386CE9"/>
    <w:rsid w:val="00391AED"/>
    <w:rsid w:val="003A2D8E"/>
    <w:rsid w:val="003A7CE6"/>
    <w:rsid w:val="003B66B6"/>
    <w:rsid w:val="003C20E4"/>
    <w:rsid w:val="003C3A6F"/>
    <w:rsid w:val="003D6342"/>
    <w:rsid w:val="003E6F90"/>
    <w:rsid w:val="003E73ED"/>
    <w:rsid w:val="003F31A1"/>
    <w:rsid w:val="003F5D0F"/>
    <w:rsid w:val="00403A26"/>
    <w:rsid w:val="00407D4F"/>
    <w:rsid w:val="00414101"/>
    <w:rsid w:val="004219CF"/>
    <w:rsid w:val="004234F0"/>
    <w:rsid w:val="00433DDB"/>
    <w:rsid w:val="00435A29"/>
    <w:rsid w:val="00436ADD"/>
    <w:rsid w:val="00437619"/>
    <w:rsid w:val="00465A1E"/>
    <w:rsid w:val="00472D8D"/>
    <w:rsid w:val="00480995"/>
    <w:rsid w:val="0049445A"/>
    <w:rsid w:val="004A2A63"/>
    <w:rsid w:val="004B210C"/>
    <w:rsid w:val="004B4100"/>
    <w:rsid w:val="004C67D2"/>
    <w:rsid w:val="004D405F"/>
    <w:rsid w:val="004E4F4F"/>
    <w:rsid w:val="004E6789"/>
    <w:rsid w:val="004F61E3"/>
    <w:rsid w:val="00502E10"/>
    <w:rsid w:val="0051015C"/>
    <w:rsid w:val="00516CF1"/>
    <w:rsid w:val="00522B19"/>
    <w:rsid w:val="005313E7"/>
    <w:rsid w:val="00531AE9"/>
    <w:rsid w:val="00542C7F"/>
    <w:rsid w:val="00550A66"/>
    <w:rsid w:val="00567EC7"/>
    <w:rsid w:val="00570013"/>
    <w:rsid w:val="005753EC"/>
    <w:rsid w:val="005801A2"/>
    <w:rsid w:val="005952A5"/>
    <w:rsid w:val="005A33A1"/>
    <w:rsid w:val="005B217D"/>
    <w:rsid w:val="005C385F"/>
    <w:rsid w:val="005D276D"/>
    <w:rsid w:val="005E1AC6"/>
    <w:rsid w:val="005E789B"/>
    <w:rsid w:val="005F5AFA"/>
    <w:rsid w:val="005F6F1B"/>
    <w:rsid w:val="00605D0A"/>
    <w:rsid w:val="00615995"/>
    <w:rsid w:val="00616155"/>
    <w:rsid w:val="00621237"/>
    <w:rsid w:val="00624B33"/>
    <w:rsid w:val="0063041A"/>
    <w:rsid w:val="00630AA2"/>
    <w:rsid w:val="00646707"/>
    <w:rsid w:val="00657F7E"/>
    <w:rsid w:val="00662E58"/>
    <w:rsid w:val="006637F2"/>
    <w:rsid w:val="006642A5"/>
    <w:rsid w:val="00664DCF"/>
    <w:rsid w:val="006B3DC0"/>
    <w:rsid w:val="006B5B24"/>
    <w:rsid w:val="006C5D39"/>
    <w:rsid w:val="006D1E23"/>
    <w:rsid w:val="006D6D9B"/>
    <w:rsid w:val="006E2810"/>
    <w:rsid w:val="006E41E7"/>
    <w:rsid w:val="006E5417"/>
    <w:rsid w:val="006F0794"/>
    <w:rsid w:val="006F7528"/>
    <w:rsid w:val="007023DE"/>
    <w:rsid w:val="00712F60"/>
    <w:rsid w:val="00720E3B"/>
    <w:rsid w:val="0074393F"/>
    <w:rsid w:val="00745F6B"/>
    <w:rsid w:val="0075479D"/>
    <w:rsid w:val="0075585E"/>
    <w:rsid w:val="007677D9"/>
    <w:rsid w:val="00770571"/>
    <w:rsid w:val="007760F8"/>
    <w:rsid w:val="007768FF"/>
    <w:rsid w:val="007824D3"/>
    <w:rsid w:val="00785B7A"/>
    <w:rsid w:val="00796120"/>
    <w:rsid w:val="00796EE3"/>
    <w:rsid w:val="007A7D29"/>
    <w:rsid w:val="007B4AB8"/>
    <w:rsid w:val="007D1181"/>
    <w:rsid w:val="007E01A3"/>
    <w:rsid w:val="007F1F8B"/>
    <w:rsid w:val="007F4C3C"/>
    <w:rsid w:val="007F5968"/>
    <w:rsid w:val="007F67A1"/>
    <w:rsid w:val="00811C05"/>
    <w:rsid w:val="008206C8"/>
    <w:rsid w:val="0085466A"/>
    <w:rsid w:val="0086387C"/>
    <w:rsid w:val="00874A6C"/>
    <w:rsid w:val="00876C65"/>
    <w:rsid w:val="008A4B4C"/>
    <w:rsid w:val="008A5D05"/>
    <w:rsid w:val="008C239F"/>
    <w:rsid w:val="008C5313"/>
    <w:rsid w:val="008E480C"/>
    <w:rsid w:val="0090286F"/>
    <w:rsid w:val="00903722"/>
    <w:rsid w:val="00907757"/>
    <w:rsid w:val="00912492"/>
    <w:rsid w:val="009212B0"/>
    <w:rsid w:val="00921FA1"/>
    <w:rsid w:val="009234A5"/>
    <w:rsid w:val="00933453"/>
    <w:rsid w:val="009336F7"/>
    <w:rsid w:val="0093636C"/>
    <w:rsid w:val="009374A7"/>
    <w:rsid w:val="009459D9"/>
    <w:rsid w:val="00955F6D"/>
    <w:rsid w:val="0096152A"/>
    <w:rsid w:val="00967A11"/>
    <w:rsid w:val="00974EA7"/>
    <w:rsid w:val="00977C16"/>
    <w:rsid w:val="0098551D"/>
    <w:rsid w:val="0099518F"/>
    <w:rsid w:val="009978F9"/>
    <w:rsid w:val="009A523D"/>
    <w:rsid w:val="009B02A1"/>
    <w:rsid w:val="009B3361"/>
    <w:rsid w:val="009D7CE6"/>
    <w:rsid w:val="009F1C58"/>
    <w:rsid w:val="009F496B"/>
    <w:rsid w:val="00A01439"/>
    <w:rsid w:val="00A02E61"/>
    <w:rsid w:val="00A05CFF"/>
    <w:rsid w:val="00A068D2"/>
    <w:rsid w:val="00A13048"/>
    <w:rsid w:val="00A14D98"/>
    <w:rsid w:val="00A46843"/>
    <w:rsid w:val="00A56B97"/>
    <w:rsid w:val="00A57166"/>
    <w:rsid w:val="00A6093D"/>
    <w:rsid w:val="00A621AC"/>
    <w:rsid w:val="00A71E2C"/>
    <w:rsid w:val="00A767DC"/>
    <w:rsid w:val="00A76A6D"/>
    <w:rsid w:val="00A83253"/>
    <w:rsid w:val="00A93816"/>
    <w:rsid w:val="00A93DBD"/>
    <w:rsid w:val="00AA6E84"/>
    <w:rsid w:val="00AB01CF"/>
    <w:rsid w:val="00AB1A1C"/>
    <w:rsid w:val="00AD05A8"/>
    <w:rsid w:val="00AD2E77"/>
    <w:rsid w:val="00AD7DAC"/>
    <w:rsid w:val="00AE341B"/>
    <w:rsid w:val="00AE3D92"/>
    <w:rsid w:val="00B006FE"/>
    <w:rsid w:val="00B01905"/>
    <w:rsid w:val="00B07CA7"/>
    <w:rsid w:val="00B1067E"/>
    <w:rsid w:val="00B1279A"/>
    <w:rsid w:val="00B4194A"/>
    <w:rsid w:val="00B437E8"/>
    <w:rsid w:val="00B5222E"/>
    <w:rsid w:val="00B53179"/>
    <w:rsid w:val="00B57A23"/>
    <w:rsid w:val="00B57FA9"/>
    <w:rsid w:val="00B600CD"/>
    <w:rsid w:val="00B61C96"/>
    <w:rsid w:val="00B73A2A"/>
    <w:rsid w:val="00B75A51"/>
    <w:rsid w:val="00B827C6"/>
    <w:rsid w:val="00B94B06"/>
    <w:rsid w:val="00B94C28"/>
    <w:rsid w:val="00BA789A"/>
    <w:rsid w:val="00BC10BA"/>
    <w:rsid w:val="00BC5AFD"/>
    <w:rsid w:val="00BC63F8"/>
    <w:rsid w:val="00BE5D92"/>
    <w:rsid w:val="00BE725E"/>
    <w:rsid w:val="00BF38FF"/>
    <w:rsid w:val="00BF7275"/>
    <w:rsid w:val="00C00DDE"/>
    <w:rsid w:val="00C04F43"/>
    <w:rsid w:val="00C0609D"/>
    <w:rsid w:val="00C06663"/>
    <w:rsid w:val="00C115AB"/>
    <w:rsid w:val="00C13B82"/>
    <w:rsid w:val="00C26CCB"/>
    <w:rsid w:val="00C27311"/>
    <w:rsid w:val="00C30249"/>
    <w:rsid w:val="00C30FD4"/>
    <w:rsid w:val="00C3723B"/>
    <w:rsid w:val="00C42466"/>
    <w:rsid w:val="00C5169F"/>
    <w:rsid w:val="00C5476C"/>
    <w:rsid w:val="00C606C9"/>
    <w:rsid w:val="00C6451B"/>
    <w:rsid w:val="00C7047B"/>
    <w:rsid w:val="00C80288"/>
    <w:rsid w:val="00C84003"/>
    <w:rsid w:val="00C90650"/>
    <w:rsid w:val="00C97D78"/>
    <w:rsid w:val="00CC2AAE"/>
    <w:rsid w:val="00CC5A42"/>
    <w:rsid w:val="00CD0EAB"/>
    <w:rsid w:val="00CD2A94"/>
    <w:rsid w:val="00CE12E9"/>
    <w:rsid w:val="00CE5E02"/>
    <w:rsid w:val="00CF34DB"/>
    <w:rsid w:val="00CF3917"/>
    <w:rsid w:val="00CF4475"/>
    <w:rsid w:val="00CF558F"/>
    <w:rsid w:val="00D010C0"/>
    <w:rsid w:val="00D073E2"/>
    <w:rsid w:val="00D2509E"/>
    <w:rsid w:val="00D416A7"/>
    <w:rsid w:val="00D446EC"/>
    <w:rsid w:val="00D51BF0"/>
    <w:rsid w:val="00D531DB"/>
    <w:rsid w:val="00D55942"/>
    <w:rsid w:val="00D645D0"/>
    <w:rsid w:val="00D73F14"/>
    <w:rsid w:val="00D807BF"/>
    <w:rsid w:val="00D82FCC"/>
    <w:rsid w:val="00D900ED"/>
    <w:rsid w:val="00DA17FC"/>
    <w:rsid w:val="00DA7887"/>
    <w:rsid w:val="00DB2C26"/>
    <w:rsid w:val="00DB5A93"/>
    <w:rsid w:val="00DC177D"/>
    <w:rsid w:val="00DC22F8"/>
    <w:rsid w:val="00DD02F4"/>
    <w:rsid w:val="00DD6622"/>
    <w:rsid w:val="00DE1C7C"/>
    <w:rsid w:val="00DE6B43"/>
    <w:rsid w:val="00E1147E"/>
    <w:rsid w:val="00E11923"/>
    <w:rsid w:val="00E12794"/>
    <w:rsid w:val="00E262D4"/>
    <w:rsid w:val="00E36250"/>
    <w:rsid w:val="00E37F82"/>
    <w:rsid w:val="00E47F2D"/>
    <w:rsid w:val="00E54511"/>
    <w:rsid w:val="00E61DAC"/>
    <w:rsid w:val="00E72B80"/>
    <w:rsid w:val="00E75FE3"/>
    <w:rsid w:val="00E81B1B"/>
    <w:rsid w:val="00E86C4C"/>
    <w:rsid w:val="00E907A3"/>
    <w:rsid w:val="00EA5AE0"/>
    <w:rsid w:val="00EB56E1"/>
    <w:rsid w:val="00EB7AB1"/>
    <w:rsid w:val="00ED3B52"/>
    <w:rsid w:val="00ED5F84"/>
    <w:rsid w:val="00EE2F5E"/>
    <w:rsid w:val="00EE48AE"/>
    <w:rsid w:val="00EE7CD8"/>
    <w:rsid w:val="00EF37F6"/>
    <w:rsid w:val="00EF48CC"/>
    <w:rsid w:val="00EF7B4C"/>
    <w:rsid w:val="00F00801"/>
    <w:rsid w:val="00F14B88"/>
    <w:rsid w:val="00F2488D"/>
    <w:rsid w:val="00F46586"/>
    <w:rsid w:val="00F601A0"/>
    <w:rsid w:val="00F631B4"/>
    <w:rsid w:val="00F7075D"/>
    <w:rsid w:val="00F712E9"/>
    <w:rsid w:val="00F73032"/>
    <w:rsid w:val="00F848FC"/>
    <w:rsid w:val="00F906F6"/>
    <w:rsid w:val="00F9282A"/>
    <w:rsid w:val="00F96BAD"/>
    <w:rsid w:val="00FA139D"/>
    <w:rsid w:val="00FA60F5"/>
    <w:rsid w:val="00FB0E84"/>
    <w:rsid w:val="00FC2405"/>
    <w:rsid w:val="00FD01C2"/>
    <w:rsid w:val="00FD1309"/>
    <w:rsid w:val="00FE184D"/>
    <w:rsid w:val="00FE595C"/>
    <w:rsid w:val="00FE75F4"/>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5313E7"/>
    <w:rPr>
      <w:color w:val="605E5C"/>
      <w:shd w:val="clear" w:color="auto" w:fill="E1DFDD"/>
    </w:rPr>
  </w:style>
  <w:style w:type="paragraph" w:styleId="NormalWeb">
    <w:name w:val="Normal (Web)"/>
    <w:basedOn w:val="Normal"/>
    <w:uiPriority w:val="99"/>
    <w:unhideWhenUsed/>
    <w:rsid w:val="000254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styleId="Paragraphedeliste">
    <w:name w:val="List Paragraph"/>
    <w:basedOn w:val="Normal"/>
    <w:uiPriority w:val="34"/>
    <w:qFormat/>
    <w:rsid w:val="00785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18663">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554589247">
      <w:bodyDiv w:val="1"/>
      <w:marLeft w:val="0"/>
      <w:marRight w:val="0"/>
      <w:marTop w:val="0"/>
      <w:marBottom w:val="0"/>
      <w:divBdr>
        <w:top w:val="none" w:sz="0" w:space="0" w:color="auto"/>
        <w:left w:val="none" w:sz="0" w:space="0" w:color="auto"/>
        <w:bottom w:val="none" w:sz="0" w:space="0" w:color="auto"/>
        <w:right w:val="none" w:sz="0" w:space="0" w:color="auto"/>
      </w:divBdr>
    </w:div>
    <w:div w:id="587344950">
      <w:bodyDiv w:val="1"/>
      <w:marLeft w:val="0"/>
      <w:marRight w:val="0"/>
      <w:marTop w:val="0"/>
      <w:marBottom w:val="0"/>
      <w:divBdr>
        <w:top w:val="none" w:sz="0" w:space="0" w:color="auto"/>
        <w:left w:val="none" w:sz="0" w:space="0" w:color="auto"/>
        <w:bottom w:val="none" w:sz="0" w:space="0" w:color="auto"/>
        <w:right w:val="none" w:sz="0" w:space="0" w:color="auto"/>
      </w:divBdr>
    </w:div>
    <w:div w:id="767120257">
      <w:bodyDiv w:val="1"/>
      <w:marLeft w:val="0"/>
      <w:marRight w:val="0"/>
      <w:marTop w:val="0"/>
      <w:marBottom w:val="0"/>
      <w:divBdr>
        <w:top w:val="none" w:sz="0" w:space="0" w:color="auto"/>
        <w:left w:val="none" w:sz="0" w:space="0" w:color="auto"/>
        <w:bottom w:val="none" w:sz="0" w:space="0" w:color="auto"/>
        <w:right w:val="none" w:sz="0" w:space="0" w:color="auto"/>
      </w:divBdr>
    </w:div>
    <w:div w:id="830407973">
      <w:bodyDiv w:val="1"/>
      <w:marLeft w:val="0"/>
      <w:marRight w:val="0"/>
      <w:marTop w:val="0"/>
      <w:marBottom w:val="0"/>
      <w:divBdr>
        <w:top w:val="none" w:sz="0" w:space="0" w:color="auto"/>
        <w:left w:val="none" w:sz="0" w:space="0" w:color="auto"/>
        <w:bottom w:val="none" w:sz="0" w:space="0" w:color="auto"/>
        <w:right w:val="none" w:sz="0" w:space="0" w:color="auto"/>
      </w:divBdr>
    </w:div>
    <w:div w:id="1003631875">
      <w:bodyDiv w:val="1"/>
      <w:marLeft w:val="0"/>
      <w:marRight w:val="0"/>
      <w:marTop w:val="0"/>
      <w:marBottom w:val="0"/>
      <w:divBdr>
        <w:top w:val="none" w:sz="0" w:space="0" w:color="auto"/>
        <w:left w:val="none" w:sz="0" w:space="0" w:color="auto"/>
        <w:bottom w:val="none" w:sz="0" w:space="0" w:color="auto"/>
        <w:right w:val="none" w:sz="0" w:space="0" w:color="auto"/>
      </w:divBdr>
    </w:div>
    <w:div w:id="1236357441">
      <w:bodyDiv w:val="1"/>
      <w:marLeft w:val="0"/>
      <w:marRight w:val="0"/>
      <w:marTop w:val="0"/>
      <w:marBottom w:val="0"/>
      <w:divBdr>
        <w:top w:val="none" w:sz="0" w:space="0" w:color="auto"/>
        <w:left w:val="none" w:sz="0" w:space="0" w:color="auto"/>
        <w:bottom w:val="none" w:sz="0" w:space="0" w:color="auto"/>
        <w:right w:val="none" w:sz="0" w:space="0" w:color="auto"/>
      </w:divBdr>
    </w:div>
    <w:div w:id="1464345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8362415">
      <w:bodyDiv w:val="1"/>
      <w:marLeft w:val="0"/>
      <w:marRight w:val="0"/>
      <w:marTop w:val="0"/>
      <w:marBottom w:val="0"/>
      <w:divBdr>
        <w:top w:val="none" w:sz="0" w:space="0" w:color="auto"/>
        <w:left w:val="none" w:sz="0" w:space="0" w:color="auto"/>
        <w:bottom w:val="none" w:sz="0" w:space="0" w:color="auto"/>
        <w:right w:val="none" w:sz="0" w:space="0" w:color="auto"/>
      </w:divBdr>
    </w:div>
    <w:div w:id="21417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ierrick.philippe@or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395</Words>
  <Characters>2174</Characters>
  <Application>Microsoft Office Word</Application>
  <DocSecurity>0</DocSecurity>
  <Lines>18</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2564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Pierrick PHILIPPE</cp:lastModifiedBy>
  <cp:revision>19</cp:revision>
  <cp:lastPrinted>1900-01-01T07:59:00Z</cp:lastPrinted>
  <dcterms:created xsi:type="dcterms:W3CDTF">2019-03-18T15:53:00Z</dcterms:created>
  <dcterms:modified xsi:type="dcterms:W3CDTF">2019-03-21T07:54:00Z</dcterms:modified>
</cp:coreProperties>
</file>