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576" w:type="dxa"/>
        <w:jc w:val="left"/>
        <w:tblInd w:w="0" w:type="dxa"/>
        <w:tblBorders/>
        <w:tblCellMar>
          <w:top w:w="0" w:type="dxa"/>
          <w:left w:w="108" w:type="dxa"/>
          <w:bottom w:w="0" w:type="dxa"/>
          <w:right w:w="108" w:type="dxa"/>
        </w:tblCellMar>
        <w:tblLook w:firstRow="0" w:noVBand="0" w:lastRow="0" w:firstColumn="0" w:lastColumn="0" w:noHBand="0" w:val="0000"/>
      </w:tblPr>
      <w:tblGrid>
        <w:gridCol w:w="6410"/>
        <w:gridCol w:w="3165"/>
      </w:tblGrid>
      <w:tr>
        <w:trPr/>
        <w:tc>
          <w:tcPr>
            <w:tcW w:w="6410" w:type="dxa"/>
            <w:tcBorders/>
            <w:shd w:fill="auto" w:val="clear"/>
          </w:tcPr>
          <w:p>
            <w:pPr>
              <w:pStyle w:val="Normal"/>
              <w:tabs>
                <w:tab w:val="clear" w:pos="720"/>
                <w:tab w:val="left" w:pos="7200" w:leader="none"/>
              </w:tabs>
              <w:spacing w:before="0" w:after="0"/>
              <w:rPr>
                <w:b/>
                <w:b/>
                <w:szCs w:val="22"/>
                <w:lang w:val="en-US"/>
              </w:rPr>
            </w:pPr>
            <w:bookmarkStart w:id="0" w:name="_GoBack"/>
            <w:bookmarkEnd w:id="0"/>
            <w:r>
              <mc:AlternateContent>
                <mc:Choice Requires="wpg">
                  <w:drawing>
                    <wp:anchor behindDoc="0" distT="0" distB="0" distL="114300" distR="114300" simplePos="0" locked="0" layoutInCell="1" allowOverlap="1" relativeHeight="2" wp14:anchorId="7AF4159C">
                      <wp:simplePos x="0" y="0"/>
                      <wp:positionH relativeFrom="column">
                        <wp:posOffset>-74930</wp:posOffset>
                      </wp:positionH>
                      <wp:positionV relativeFrom="paragraph">
                        <wp:posOffset>-351790</wp:posOffset>
                      </wp:positionV>
                      <wp:extent cx="300355" cy="316230"/>
                      <wp:effectExtent l="0" t="0" r="0" b="0"/>
                      <wp:wrapNone/>
                      <wp:docPr id="1" name="Group 2"/>
                      <a:graphic xmlns:a="http://schemas.openxmlformats.org/drawingml/2006/main">
                        <a:graphicData uri="http://schemas.microsoft.com/office/word/2010/wordprocessingGroup">
                          <wpg:wgp>
                            <wpg:cNvGrpSpPr/>
                            <wpg:grpSpPr>
                              <a:xfrm>
                                <a:off x="0" y="0"/>
                                <a:ext cx="299880" cy="315720"/>
                              </a:xfrm>
                            </wpg:grpSpPr>
                            <wps:wsp>
                              <wps:cNvSpPr/>
                              <wps:spPr>
                                <a:xfrm>
                                  <a:off x="0" y="7560"/>
                                  <a:ext cx="3960" cy="304920"/>
                                </a:xfrm>
                                <a:prstGeom prst="line">
                                  <a:avLst/>
                                </a:prstGeom>
                                <a:ln>
                                  <a:solidFill>
                                    <a:srgbClr val="ffffff"/>
                                  </a:solidFill>
                                </a:ln>
                              </wps:spPr>
                              <wps:style>
                                <a:lnRef idx="0"/>
                                <a:fillRef idx="0"/>
                                <a:effectRef idx="0"/>
                                <a:fontRef idx="minor"/>
                              </wps:style>
                              <wps:bodyPr/>
                            </wps:wsp>
                            <wps:wsp>
                              <wps:cNvSpPr/>
                              <wps:spPr>
                                <a:xfrm flipV="1">
                                  <a:off x="3240" y="314280"/>
                                  <a:ext cx="296640" cy="1440"/>
                                </a:xfrm>
                                <a:prstGeom prst="line">
                                  <a:avLst/>
                                </a:prstGeom>
                                <a:ln>
                                  <a:solidFill>
                                    <a:srgbClr val="ffffff"/>
                                  </a:solidFill>
                                </a:ln>
                              </wps:spPr>
                              <wps:style>
                                <a:lnRef idx="0"/>
                                <a:fillRef idx="0"/>
                                <a:effectRef idx="0"/>
                                <a:fontRef idx="minor"/>
                              </wps:style>
                              <wps:bodyPr/>
                            </wps:wsp>
                            <wps:wsp>
                              <wps:cNvSpPr/>
                              <wps:spPr>
                                <a:xfrm flipH="1" flipV="1">
                                  <a:off x="296640" y="5760"/>
                                  <a:ext cx="3240" cy="307800"/>
                                </a:xfrm>
                                <a:prstGeom prst="line">
                                  <a:avLst/>
                                </a:prstGeom>
                                <a:ln>
                                  <a:solidFill>
                                    <a:srgbClr val="ffffff"/>
                                  </a:solidFill>
                                </a:ln>
                              </wps:spPr>
                              <wps:style>
                                <a:lnRef idx="0"/>
                                <a:fillRef idx="0"/>
                                <a:effectRef idx="0"/>
                                <a:fontRef idx="minor"/>
                              </wps:style>
                              <wps:bodyPr/>
                            </wps:wsp>
                            <wps:wsp>
                              <wps:cNvSpPr/>
                              <wps:spPr>
                                <a:xfrm flipH="1">
                                  <a:off x="720" y="5760"/>
                                  <a:ext cx="293400" cy="3240"/>
                                </a:xfrm>
                                <a:prstGeom prst="line">
                                  <a:avLst/>
                                </a:prstGeom>
                                <a:ln>
                                  <a:solidFill>
                                    <a:srgbClr val="ffffff"/>
                                  </a:solidFill>
                                </a:ln>
                              </wps:spPr>
                              <wps:style>
                                <a:lnRef idx="0"/>
                                <a:fillRef idx="0"/>
                                <a:effectRef idx="0"/>
                                <a:fontRef idx="minor"/>
                              </wps:style>
                              <wps:bodyPr/>
                            </wps:wsp>
                            <wps:wsp>
                              <wps:cNvSpPr/>
                              <wps:spPr>
                                <a:xfrm>
                                  <a:off x="0" y="7560"/>
                                  <a:ext cx="1440" cy="1440"/>
                                </a:xfrm>
                                <a:prstGeom prst="line">
                                  <a:avLst/>
                                </a:prstGeom>
                                <a:ln>
                                  <a:solidFill>
                                    <a:srgbClr val="ffffff"/>
                                  </a:solidFill>
                                </a:ln>
                              </wps:spPr>
                              <wps:style>
                                <a:lnRef idx="0"/>
                                <a:fillRef idx="0"/>
                                <a:effectRef idx="0"/>
                                <a:fontRef idx="minor"/>
                              </wps:style>
                              <wps:bodyPr/>
                            </wps:wsp>
                            <wps:wsp>
                              <wps:cNvSpPr/>
                              <wps:spPr>
                                <a:xfrm rot="21571200">
                                  <a:off x="42480" y="63720"/>
                                  <a:ext cx="195480" cy="187200"/>
                                </a:xfrm>
                                <a:custGeom>
                                  <a:avLst/>
                                  <a:gdLst/>
                                  <a:ah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fillRef idx="0"/>
                                <a:effectRef idx="0"/>
                                <a:fontRef idx="minor"/>
                              </wps:style>
                              <wps:bodyPr/>
                            </wps:wsp>
                            <wps:wsp>
                              <wps:cNvSpPr/>
                              <wps:spPr>
                                <a:xfrm rot="21571200">
                                  <a:off x="104760" y="29880"/>
                                  <a:ext cx="108000" cy="259560"/>
                                </a:xfrm>
                                <a:custGeom>
                                  <a:avLst/>
                                  <a:gdLst/>
                                  <a:ah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fillRef idx="0"/>
                                <a:effectRef idx="0"/>
                                <a:fontRef idx="minor"/>
                              </wps:style>
                              <wps:bodyPr/>
                            </wps:wsp>
                            <wps:wsp>
                              <wps:cNvSpPr/>
                              <wps:spPr>
                                <a:xfrm rot="21571200">
                                  <a:off x="157320" y="41400"/>
                                  <a:ext cx="78120" cy="62280"/>
                                </a:xfrm>
                                <a:custGeom>
                                  <a:avLst/>
                                  <a:gdLst/>
                                  <a:ah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fillRef idx="0"/>
                                <a:effectRef idx="0"/>
                                <a:fontRef idx="minor"/>
                              </wps:style>
                              <wps:bodyPr/>
                            </wps:wsp>
                            <wps:wsp>
                              <wps:cNvSpPr/>
                              <wps:spPr>
                                <a:xfrm rot="21571200">
                                  <a:off x="87840" y="27360"/>
                                  <a:ext cx="185400" cy="147240"/>
                                </a:xfrm>
                                <a:custGeom>
                                  <a:avLst/>
                                  <a:gdLst/>
                                  <a:ah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fillRef idx="0"/>
                                <a:effectRef idx="0"/>
                                <a:fontRef idx="minor"/>
                              </wps:style>
                              <wps:bodyPr/>
                            </wps:wsp>
                            <wps:wsp>
                              <wps:cNvSpPr/>
                              <wps:spPr>
                                <a:xfrm rot="21571200">
                                  <a:off x="52560" y="40320"/>
                                  <a:ext cx="221040" cy="153720"/>
                                </a:xfrm>
                                <a:custGeom>
                                  <a:avLst/>
                                  <a:gdLst/>
                                  <a:ah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fillRef idx="0"/>
                                <a:effectRef idx="0"/>
                                <a:fontRef idx="minor"/>
                              </wps:style>
                              <wps:bodyPr/>
                            </wps:wsp>
                            <wps:wsp>
                              <wps:cNvSpPr/>
                              <wps:spPr>
                                <a:xfrm rot="21571200">
                                  <a:off x="9360" y="21960"/>
                                  <a:ext cx="269280" cy="270000"/>
                                </a:xfrm>
                                <a:custGeom>
                                  <a:avLst/>
                                  <a:gdLst/>
                                  <a:ah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fillRef idx="0"/>
                                <a:effectRef idx="0"/>
                                <a:fontRef idx="minor"/>
                              </wps:style>
                              <wps:bodyPr/>
                            </wps:wsp>
                            <wps:wsp>
                              <wps:cNvSpPr/>
                              <wps:spPr>
                                <a:xfrm rot="21571200">
                                  <a:off x="9360" y="24480"/>
                                  <a:ext cx="213480" cy="266040"/>
                                </a:xfrm>
                                <a:custGeom>
                                  <a:avLst/>
                                  <a:gdLst/>
                                  <a:ah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fillRef idx="0"/>
                                <a:effectRef idx="0"/>
                                <a:fontRef idx="minor"/>
                              </wps:style>
                              <wps:bodyPr/>
                            </wps:wsp>
                            <wps:wsp>
                              <wps:cNvSpPr/>
                              <wps:spPr>
                                <a:xfrm rot="21571200">
                                  <a:off x="6480" y="21960"/>
                                  <a:ext cx="269280" cy="243720"/>
                                </a:xfrm>
                                <a:custGeom>
                                  <a:avLst/>
                                  <a:gdLst/>
                                  <a:ah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fillRef idx="0"/>
                                <a:effectRef idx="0"/>
                                <a:fontRef idx="minor"/>
                              </wps:style>
                              <wps:bodyPr/>
                            </wps:wsp>
                            <wps:wsp>
                              <wps:cNvSpPr/>
                              <wps:spPr>
                                <a:xfrm rot="21571200">
                                  <a:off x="9000" y="41040"/>
                                  <a:ext cx="269280" cy="250920"/>
                                </a:xfrm>
                                <a:custGeom>
                                  <a:avLst/>
                                  <a:gdLst/>
                                  <a:ah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fillRef idx="0"/>
                                <a:effectRef idx="0"/>
                                <a:fontRef idx="minor"/>
                              </wps:style>
                              <wps:bodyPr/>
                            </wps:wsp>
                            <wps:wsp>
                              <wps:cNvSpPr/>
                              <wps:spPr>
                                <a:xfrm rot="21571200">
                                  <a:off x="38520" y="60480"/>
                                  <a:ext cx="231840" cy="172800"/>
                                </a:xfrm>
                                <a:custGeom>
                                  <a:avLst/>
                                  <a:gdLst/>
                                  <a:ah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fillRef idx="0"/>
                                <a:effectRef idx="0"/>
                                <a:fontRef idx="minor"/>
                              </wps:style>
                              <wps:bodyPr/>
                            </wps:wsp>
                            <wps:wsp>
                              <wps:cNvSpPr/>
                              <wps:spPr>
                                <a:xfrm rot="21571200">
                                  <a:off x="12960" y="122040"/>
                                  <a:ext cx="219240" cy="153720"/>
                                </a:xfrm>
                                <a:custGeom>
                                  <a:avLst/>
                                  <a:gdLst/>
                                  <a:ah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fillRef idx="0"/>
                                <a:effectRef idx="0"/>
                                <a:fontRef idx="minor"/>
                              </wps:style>
                              <wps:bodyPr/>
                            </wps:wsp>
                            <wps:wsp>
                              <wps:cNvSpPr/>
                              <wps:spPr>
                                <a:xfrm rot="21571200">
                                  <a:off x="35280" y="-720"/>
                                  <a:ext cx="241920" cy="296640"/>
                                </a:xfrm>
                                <a:custGeom>
                                  <a:avLst/>
                                  <a:gdLst/>
                                  <a:ah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fillRef idx="0"/>
                                <a:effectRef idx="0"/>
                                <a:fontRef idx="minor"/>
                              </wps:style>
                              <wps:bodyPr/>
                            </wps:wsp>
                            <wps:wsp>
                              <wps:cNvSpPr/>
                              <wps:spPr>
                                <a:xfrm rot="21571200">
                                  <a:off x="170640" y="114480"/>
                                  <a:ext cx="82080" cy="90720"/>
                                </a:xfrm>
                                <a:custGeom>
                                  <a:avLst/>
                                  <a:gdLst/>
                                  <a:ah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fillRef idx="0"/>
                                <a:effectRef idx="0"/>
                                <a:fontRef idx="minor"/>
                              </wps:style>
                              <wps:bodyPr/>
                            </wps:wsp>
                            <wps:wsp>
                              <wps:cNvSpPr/>
                              <wps:spPr>
                                <a:xfrm rot="21571200">
                                  <a:off x="172440" y="116640"/>
                                  <a:ext cx="78120" cy="87480"/>
                                </a:xfrm>
                                <a:custGeom>
                                  <a:avLst/>
                                  <a:gdLst/>
                                  <a:ah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fillRef idx="0"/>
                                <a:effectRef idx="0"/>
                                <a:fontRef idx="minor"/>
                              </wps:style>
                              <wps:bodyPr/>
                            </wps:wsp>
                            <wps:wsp>
                              <wps:cNvSpPr/>
                              <wps:spPr>
                                <a:xfrm rot="21571200">
                                  <a:off x="39240" y="115200"/>
                                  <a:ext cx="39240" cy="89640"/>
                                </a:xfrm>
                                <a:custGeom>
                                  <a:avLst/>
                                  <a:gdLst/>
                                  <a:ah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fillRef idx="0"/>
                                <a:effectRef idx="0"/>
                                <a:fontRef idx="minor"/>
                              </wps:style>
                              <wps:bodyPr/>
                            </wps:wsp>
                            <wps:wsp>
                              <wps:cNvSpPr/>
                              <wps:spPr>
                                <a:xfrm rot="21571200">
                                  <a:off x="42480" y="117000"/>
                                  <a:ext cx="34200" cy="84960"/>
                                </a:xfrm>
                                <a:custGeom>
                                  <a:avLst/>
                                  <a:gdLst/>
                                  <a:ah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fillRef idx="0"/>
                                <a:effectRef idx="0"/>
                                <a:fontRef idx="minor"/>
                              </wps:style>
                              <wps:bodyPr/>
                            </wps:wsp>
                            <wps:wsp>
                              <wps:cNvSpPr/>
                              <wps:spPr>
                                <a:xfrm rot="21571200">
                                  <a:off x="88560" y="115200"/>
                                  <a:ext cx="74160" cy="89640"/>
                                </a:xfrm>
                                <a:custGeom>
                                  <a:avLst/>
                                  <a:gdLst/>
                                  <a:ah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fillRef idx="0"/>
                                <a:effectRef idx="0"/>
                                <a:fontRef idx="minor"/>
                              </wps:style>
                              <wps:bodyPr/>
                            </wps:wsp>
                            <wps:wsp>
                              <wps:cNvSpPr/>
                              <wps:spPr>
                                <a:xfrm rot="21571200">
                                  <a:off x="90720" y="117000"/>
                                  <a:ext cx="69840" cy="84960"/>
                                </a:xfrm>
                                <a:custGeom>
                                  <a:avLst/>
                                  <a:gdLst/>
                                  <a:ah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fillRef idx="0"/>
                                <a:effectRef idx="0"/>
                                <a:fontRef idx="minor"/>
                              </wps:style>
                              <wps:bodyPr/>
                            </wps:wsp>
                          </wpg:wgp>
                        </a:graphicData>
                      </a:graphic>
                    </wp:anchor>
                  </w:drawing>
                </mc:Choice>
                <mc:Fallback>
                  <w:pict>
                    <v:group id="shape_0" alt="Group 2" style="position:absolute;margin-left:-6.65pt;margin-top:-27.15pt;width:23.55pt;height:24.7pt" coordorigin="-133,-543" coordsize="471,494">
                      <v:line id="shape_0" from="-132,-532" to="-127,-53" stroked="t" style="position:absolute">
                        <v:stroke color="white" joinstyle="round" endcap="flat"/>
                        <v:fill o:detectmouseclick="t" on="false"/>
                      </v:line>
                      <v:line id="shape_0" from="-127,-49" to="339,-48" stroked="t" style="position:absolute;flip:y">
                        <v:stroke color="white" joinstyle="round" endcap="flat"/>
                        <v:fill o:detectmouseclick="t" on="false"/>
                      </v:line>
                      <v:line id="shape_0" from="335,-535" to="339,-51" stroked="t" style="position:absolute;flip:xy">
                        <v:stroke color="white" joinstyle="round" endcap="flat"/>
                        <v:fill o:detectmouseclick="t" on="false"/>
                      </v:line>
                      <v:line id="shape_0" from="-131,-535" to="330,-531" stroked="t" style="position:absolute;flip:x">
                        <v:stroke color="white" joinstyle="round" endcap="flat"/>
                        <v:fill o:detectmouseclick="t" on="false"/>
                      </v:line>
                      <v:line id="shape_0" from="-132,-532" to="-131,-531" stroked="t" style="position:absolute">
                        <v:stroke color="white" joinstyle="round" endcap="flat"/>
                        <v:fill o:detectmouseclick="t" on="false"/>
                      </v:line>
                    </v:group>
                  </w:pict>
                </mc:Fallback>
              </mc:AlternateContent>
              <w:drawing>
                <wp:anchor behindDoc="0" distT="0" distB="0" distL="114300" distR="114300" simplePos="0" locked="0" layoutInCell="1" allowOverlap="1" relativeHeight="3">
                  <wp:simplePos x="0" y="0"/>
                  <wp:positionH relativeFrom="column">
                    <wp:posOffset>268605</wp:posOffset>
                  </wp:positionH>
                  <wp:positionV relativeFrom="paragraph">
                    <wp:posOffset>-318770</wp:posOffset>
                  </wp:positionV>
                  <wp:extent cx="294640" cy="267335"/>
                  <wp:effectExtent l="0" t="0" r="0" b="0"/>
                  <wp:wrapNone/>
                  <wp:docPr id="2" name="Picture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descr=""/>
                          <pic:cNvPicPr>
                            <a:picLocks noChangeAspect="1" noChangeArrowheads="1"/>
                          </pic:cNvPicPr>
                        </pic:nvPicPr>
                        <pic:blipFill>
                          <a:blip r:embed="rId2"/>
                          <a:stretch>
                            <a:fillRect/>
                          </a:stretch>
                        </pic:blipFill>
                        <pic:spPr bwMode="auto">
                          <a:xfrm>
                            <a:off x="0" y="0"/>
                            <a:ext cx="294640" cy="267335"/>
                          </a:xfrm>
                          <a:prstGeom prst="rect">
                            <a:avLst/>
                          </a:prstGeom>
                        </pic:spPr>
                      </pic:pic>
                    </a:graphicData>
                  </a:graphic>
                </wp:anchor>
              </w:drawing>
              <w:drawing>
                <wp:anchor behindDoc="0" distT="0" distB="0" distL="114300" distR="114300" simplePos="0" locked="0" layoutInCell="1" allowOverlap="1" relativeHeight="4">
                  <wp:simplePos x="0" y="0"/>
                  <wp:positionH relativeFrom="column">
                    <wp:posOffset>610235</wp:posOffset>
                  </wp:positionH>
                  <wp:positionV relativeFrom="paragraph">
                    <wp:posOffset>-318770</wp:posOffset>
                  </wp:positionV>
                  <wp:extent cx="293370" cy="267335"/>
                  <wp:effectExtent l="0" t="0" r="0" b="0"/>
                  <wp:wrapNone/>
                  <wp:docPr id="3" name="Picture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7" descr=""/>
                          <pic:cNvPicPr>
                            <a:picLocks noChangeAspect="1" noChangeArrowheads="1"/>
                          </pic:cNvPicPr>
                        </pic:nvPicPr>
                        <pic:blipFill>
                          <a:blip r:embed="rId3"/>
                          <a:stretch>
                            <a:fillRect/>
                          </a:stretch>
                        </pic:blipFill>
                        <pic:spPr bwMode="auto">
                          <a:xfrm>
                            <a:off x="0" y="0"/>
                            <a:ext cx="293370" cy="267335"/>
                          </a:xfrm>
                          <a:prstGeom prst="rect">
                            <a:avLst/>
                          </a:prstGeom>
                        </pic:spPr>
                      </pic:pic>
                    </a:graphicData>
                  </a:graphic>
                </wp:anchor>
              </w:drawing>
            </w:r>
            <w:r>
              <w:rPr>
                <w:b/>
                <w:szCs w:val="22"/>
                <w:lang w:val="en-US"/>
              </w:rPr>
              <w:t>Joint Video Experts Team (JVET)</w:t>
            </w:r>
          </w:p>
          <w:p>
            <w:pPr>
              <w:pStyle w:val="Normal"/>
              <w:tabs>
                <w:tab w:val="clear" w:pos="720"/>
                <w:tab w:val="left" w:pos="7200" w:leader="none"/>
              </w:tabs>
              <w:spacing w:before="0" w:after="0"/>
              <w:rPr/>
            </w:pPr>
            <w:r>
              <w:rPr>
                <w:b/>
                <w:szCs w:val="22"/>
                <w:lang w:val="en-US"/>
              </w:rPr>
              <w:t>of ITU-T SG 16 WP 3 and ISO/IEC JTC 1/SC 29/WG 11</w:t>
            </w:r>
          </w:p>
          <w:p>
            <w:pPr>
              <w:pStyle w:val="Normal"/>
              <w:tabs>
                <w:tab w:val="clear" w:pos="720"/>
                <w:tab w:val="left" w:pos="7200" w:leader="none"/>
              </w:tabs>
              <w:spacing w:before="0" w:after="0"/>
              <w:rPr/>
            </w:pPr>
            <w:r>
              <w:rPr>
                <w:lang w:val="en-US"/>
              </w:rPr>
              <w:t>14th Meeting: Geneva, CH, 19–27 Mar. 2019</w:t>
            </w:r>
          </w:p>
        </w:tc>
        <w:tc>
          <w:tcPr>
            <w:tcW w:w="3165" w:type="dxa"/>
            <w:tcBorders/>
            <w:shd w:fill="auto" w:val="clear"/>
          </w:tcPr>
          <w:p>
            <w:pPr>
              <w:pStyle w:val="Normal"/>
              <w:tabs>
                <w:tab w:val="clear" w:pos="720"/>
                <w:tab w:val="left" w:pos="7200" w:leader="none"/>
              </w:tabs>
              <w:spacing w:before="136" w:after="0"/>
              <w:rPr/>
            </w:pPr>
            <w:r>
              <w:rPr>
                <w:lang w:val="en-US"/>
              </w:rPr>
              <w:t>Document: JVET-N0</w:t>
            </w:r>
            <w:r>
              <w:rPr>
                <w:lang w:val="en-US"/>
              </w:rPr>
              <w:t>595</w:t>
            </w:r>
            <w:r>
              <w:rPr>
                <w:lang w:val="en-US"/>
              </w:rPr>
              <w:t>-v1</w:t>
            </w:r>
          </w:p>
        </w:tc>
      </w:tr>
    </w:tbl>
    <w:p>
      <w:pPr>
        <w:pStyle w:val="Normal"/>
        <w:rPr>
          <w:lang w:val="en-US"/>
        </w:rPr>
      </w:pPr>
      <w:r>
        <w:rPr>
          <w:lang w:val="en-US"/>
        </w:rPr>
      </w:r>
    </w:p>
    <w:tbl>
      <w:tblPr>
        <w:tblW w:w="9577" w:type="dxa"/>
        <w:jc w:val="left"/>
        <w:tblInd w:w="0" w:type="dxa"/>
        <w:tblBorders/>
        <w:tblCellMar>
          <w:top w:w="0" w:type="dxa"/>
          <w:left w:w="108" w:type="dxa"/>
          <w:bottom w:w="0" w:type="dxa"/>
          <w:right w:w="108" w:type="dxa"/>
        </w:tblCellMar>
        <w:tblLook w:firstRow="0" w:noVBand="0" w:lastRow="0" w:firstColumn="0" w:lastColumn="0" w:noHBand="0" w:val="0000"/>
      </w:tblPr>
      <w:tblGrid>
        <w:gridCol w:w="1458"/>
        <w:gridCol w:w="3421"/>
        <w:gridCol w:w="1080"/>
        <w:gridCol w:w="3617"/>
      </w:tblGrid>
      <w:tr>
        <w:trPr/>
        <w:tc>
          <w:tcPr>
            <w:tcW w:w="1458" w:type="dxa"/>
            <w:tcBorders/>
            <w:shd w:fill="auto" w:val="clear"/>
          </w:tcPr>
          <w:p>
            <w:pPr>
              <w:pStyle w:val="Normal"/>
              <w:spacing w:before="60" w:after="60"/>
              <w:rPr>
                <w:i/>
                <w:i/>
                <w:szCs w:val="22"/>
                <w:lang w:val="en-US"/>
              </w:rPr>
            </w:pPr>
            <w:r>
              <w:rPr>
                <w:i/>
                <w:szCs w:val="22"/>
                <w:lang w:val="en-US"/>
              </w:rPr>
              <w:t>Title:</w:t>
            </w:r>
          </w:p>
        </w:tc>
        <w:tc>
          <w:tcPr>
            <w:tcW w:w="8118" w:type="dxa"/>
            <w:gridSpan w:val="3"/>
            <w:tcBorders/>
            <w:shd w:fill="auto" w:val="clear"/>
          </w:tcPr>
          <w:p>
            <w:pPr>
              <w:pStyle w:val="Normal"/>
              <w:spacing w:before="60" w:after="60"/>
              <w:rPr/>
            </w:pPr>
            <w:r>
              <w:rPr>
                <w:b/>
                <w:kern w:val="2"/>
                <w:szCs w:val="22"/>
                <w:lang w:val="en-US"/>
              </w:rPr>
              <w:t>CE11-1.1: Further information on conditionally signaled very strong deblocking</w:t>
            </w:r>
          </w:p>
        </w:tc>
      </w:tr>
      <w:tr>
        <w:trPr/>
        <w:tc>
          <w:tcPr>
            <w:tcW w:w="1458" w:type="dxa"/>
            <w:tcBorders/>
            <w:shd w:fill="auto" w:val="clear"/>
          </w:tcPr>
          <w:p>
            <w:pPr>
              <w:pStyle w:val="Normal"/>
              <w:spacing w:before="60" w:after="60"/>
              <w:rPr>
                <w:i/>
                <w:i/>
                <w:szCs w:val="22"/>
                <w:lang w:val="en-US"/>
              </w:rPr>
            </w:pPr>
            <w:r>
              <w:rPr>
                <w:i/>
                <w:szCs w:val="22"/>
                <w:lang w:val="en-US"/>
              </w:rPr>
              <w:t>Status:</w:t>
            </w:r>
          </w:p>
        </w:tc>
        <w:tc>
          <w:tcPr>
            <w:tcW w:w="8118" w:type="dxa"/>
            <w:gridSpan w:val="3"/>
            <w:tcBorders/>
            <w:shd w:fill="auto" w:val="clear"/>
          </w:tcPr>
          <w:p>
            <w:pPr>
              <w:pStyle w:val="Normal"/>
              <w:spacing w:before="60" w:after="60"/>
              <w:rPr>
                <w:szCs w:val="22"/>
                <w:lang w:val="en-US"/>
              </w:rPr>
            </w:pPr>
            <w:r>
              <w:rPr>
                <w:szCs w:val="22"/>
                <w:lang w:val="en-US"/>
              </w:rPr>
              <w:t>Input document to JVET</w:t>
            </w:r>
          </w:p>
        </w:tc>
      </w:tr>
      <w:tr>
        <w:trPr/>
        <w:tc>
          <w:tcPr>
            <w:tcW w:w="1458" w:type="dxa"/>
            <w:tcBorders/>
            <w:shd w:fill="auto" w:val="clear"/>
          </w:tcPr>
          <w:p>
            <w:pPr>
              <w:pStyle w:val="Normal"/>
              <w:spacing w:before="60" w:after="60"/>
              <w:rPr>
                <w:i/>
                <w:i/>
                <w:szCs w:val="22"/>
                <w:lang w:val="en-US"/>
              </w:rPr>
            </w:pPr>
            <w:r>
              <w:rPr>
                <w:i/>
                <w:szCs w:val="22"/>
                <w:lang w:val="en-US"/>
              </w:rPr>
              <w:t>Purpose:</w:t>
            </w:r>
          </w:p>
        </w:tc>
        <w:tc>
          <w:tcPr>
            <w:tcW w:w="8118" w:type="dxa"/>
            <w:gridSpan w:val="3"/>
            <w:tcBorders/>
            <w:shd w:fill="auto" w:val="clear"/>
          </w:tcPr>
          <w:p>
            <w:pPr>
              <w:pStyle w:val="Normal"/>
              <w:spacing w:before="60" w:after="60"/>
              <w:rPr>
                <w:szCs w:val="22"/>
                <w:lang w:val="en-US"/>
              </w:rPr>
            </w:pPr>
            <w:r>
              <w:rPr>
                <w:szCs w:val="22"/>
                <w:lang w:val="en-US"/>
              </w:rPr>
              <w:t>Proposal</w:t>
            </w:r>
          </w:p>
        </w:tc>
      </w:tr>
      <w:tr>
        <w:trPr/>
        <w:tc>
          <w:tcPr>
            <w:tcW w:w="1458" w:type="dxa"/>
            <w:tcBorders/>
            <w:shd w:fill="auto" w:val="clear"/>
          </w:tcPr>
          <w:p>
            <w:pPr>
              <w:pStyle w:val="Normal"/>
              <w:spacing w:before="60" w:after="60"/>
              <w:rPr>
                <w:i/>
                <w:i/>
                <w:szCs w:val="22"/>
                <w:highlight w:val="yellow"/>
                <w:lang w:val="en-US"/>
              </w:rPr>
            </w:pPr>
            <w:r>
              <w:rPr>
                <w:i/>
                <w:szCs w:val="22"/>
                <w:lang w:val="en-US"/>
              </w:rPr>
              <w:t>Author(s) or</w:t>
              <w:br/>
              <w:t>Contact(s):</w:t>
            </w:r>
          </w:p>
        </w:tc>
        <w:tc>
          <w:tcPr>
            <w:tcW w:w="3421" w:type="dxa"/>
            <w:tcBorders/>
            <w:shd w:fill="auto" w:val="clear"/>
          </w:tcPr>
          <w:p>
            <w:pPr>
              <w:pStyle w:val="Normal"/>
              <w:spacing w:before="60" w:after="60"/>
              <w:rPr>
                <w:sz w:val="20"/>
                <w:lang w:val="en-US"/>
              </w:rPr>
            </w:pPr>
            <w:r>
              <w:rPr>
                <w:szCs w:val="22"/>
                <w:lang w:val="en-US"/>
              </w:rPr>
              <w:t>Christian Helmrich</w:t>
              <w:br/>
            </w:r>
          </w:p>
        </w:tc>
        <w:tc>
          <w:tcPr>
            <w:tcW w:w="1080" w:type="dxa"/>
            <w:tcBorders/>
            <w:shd w:fill="auto" w:val="clear"/>
          </w:tcPr>
          <w:p>
            <w:pPr>
              <w:pStyle w:val="Normal"/>
              <w:spacing w:before="60" w:after="60"/>
              <w:rPr>
                <w:szCs w:val="22"/>
                <w:lang w:val="en-US"/>
              </w:rPr>
            </w:pPr>
            <w:r>
              <w:rPr>
                <w:szCs w:val="22"/>
                <w:lang w:val="en-US"/>
              </w:rPr>
              <w:t>Email:</w:t>
            </w:r>
          </w:p>
        </w:tc>
        <w:tc>
          <w:tcPr>
            <w:tcW w:w="3617" w:type="dxa"/>
            <w:tcBorders/>
            <w:shd w:fill="auto" w:val="clear"/>
          </w:tcPr>
          <w:p>
            <w:pPr>
              <w:pStyle w:val="Normal"/>
              <w:spacing w:before="60" w:after="60"/>
              <w:rPr>
                <w:szCs w:val="22"/>
                <w:lang w:val="en-US"/>
              </w:rPr>
            </w:pPr>
            <w:r>
              <w:rPr>
                <w:szCs w:val="22"/>
                <w:lang w:val="en-US"/>
              </w:rPr>
              <w:t>christian.helmrich@hhi.fraunhofer.de</w:t>
              <w:br/>
            </w:r>
          </w:p>
        </w:tc>
      </w:tr>
      <w:tr>
        <w:trPr/>
        <w:tc>
          <w:tcPr>
            <w:tcW w:w="1458" w:type="dxa"/>
            <w:tcBorders/>
            <w:shd w:fill="auto" w:val="clear"/>
          </w:tcPr>
          <w:p>
            <w:pPr>
              <w:pStyle w:val="Normal"/>
              <w:spacing w:before="60" w:after="60"/>
              <w:rPr>
                <w:i/>
                <w:i/>
                <w:szCs w:val="22"/>
                <w:lang w:val="en-US"/>
              </w:rPr>
            </w:pPr>
            <w:r>
              <w:rPr>
                <w:i/>
                <w:szCs w:val="22"/>
                <w:lang w:val="en-US"/>
              </w:rPr>
              <w:t>Source:</w:t>
            </w:r>
          </w:p>
        </w:tc>
        <w:tc>
          <w:tcPr>
            <w:tcW w:w="8118" w:type="dxa"/>
            <w:gridSpan w:val="3"/>
            <w:tcBorders/>
            <w:shd w:fill="auto" w:val="clear"/>
          </w:tcPr>
          <w:p>
            <w:pPr>
              <w:pStyle w:val="Normal"/>
              <w:spacing w:before="60" w:after="60"/>
              <w:rPr>
                <w:szCs w:val="22"/>
                <w:lang w:val="de-DE"/>
              </w:rPr>
            </w:pPr>
            <w:r>
              <w:rPr>
                <w:szCs w:val="22"/>
                <w:lang w:val="de-DE"/>
              </w:rPr>
              <w:t>Fraunhofer HHI, Einsteinufer 37, 10587 Berlin, Germany</w:t>
            </w:r>
          </w:p>
        </w:tc>
      </w:tr>
    </w:tbl>
    <w:p>
      <w:pPr>
        <w:pStyle w:val="Normal"/>
        <w:tabs>
          <w:tab w:val="clear" w:pos="720"/>
          <w:tab w:val="right" w:pos="9360" w:leader="none"/>
        </w:tabs>
        <w:spacing w:before="120" w:after="240"/>
        <w:jc w:val="center"/>
        <w:rPr>
          <w:szCs w:val="22"/>
          <w:lang w:val="en-US"/>
        </w:rPr>
      </w:pPr>
      <w:r>
        <w:rPr>
          <w:szCs w:val="22"/>
          <w:u w:val="single"/>
          <w:lang w:val="en-US"/>
        </w:rPr>
        <w:t>_____________________________</w:t>
      </w:r>
    </w:p>
    <w:p>
      <w:pPr>
        <w:pStyle w:val="Heading1"/>
        <w:numPr>
          <w:ilvl w:val="0"/>
          <w:numId w:val="0"/>
        </w:numPr>
        <w:ind w:left="432" w:hanging="432"/>
        <w:rPr>
          <w:lang w:val="en-US"/>
        </w:rPr>
      </w:pPr>
      <w:bookmarkStart w:id="1" w:name="_Toc510034842"/>
      <w:r>
        <w:rPr>
          <w:lang w:val="en-US"/>
        </w:rPr>
        <w:t>Abstract</w:t>
      </w:r>
      <w:bookmarkEnd w:id="1"/>
    </w:p>
    <w:p>
      <w:pPr>
        <w:pStyle w:val="Normal"/>
        <w:spacing w:before="120" w:after="0"/>
        <w:jc w:val="both"/>
        <w:rPr/>
      </w:pPr>
      <w:r>
        <w:rPr>
          <w:kern w:val="2"/>
          <w:szCs w:val="22"/>
          <w:lang w:val="en-US"/>
        </w:rPr>
        <w:t>This document provides additional Bjøntegaard delta-rate (BD-R) results for the latest version of the con</w:t>
        <w:softHyphen/>
        <w:t>ditionally signaled very strong deblocking method first proposed in JVET-L0523 and currently evaluated as test 1.1 in CE11. Unlike in previous versions, the use of the conditional very strong deblocking is only allowed in Intra slices. The proposal, when activated, reportedly results in negligible BD-R differences of</w:t>
      </w:r>
    </w:p>
    <w:p>
      <w:pPr>
        <w:pStyle w:val="Normal"/>
        <w:numPr>
          <w:ilvl w:val="0"/>
          <w:numId w:val="4"/>
        </w:numPr>
        <w:spacing w:before="120" w:after="0"/>
        <w:jc w:val="both"/>
        <w:rPr/>
      </w:pPr>
      <w:r>
        <w:rPr>
          <w:kern w:val="2"/>
          <w:szCs w:val="22"/>
          <w:lang w:val="en-US"/>
        </w:rPr>
        <w:t>ALF on (CTC):</w:t>
        <w:tab/>
        <w:t xml:space="preserve">  0.04% AI, </w:t>
      </w:r>
      <w:r>
        <w:rPr>
          <w:b w:val="false"/>
          <w:bCs w:val="false"/>
          <w:kern w:val="2"/>
          <w:szCs w:val="22"/>
          <w:lang w:val="en-US"/>
        </w:rPr>
        <w:t>0.01% RA, –0.02% LB, –0.04% LP, 101% enc., 99–100% dec. time,</w:t>
      </w:r>
    </w:p>
    <w:p>
      <w:pPr>
        <w:pStyle w:val="Normal"/>
        <w:numPr>
          <w:ilvl w:val="0"/>
          <w:numId w:val="4"/>
        </w:numPr>
        <w:spacing w:before="120" w:after="0"/>
        <w:jc w:val="both"/>
        <w:rPr/>
      </w:pPr>
      <w:r>
        <w:rPr>
          <w:kern w:val="2"/>
          <w:szCs w:val="22"/>
          <w:lang w:val="en-US"/>
        </w:rPr>
        <w:t>ALF off (CE11):</w:t>
      </w:r>
      <w:r>
        <w:rPr>
          <w:kern w:val="2"/>
          <w:szCs w:val="22"/>
          <w:vertAlign w:val="superscript"/>
          <w:lang w:val="en-US"/>
        </w:rPr>
        <w:t xml:space="preserve">  </w:t>
      </w:r>
      <w:r>
        <w:rPr>
          <w:kern w:val="2"/>
          <w:szCs w:val="22"/>
          <w:lang w:val="en-US"/>
        </w:rPr>
        <w:t xml:space="preserve">0.04% AI, 0.01% RA, </w:t>
      </w:r>
      <w:r>
        <w:rPr>
          <w:b w:val="false"/>
          <w:bCs w:val="false"/>
          <w:kern w:val="2"/>
          <w:szCs w:val="22"/>
          <w:lang w:val="en-US"/>
        </w:rPr>
        <w:t>–</w:t>
      </w:r>
      <w:r>
        <w:rPr>
          <w:kern w:val="2"/>
          <w:szCs w:val="22"/>
          <w:lang w:val="en-US"/>
        </w:rPr>
        <w:t>0.0</w:t>
      </w:r>
      <w:r>
        <w:rPr>
          <w:b w:val="false"/>
          <w:bCs w:val="false"/>
          <w:kern w:val="2"/>
          <w:szCs w:val="22"/>
          <w:highlight w:val="yellow"/>
          <w:lang w:val="en-US"/>
        </w:rPr>
        <w:t>–</w:t>
      </w:r>
      <w:r>
        <w:rPr>
          <w:b w:val="false"/>
          <w:bCs w:val="false"/>
          <w:kern w:val="2"/>
          <w:szCs w:val="22"/>
          <w:lang w:val="en-US"/>
        </w:rPr>
        <w:t>% LB, –0.0</w:t>
      </w:r>
      <w:r>
        <w:rPr>
          <w:b w:val="false"/>
          <w:bCs w:val="false"/>
          <w:kern w:val="2"/>
          <w:szCs w:val="22"/>
          <w:highlight w:val="yellow"/>
          <w:lang w:val="en-US"/>
        </w:rPr>
        <w:t>–</w:t>
      </w:r>
      <w:r>
        <w:rPr>
          <w:b w:val="false"/>
          <w:bCs w:val="false"/>
          <w:kern w:val="2"/>
          <w:szCs w:val="22"/>
          <w:lang w:val="en-US"/>
        </w:rPr>
        <w:t>% LP, 100% enc., 100–101% dec. time</w:t>
      </w:r>
    </w:p>
    <w:p>
      <w:pPr>
        <w:pStyle w:val="Normal"/>
        <w:spacing w:before="120" w:after="0"/>
        <w:jc w:val="both"/>
        <w:rPr/>
      </w:pPr>
      <w:r>
        <w:rPr>
          <w:kern w:val="2"/>
          <w:szCs w:val="22"/>
          <w:lang w:val="en-US"/>
        </w:rPr>
        <w:t>in the luminance channel. When configured for minimum BD-R loss (</w:t>
      </w:r>
      <w:r>
        <w:rPr>
          <w:i/>
          <w:iCs/>
          <w:kern w:val="2"/>
          <w:szCs w:val="22"/>
          <w:lang w:val="en-US"/>
        </w:rPr>
        <w:t>x</w:t>
      </w:r>
      <w:r>
        <w:rPr>
          <w:kern w:val="2"/>
          <w:szCs w:val="22"/>
          <w:vertAlign w:val="superscript"/>
          <w:lang w:val="en-US"/>
        </w:rPr>
        <w:t xml:space="preserve"> </w:t>
      </w:r>
      <w:r>
        <w:rPr>
          <w:kern w:val="2"/>
          <w:szCs w:val="22"/>
          <w:lang w:val="en-US"/>
        </w:rPr>
        <w:t>=</w:t>
      </w:r>
      <w:r>
        <w:rPr>
          <w:kern w:val="2"/>
          <w:szCs w:val="22"/>
          <w:vertAlign w:val="superscript"/>
          <w:lang w:val="en-US"/>
        </w:rPr>
        <w:t xml:space="preserve"> </w:t>
      </w:r>
      <w:r>
        <w:rPr>
          <w:kern w:val="2"/>
          <w:szCs w:val="22"/>
          <w:lang w:val="en-US"/>
        </w:rPr>
        <w:t>0.0 dB as in L0523), the ALF-on results are as follows:</w:t>
        <w:tab/>
        <w:t xml:space="preserve">  0.02% AI, </w:t>
      </w:r>
      <w:r>
        <w:rPr>
          <w:b w:val="false"/>
          <w:bCs w:val="false"/>
          <w:kern w:val="2"/>
          <w:szCs w:val="22"/>
          <w:lang w:val="en-US"/>
        </w:rPr>
        <w:t>0.0% RA/LB/LP, 100% enc. time and very slight chroma gains in LP.</w:t>
        <w:br/>
      </w:r>
    </w:p>
    <w:p>
      <w:pPr>
        <w:pStyle w:val="Heading1"/>
        <w:numPr>
          <w:ilvl w:val="0"/>
          <w:numId w:val="2"/>
        </w:numPr>
        <w:rPr/>
      </w:pPr>
      <w:r>
        <w:rPr>
          <w:lang w:val="en-US"/>
        </w:rPr>
        <w:t>Additional Objective BD-R Results</w:t>
      </w:r>
    </w:p>
    <w:p>
      <w:pPr>
        <w:pStyle w:val="Normal"/>
        <w:spacing w:before="120" w:after="120"/>
        <w:jc w:val="both"/>
        <w:rPr/>
      </w:pPr>
      <w:r>
        <w:rPr>
          <w:kern w:val="2"/>
          <w:szCs w:val="22"/>
          <w:lang w:val="en-US"/>
        </w:rPr>
        <w:t xml:space="preserve">As a follow-up on JVET-L0523 </w:t>
      </w:r>
      <w:r>
        <w:rPr>
          <w:kern w:val="2"/>
          <w:szCs w:val="22"/>
        </w:rPr>
        <w:fldChar w:fldCharType="begin"/>
      </w:r>
      <w:r>
        <w:rPr>
          <w:kern w:val="2"/>
          <w:szCs w:val="22"/>
        </w:rPr>
        <w:instrText> REF _Ref525894995 \r \h </w:instrText>
      </w:r>
      <w:r>
        <w:rPr>
          <w:kern w:val="2"/>
          <w:szCs w:val="22"/>
        </w:rPr>
        <w:fldChar w:fldCharType="separate"/>
      </w:r>
      <w:r>
        <w:rPr>
          <w:kern w:val="2"/>
          <w:szCs w:val="22"/>
        </w:rPr>
        <w:t>[1]</w:t>
      </w:r>
      <w:r>
        <w:rPr>
          <w:kern w:val="2"/>
          <w:szCs w:val="22"/>
        </w:rPr>
        <w:fldChar w:fldCharType="end"/>
      </w:r>
      <w:r>
        <w:rPr>
          <w:kern w:val="2"/>
          <w:szCs w:val="22"/>
          <w:lang w:val="en-US"/>
        </w:rPr>
        <w:t xml:space="preserve">, and as required by CE11 </w:t>
      </w:r>
      <w:r>
        <w:rPr>
          <w:kern w:val="2"/>
          <w:szCs w:val="22"/>
        </w:rPr>
        <w:fldChar w:fldCharType="begin"/>
      </w:r>
      <w:r>
        <w:rPr>
          <w:kern w:val="2"/>
          <w:szCs w:val="22"/>
        </w:rPr>
        <w:instrText> REF _Ref530414998 \r \h </w:instrText>
      </w:r>
      <w:r>
        <w:rPr>
          <w:kern w:val="2"/>
          <w:szCs w:val="22"/>
        </w:rPr>
        <w:fldChar w:fldCharType="separate"/>
      </w:r>
      <w:r>
        <w:rPr>
          <w:kern w:val="2"/>
          <w:szCs w:val="22"/>
        </w:rPr>
        <w:t>[2]</w:t>
      </w:r>
      <w:r>
        <w:rPr>
          <w:kern w:val="2"/>
          <w:szCs w:val="22"/>
        </w:rPr>
        <w:fldChar w:fldCharType="end"/>
      </w:r>
      <w:r>
        <w:rPr>
          <w:kern w:val="2"/>
          <w:szCs w:val="22"/>
          <w:lang w:val="en-US"/>
        </w:rPr>
        <w:t xml:space="preserve">, objective BD-R results on top of VTM 4.0 are provided in the </w:t>
      </w:r>
      <w:bookmarkStart w:id="2" w:name="__DdeLink__461_1597708429"/>
      <w:r>
        <w:rPr>
          <w:kern w:val="2"/>
          <w:szCs w:val="22"/>
          <w:lang w:val="en-US"/>
        </w:rPr>
        <w:t>...SDR__VTM-4.0_...xlsm files</w:t>
      </w:r>
      <w:bookmarkEnd w:id="2"/>
      <w:r>
        <w:rPr>
          <w:kern w:val="2"/>
          <w:szCs w:val="22"/>
          <w:lang w:val="en-US"/>
        </w:rPr>
        <w:t xml:space="preserve"> included in the Zip file containing this document. A summary of the results is given in above. As noted, only negligible BD-R differences are observed.</w:t>
      </w:r>
    </w:p>
    <w:p>
      <w:pPr>
        <w:pStyle w:val="Normal"/>
        <w:spacing w:before="0" w:after="0"/>
        <w:ind w:left="0" w:right="0" w:hanging="0"/>
        <w:jc w:val="both"/>
        <w:rPr/>
      </w:pPr>
      <w:r>
        <w:rPr>
          <w:kern w:val="2"/>
          <w:szCs w:val="22"/>
          <w:lang w:val="en-US"/>
        </w:rPr>
        <w:t>Moreover, additional results on top of VTM</w:t>
      </w:r>
      <w:r>
        <w:rPr>
          <w:kern w:val="2"/>
          <w:szCs w:val="22"/>
          <w:vertAlign w:val="superscript"/>
          <w:lang w:val="en-US"/>
        </w:rPr>
        <w:t xml:space="preserve"> </w:t>
      </w:r>
      <w:r>
        <w:rPr>
          <w:kern w:val="2"/>
          <w:szCs w:val="22"/>
          <w:lang w:val="en-US"/>
        </w:rPr>
        <w:t>4.0.1, a bug-fix and encoder-optimization update of VTM</w:t>
      </w:r>
      <w:r>
        <w:rPr>
          <w:kern w:val="2"/>
          <w:szCs w:val="22"/>
          <w:vertAlign w:val="superscript"/>
          <w:lang w:val="en-US"/>
        </w:rPr>
        <w:t xml:space="preserve"> </w:t>
      </w:r>
      <w:r>
        <w:rPr>
          <w:kern w:val="2"/>
          <w:szCs w:val="22"/>
          <w:lang w:val="en-US"/>
        </w:rPr>
        <w:t>4.0, are provided in the ...SDR__VTM-4.0.1_...xlsm Excel files. Since these BD-R results are nearly identical to those measured on top of VTM 4.0, a summary is omitted in this document for the sake of brevity.</w:t>
      </w:r>
    </w:p>
    <w:p>
      <w:pPr>
        <w:pStyle w:val="Normal"/>
        <w:spacing w:before="0" w:after="0"/>
        <w:ind w:left="0" w:right="0" w:hanging="0"/>
        <w:jc w:val="both"/>
        <w:rPr>
          <w:kern w:val="2"/>
          <w:szCs w:val="22"/>
          <w:lang w:val="en-US"/>
        </w:rPr>
      </w:pPr>
      <w:r>
        <w:rPr>
          <w:kern w:val="2"/>
          <w:szCs w:val="22"/>
          <w:lang w:val="en-US"/>
        </w:rPr>
      </w:r>
    </w:p>
    <w:p>
      <w:pPr>
        <w:pStyle w:val="Heading1"/>
        <w:numPr>
          <w:ilvl w:val="0"/>
          <w:numId w:val="2"/>
        </w:numPr>
        <w:spacing w:before="120" w:after="0"/>
        <w:ind w:left="431" w:hanging="431"/>
        <w:rPr/>
      </w:pPr>
      <w:r>
        <w:rPr>
          <w:lang w:val="en-US"/>
        </w:rPr>
        <w:t>Change in Algorithmic Complexity</w:t>
      </w:r>
    </w:p>
    <w:p>
      <w:pPr>
        <w:pStyle w:val="Normal"/>
        <w:spacing w:before="120" w:after="0"/>
        <w:jc w:val="both"/>
        <w:rPr/>
      </w:pPr>
      <w:r>
        <w:rPr>
          <w:kern w:val="2"/>
          <w:szCs w:val="22"/>
          <w:lang w:val="en-US"/>
        </w:rPr>
        <w:t xml:space="preserve">The line-buffer requirement and strong-deblocking paramter calculation complexity for the proposed Intra only conditional very strong deblocking have not changed since the last variant provided to the Marrakesh meeting, and the exact numbers remain identical to those tabulated in the last CE11 summary report </w:t>
      </w:r>
      <w:r>
        <w:rPr>
          <w:kern w:val="2"/>
          <w:szCs w:val="22"/>
        </w:rPr>
        <w:fldChar w:fldCharType="begin"/>
      </w:r>
      <w:r>
        <w:rPr>
          <w:kern w:val="2"/>
          <w:szCs w:val="22"/>
        </w:rPr>
        <w:instrText> REF _Ref514954631 \r \h </w:instrText>
      </w:r>
      <w:r>
        <w:rPr>
          <w:kern w:val="2"/>
          <w:szCs w:val="22"/>
        </w:rPr>
        <w:fldChar w:fldCharType="separate"/>
      </w:r>
      <w:r>
        <w:rPr>
          <w:kern w:val="2"/>
          <w:szCs w:val="22"/>
        </w:rPr>
        <w:t>[3]</w:t>
      </w:r>
      <w:r>
        <w:rPr>
          <w:kern w:val="2"/>
          <w:szCs w:val="22"/>
        </w:rPr>
        <w:fldChar w:fldCharType="end"/>
      </w:r>
      <w:r>
        <w:rPr>
          <w:kern w:val="2"/>
          <w:szCs w:val="22"/>
          <w:lang w:val="en-US"/>
        </w:rPr>
        <w:t>.</w:t>
      </w:r>
    </w:p>
    <w:p>
      <w:pPr>
        <w:pStyle w:val="Normal"/>
        <w:spacing w:before="120" w:after="0"/>
        <w:jc w:val="both"/>
        <w:rPr/>
      </w:pPr>
      <w:r>
        <w:rPr>
          <w:kern w:val="2"/>
          <w:szCs w:val="22"/>
          <w:lang w:val="en-US"/>
        </w:rPr>
        <w:t>The computational complexity (operation count) of the actual very strong deblocking process increases by one addition per filtered sample, i.</w:t>
      </w:r>
      <w:r>
        <w:rPr>
          <w:kern w:val="2"/>
          <w:szCs w:val="22"/>
          <w:vertAlign w:val="superscript"/>
          <w:lang w:val="en-US"/>
        </w:rPr>
        <w:t xml:space="preserve"> </w:t>
      </w:r>
      <w:r>
        <w:rPr>
          <w:kern w:val="2"/>
          <w:szCs w:val="22"/>
          <w:lang w:val="en-US"/>
        </w:rPr>
        <w:t>e., worst-case by one addition per sample of each TU component being processed. This minor change is motivated by a significant increase in subjective quality one some input.</w:t>
        <w:br/>
      </w:r>
    </w:p>
    <w:p>
      <w:pPr>
        <w:pStyle w:val="Heading1"/>
        <w:numPr>
          <w:ilvl w:val="0"/>
          <w:numId w:val="2"/>
        </w:numPr>
        <w:spacing w:before="120" w:after="0"/>
        <w:ind w:left="431" w:hanging="431"/>
        <w:rPr>
          <w:lang w:val="en-US"/>
        </w:rPr>
      </w:pPr>
      <w:bookmarkStart w:id="3" w:name="_Toc510034958"/>
      <w:r>
        <w:rPr>
          <w:lang w:val="en-US"/>
        </w:rPr>
        <w:t>References</w:t>
      </w:r>
      <w:bookmarkEnd w:id="3"/>
    </w:p>
    <w:p>
      <w:pPr>
        <w:pStyle w:val="ListParagraph"/>
        <w:numPr>
          <w:ilvl w:val="0"/>
          <w:numId w:val="3"/>
        </w:numPr>
        <w:tabs>
          <w:tab w:val="clear" w:pos="720"/>
          <w:tab w:val="left" w:pos="567" w:leader="none"/>
        </w:tabs>
        <w:spacing w:before="120" w:after="20"/>
        <w:ind w:left="567" w:hanging="567"/>
        <w:contextualSpacing/>
        <w:jc w:val="both"/>
        <w:rPr/>
      </w:pPr>
      <w:r>
        <w:rPr>
          <w:kern w:val="2"/>
          <w:szCs w:val="22"/>
          <w:lang w:val="de-DE"/>
        </w:rPr>
        <w:t xml:space="preserve">C. Helmrich, B. Bross, </w:t>
      </w:r>
      <w:r>
        <w:rPr>
          <w:kern w:val="2"/>
          <w:szCs w:val="22"/>
          <w:lang w:val="en-US"/>
        </w:rPr>
        <w:t>“Very strong deblocking filtering with conditional activation signaling,” JVET-L0523, Macau, Oct. 2018</w:t>
      </w:r>
      <w:bookmarkStart w:id="4" w:name="_Ref525310804"/>
      <w:bookmarkStart w:id="5" w:name="_Ref525318018"/>
      <w:bookmarkStart w:id="6" w:name="_Ref525894995"/>
      <w:r>
        <w:rPr>
          <w:kern w:val="2"/>
          <w:szCs w:val="22"/>
          <w:lang w:val="de-DE"/>
        </w:rPr>
        <w:t>.</w:t>
      </w:r>
      <w:bookmarkEnd w:id="6"/>
    </w:p>
    <w:p>
      <w:pPr>
        <w:pStyle w:val="ListParagraph"/>
        <w:numPr>
          <w:ilvl w:val="0"/>
          <w:numId w:val="3"/>
        </w:numPr>
        <w:tabs>
          <w:tab w:val="clear" w:pos="720"/>
          <w:tab w:val="left" w:pos="567" w:leader="none"/>
        </w:tabs>
        <w:spacing w:before="20" w:after="20"/>
        <w:ind w:left="567" w:hanging="567"/>
        <w:contextualSpacing/>
        <w:jc w:val="both"/>
        <w:rPr/>
      </w:pPr>
      <w:bookmarkStart w:id="7" w:name="_Ref530414998"/>
      <w:r>
        <w:rPr>
          <w:kern w:val="2"/>
          <w:szCs w:val="22"/>
          <w:lang w:val="de-DE"/>
        </w:rPr>
        <w:t>A. Norkin, A. M. Kotra, “Description of Core Experiment 11 (CE11): Deblocking,” JVET-M1031, Marrakesh, Feb. 2019.</w:t>
      </w:r>
      <w:bookmarkEnd w:id="5"/>
      <w:bookmarkEnd w:id="7"/>
    </w:p>
    <w:p>
      <w:pPr>
        <w:pStyle w:val="ListParagraph"/>
        <w:numPr>
          <w:ilvl w:val="0"/>
          <w:numId w:val="3"/>
        </w:numPr>
        <w:tabs>
          <w:tab w:val="clear" w:pos="720"/>
          <w:tab w:val="left" w:pos="567" w:leader="none"/>
        </w:tabs>
        <w:spacing w:before="20" w:after="20"/>
        <w:ind w:left="567" w:hanging="567"/>
        <w:contextualSpacing/>
        <w:jc w:val="both"/>
        <w:rPr/>
      </w:pPr>
      <w:bookmarkEnd w:id="4"/>
      <w:r>
        <w:rPr>
          <w:kern w:val="2"/>
          <w:szCs w:val="22"/>
          <w:lang w:val="en-US"/>
        </w:rPr>
        <w:t>A. Norkin, A. M. Kotra, “CE11: Summary Report on Deblocking,”</w:t>
      </w:r>
      <w:r>
        <w:rPr>
          <w:kern w:val="2"/>
          <w:szCs w:val="22"/>
          <w:vertAlign w:val="superscript"/>
          <w:lang w:val="en-US"/>
        </w:rPr>
        <w:t xml:space="preserve"> </w:t>
      </w:r>
      <w:r>
        <w:rPr>
          <w:kern w:val="2"/>
          <w:szCs w:val="22"/>
          <w:lang w:val="en-US"/>
        </w:rPr>
        <w:t>JVET-M0031, Marrakesh, 2019</w:t>
      </w:r>
      <w:bookmarkStart w:id="8" w:name="_Ref514954631"/>
      <w:r>
        <w:rPr>
          <w:kern w:val="2"/>
          <w:szCs w:val="22"/>
          <w:lang w:val="en-US"/>
        </w:rPr>
        <w:t>.</w:t>
      </w:r>
      <w:bookmarkEnd w:id="8"/>
    </w:p>
    <w:p>
      <w:pPr>
        <w:pStyle w:val="Heading1"/>
        <w:numPr>
          <w:ilvl w:val="0"/>
          <w:numId w:val="2"/>
        </w:numPr>
        <w:rPr>
          <w:lang w:val="en-US"/>
        </w:rPr>
      </w:pPr>
      <w:bookmarkStart w:id="9" w:name="_Toc510034959"/>
      <w:r>
        <w:rPr>
          <w:lang w:val="en-US"/>
        </w:rPr>
        <w:t>Patent Rights Declaration(s)</w:t>
      </w:r>
      <w:bookmarkEnd w:id="9"/>
    </w:p>
    <w:p>
      <w:pPr>
        <w:pStyle w:val="Normal"/>
        <w:spacing w:before="120" w:after="0"/>
        <w:jc w:val="both"/>
        <w:rPr/>
      </w:pPr>
      <w:r>
        <w:rPr>
          <w:b/>
          <w:kern w:val="2"/>
          <w:szCs w:val="22"/>
          <w:lang w:val="en-US"/>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footerReference w:type="default" r:id="rId4"/>
      <w:type w:val="nextPage"/>
      <w:pgSz w:w="12240" w:h="15840"/>
      <w:pgMar w:left="1440" w:right="1440" w:header="0" w:top="864" w:footer="432" w:bottom="864" w:gutter="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Bold">
    <w:charset w:val="00"/>
    <w:family w:val="roman"/>
    <w:pitch w:val="variable"/>
  </w:font>
  <w:font w:name="Tahoma">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Calibri">
    <w:charset w:val="00"/>
    <w:family w:val="roman"/>
    <w:pitch w:val="variable"/>
  </w:font>
  <w:font w:name="Arial">
    <w:charset w:val="00"/>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8640"/>
        <w:tab w:val="center" w:pos="4320" w:leader="none"/>
        <w:tab w:val="right" w:pos="9360" w:leader="none"/>
      </w:tabs>
      <w:spacing w:before="136" w:after="0"/>
      <w:rPr/>
    </w:pPr>
    <w:r>
      <w:rPr/>
      <w:tab/>
      <w:t xml:space="preserve">Page: </w:t>
    </w:r>
    <w:r>
      <w:rPr>
        <w:rStyle w:val="Pagenumber"/>
      </w:rPr>
      <w:fldChar w:fldCharType="begin"/>
    </w:r>
    <w:r>
      <w:rPr>
        <w:rStyle w:val="Pagenumber"/>
      </w:rPr>
      <w:instrText> PAGE </w:instrText>
    </w:r>
    <w:r>
      <w:rPr>
        <w:rStyle w:val="Pagenumber"/>
      </w:rPr>
      <w:fldChar w:fldCharType="separate"/>
    </w:r>
    <w:r>
      <w:rPr>
        <w:rStyle w:val="Pagenumber"/>
      </w:rPr>
      <w:t>2</w:t>
    </w:r>
    <w:r>
      <w:rPr>
        <w:rStyle w:val="Pagenumber"/>
      </w:rPr>
      <w:fldChar w:fldCharType="end"/>
    </w:r>
    <w:r>
      <w:rPr>
        <w:rStyle w:val="Pagenumber"/>
      </w:rPr>
      <w:tab/>
      <w:t>Date Saved: 2019-03-18</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decimal"/>
      <w:lvlText w:val="%1"/>
      <w:lvlJc w:val="left"/>
      <w:pPr>
        <w:ind w:left="432" w:hanging="432"/>
      </w:pPr>
    </w:lvl>
    <w:lvl w:ilvl="1">
      <w:start w:val="1"/>
      <w:pStyle w:val="Heading2"/>
      <w:numFmt w:val="decimal"/>
      <w:lvlText w:val="%1.%2"/>
      <w:lvlJc w:val="left"/>
      <w:pPr>
        <w:ind w:left="1116" w:hanging="576"/>
      </w:pPr>
    </w:lvl>
    <w:lvl w:ilvl="2">
      <w:start w:val="1"/>
      <w:pStyle w:val="Heading3"/>
      <w:numFmt w:val="decimal"/>
      <w:lvlText w:val="%1.%2.%3"/>
      <w:lvlJc w:val="left"/>
      <w:pPr>
        <w:ind w:left="720" w:hanging="720"/>
      </w:pPr>
    </w:lvl>
    <w:lvl w:ilvl="3">
      <w:start w:val="1"/>
      <w:pStyle w:val="Heading4"/>
      <w:numFmt w:val="decimal"/>
      <w:lvlText w:val="%1.%2.%3.%4"/>
      <w:lvlJc w:val="left"/>
      <w:pPr>
        <w:ind w:left="864" w:hanging="864"/>
      </w:pPr>
    </w:lvl>
    <w:lvl w:ilvl="4">
      <w:start w:val="1"/>
      <w:pStyle w:val="Heading5"/>
      <w:numFmt w:val="decimal"/>
      <w:lvlText w:val="%1.%2.%3.%4.%5"/>
      <w:lvlJc w:val="left"/>
      <w:pPr>
        <w:ind w:left="1008" w:hanging="1008"/>
      </w:pPr>
    </w:lvl>
    <w:lvl w:ilvl="5">
      <w:start w:val="1"/>
      <w:pStyle w:val="Heading6"/>
      <w:numFmt w:val="decimal"/>
      <w:lvlText w:val="%1.%2.%3.%4.%5.%6"/>
      <w:lvlJc w:val="left"/>
      <w:pPr>
        <w:ind w:left="1152" w:hanging="1152"/>
      </w:pPr>
    </w:lvl>
    <w:lvl w:ilvl="6">
      <w:start w:val="1"/>
      <w:pStyle w:val="Heading7"/>
      <w:numFmt w:val="decimal"/>
      <w:lvlText w:val="%1.%2.%3.%4.%5.%6.%7"/>
      <w:lvlJc w:val="left"/>
      <w:pPr>
        <w:ind w:left="1296" w:hanging="1296"/>
      </w:pPr>
    </w:lvl>
    <w:lvl w:ilvl="7">
      <w:start w:val="1"/>
      <w:pStyle w:val="Heading8"/>
      <w:numFmt w:val="decimal"/>
      <w:lvlText w:val="%1.%2.%3.%4.%5.%6.%7.%8"/>
      <w:lvlJc w:val="left"/>
      <w:pPr>
        <w:ind w:left="1440" w:hanging="1440"/>
      </w:pPr>
    </w:lvl>
    <w:lvl w:ilvl="8">
      <w:start w:val="1"/>
      <w:numFmt w:val="none"/>
      <w:suff w:val="nothing"/>
      <w:lvlText w:val=""/>
      <w:lvlJc w:val="left"/>
      <w:pPr>
        <w:ind w:left="0" w:hanging="0"/>
      </w:pPr>
    </w:lvl>
  </w:abstractNum>
  <w:abstractNum w:abstractNumId="2">
    <w:lvl w:ilvl="0">
      <w:start w:val="1"/>
      <w:numFmt w:val="decimal"/>
      <w:lvlText w:val="%1"/>
      <w:lvlJc w:val="left"/>
      <w:pPr>
        <w:ind w:left="432" w:hanging="432"/>
      </w:pPr>
    </w:lvl>
    <w:lvl w:ilvl="1">
      <w:start w:val="1"/>
      <w:numFmt w:val="decimal"/>
      <w:lvlText w:val="%1.%2"/>
      <w:lvlJc w:val="left"/>
      <w:pPr>
        <w:ind w:left="111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20"/>
  <w:compat>
    <w:doNotExpandShiftReturn/>
  </w:compat>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21ceb"/>
    <w:pPr>
      <w:widowControl/>
      <w:bidi w:val="0"/>
      <w:spacing w:before="136" w:after="0"/>
      <w:jc w:val="left"/>
    </w:pPr>
    <w:rPr>
      <w:rFonts w:ascii="Times New Roman" w:hAnsi="Times New Roman" w:eastAsia="Times New Roman" w:cs="Times New Roman"/>
      <w:color w:val="auto"/>
      <w:kern w:val="0"/>
      <w:sz w:val="22"/>
      <w:szCs w:val="20"/>
      <w:lang w:val="en-CA" w:eastAsia="en-US" w:bidi="ar-SA"/>
    </w:rPr>
  </w:style>
  <w:style w:type="paragraph" w:styleId="Heading1">
    <w:name w:val="Heading 1"/>
    <w:basedOn w:val="Normal"/>
    <w:next w:val="Normal"/>
    <w:qFormat/>
    <w:rsid w:val="00bf695e"/>
    <w:pPr>
      <w:keepNext w:val="true"/>
      <w:numPr>
        <w:ilvl w:val="0"/>
        <w:numId w:val="1"/>
      </w:numPr>
      <w:spacing w:before="240" w:after="60"/>
      <w:outlineLvl w:val="0"/>
    </w:pPr>
    <w:rPr>
      <w:rFonts w:cs="Arial"/>
      <w:b/>
      <w:bCs/>
      <w:kern w:val="2"/>
      <w:sz w:val="32"/>
      <w:szCs w:val="32"/>
    </w:rPr>
  </w:style>
  <w:style w:type="paragraph" w:styleId="Heading2">
    <w:name w:val="Heading 2"/>
    <w:basedOn w:val="Normal"/>
    <w:next w:val="Normal"/>
    <w:link w:val="berschrift2Zchn"/>
    <w:qFormat/>
    <w:rsid w:val="00bf695e"/>
    <w:pPr>
      <w:keepNext w:val="true"/>
      <w:numPr>
        <w:ilvl w:val="1"/>
        <w:numId w:val="1"/>
      </w:numPr>
      <w:spacing w:before="240" w:after="60"/>
      <w:ind w:left="576" w:hanging="0"/>
      <w:outlineLvl w:val="1"/>
    </w:pPr>
    <w:rPr>
      <w:b/>
      <w:bCs/>
      <w:i/>
      <w:iCs/>
      <w:sz w:val="28"/>
      <w:szCs w:val="28"/>
    </w:rPr>
  </w:style>
  <w:style w:type="paragraph" w:styleId="Heading3">
    <w:name w:val="Heading 3"/>
    <w:basedOn w:val="Normal"/>
    <w:next w:val="Normal"/>
    <w:link w:val="berschrift3Zchn"/>
    <w:qFormat/>
    <w:rsid w:val="00bf695e"/>
    <w:pPr>
      <w:keepNext w:val="true"/>
      <w:numPr>
        <w:ilvl w:val="2"/>
        <w:numId w:val="1"/>
      </w:numPr>
      <w:spacing w:before="240" w:after="60"/>
      <w:outlineLvl w:val="2"/>
    </w:pPr>
    <w:rPr>
      <w:b/>
      <w:bCs/>
      <w:sz w:val="26"/>
      <w:szCs w:val="26"/>
    </w:rPr>
  </w:style>
  <w:style w:type="paragraph" w:styleId="Heading4">
    <w:name w:val="Heading 4"/>
    <w:basedOn w:val="Normal"/>
    <w:next w:val="Normal"/>
    <w:link w:val="berschrift4Zchn"/>
    <w:qFormat/>
    <w:rsid w:val="004234f0"/>
    <w:pPr>
      <w:keepNext w:val="true"/>
      <w:numPr>
        <w:ilvl w:val="3"/>
        <w:numId w:val="1"/>
      </w:numPr>
      <w:spacing w:before="240" w:after="60"/>
      <w:ind w:right="1008" w:hanging="0"/>
      <w:outlineLvl w:val="3"/>
    </w:pPr>
    <w:rPr>
      <w:rFonts w:ascii="Times New Roman Bold" w:hAnsi="Times New Roman Bold"/>
      <w:b/>
      <w:bCs/>
      <w:sz w:val="24"/>
      <w:szCs w:val="28"/>
    </w:rPr>
  </w:style>
  <w:style w:type="paragraph" w:styleId="Heading5">
    <w:name w:val="Heading 5"/>
    <w:basedOn w:val="Normal"/>
    <w:next w:val="Normal"/>
    <w:link w:val="berschrift5Zchn"/>
    <w:qFormat/>
    <w:rsid w:val="004234f0"/>
    <w:pPr>
      <w:keepNext w:val="true"/>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berschrift6Zchn"/>
    <w:qFormat/>
    <w:rsid w:val="000e00f3"/>
    <w:pPr>
      <w:keepNext w:val="true"/>
      <w:numPr>
        <w:ilvl w:val="5"/>
        <w:numId w:val="1"/>
      </w:numPr>
      <w:spacing w:before="240" w:after="60"/>
      <w:ind w:left="1080" w:hanging="1080"/>
      <w:outlineLvl w:val="5"/>
    </w:pPr>
    <w:rPr>
      <w:b/>
      <w:bCs/>
      <w:szCs w:val="22"/>
    </w:rPr>
  </w:style>
  <w:style w:type="paragraph" w:styleId="Heading7">
    <w:name w:val="Heading 7"/>
    <w:basedOn w:val="Normal"/>
    <w:next w:val="Normal"/>
    <w:link w:val="berschrift7Zchn"/>
    <w:qFormat/>
    <w:rsid w:val="004234f0"/>
    <w:pPr>
      <w:keepNext w:val="true"/>
      <w:numPr>
        <w:ilvl w:val="6"/>
        <w:numId w:val="1"/>
      </w:numPr>
      <w:spacing w:before="240" w:after="60"/>
      <w:ind w:left="1440" w:hanging="1440"/>
      <w:outlineLvl w:val="6"/>
    </w:pPr>
    <w:rPr>
      <w:szCs w:val="24"/>
    </w:rPr>
  </w:style>
  <w:style w:type="paragraph" w:styleId="Heading8">
    <w:name w:val="Heading 8"/>
    <w:basedOn w:val="Normal"/>
    <w:next w:val="Normal"/>
    <w:link w:val="berschrift8Zchn"/>
    <w:qFormat/>
    <w:rsid w:val="004234f0"/>
    <w:pPr>
      <w:keepNext w:val="true"/>
      <w:numPr>
        <w:ilvl w:val="7"/>
        <w:numId w:val="1"/>
      </w:numPr>
      <w:spacing w:before="240" w:after="60"/>
      <w:ind w:left="1800" w:hanging="1800"/>
      <w:outlineLvl w:val="7"/>
    </w:pPr>
    <w:rPr>
      <w:i/>
      <w:iCs/>
      <w:szCs w:val="24"/>
    </w:rPr>
  </w:style>
  <w:style w:type="paragraph" w:styleId="Heading9">
    <w:name w:val="Heading 9"/>
    <w:basedOn w:val="Normal"/>
    <w:next w:val="Normal"/>
    <w:link w:val="berschrift9Zchn"/>
    <w:qFormat/>
    <w:rsid w:val="000e00f3"/>
    <w:pPr>
      <w:keepNext w:val="true"/>
      <w:spacing w:before="240" w:after="60"/>
      <w:ind w:left="1440" w:hanging="1440"/>
      <w:outlineLvl w:val="8"/>
    </w:pPr>
    <w:rPr>
      <w:b/>
      <w:szCs w:val="22"/>
    </w:rPr>
  </w:style>
  <w:style w:type="character" w:styleId="DefaultParagraphFont" w:default="1">
    <w:name w:val="Default Paragraph Font"/>
    <w:uiPriority w:val="1"/>
    <w:semiHidden/>
    <w:unhideWhenUsed/>
    <w:qFormat/>
    <w:rPr/>
  </w:style>
  <w:style w:type="character" w:styleId="Berschrift2Zchn" w:customStyle="1">
    <w:name w:val="Überschrift 2 Zchn"/>
    <w:link w:val="berschrift2"/>
    <w:qFormat/>
    <w:rsid w:val="00bf695e"/>
    <w:rPr>
      <w:b/>
      <w:bCs/>
      <w:i/>
      <w:iCs/>
      <w:sz w:val="28"/>
      <w:szCs w:val="28"/>
      <w:lang w:val="en-CA"/>
    </w:rPr>
  </w:style>
  <w:style w:type="character" w:styleId="Berschrift3Zchn" w:customStyle="1">
    <w:name w:val="Überschrift 3 Zchn"/>
    <w:link w:val="berschrift3"/>
    <w:qFormat/>
    <w:rsid w:val="00bf695e"/>
    <w:rPr>
      <w:b/>
      <w:bCs/>
      <w:sz w:val="26"/>
      <w:szCs w:val="26"/>
      <w:lang w:val="en-CA"/>
    </w:rPr>
  </w:style>
  <w:style w:type="character" w:styleId="Berschrift4Zchn" w:customStyle="1">
    <w:name w:val="Überschrift 4 Zchn"/>
    <w:link w:val="berschrift4"/>
    <w:qFormat/>
    <w:rsid w:val="004234f0"/>
    <w:rPr>
      <w:rFonts w:ascii="Times New Roman Bold" w:hAnsi="Times New Roman Bold"/>
      <w:b/>
      <w:bCs/>
      <w:sz w:val="24"/>
      <w:szCs w:val="28"/>
      <w:lang w:val="en-CA"/>
    </w:rPr>
  </w:style>
  <w:style w:type="character" w:styleId="Berschrift5Zchn" w:customStyle="1">
    <w:name w:val="Überschrift 5 Zchn"/>
    <w:link w:val="berschrift5"/>
    <w:qFormat/>
    <w:rsid w:val="004234f0"/>
    <w:rPr>
      <w:b/>
      <w:bCs/>
      <w:i/>
      <w:iCs/>
      <w:sz w:val="24"/>
      <w:szCs w:val="26"/>
      <w:lang w:val="en-CA"/>
    </w:rPr>
  </w:style>
  <w:style w:type="character" w:styleId="Berschrift6Zchn" w:customStyle="1">
    <w:name w:val="Überschrift 6 Zchn"/>
    <w:link w:val="berschrift6"/>
    <w:qFormat/>
    <w:rsid w:val="000e00f3"/>
    <w:rPr>
      <w:b/>
      <w:bCs/>
      <w:sz w:val="22"/>
      <w:szCs w:val="22"/>
      <w:lang w:val="en-CA"/>
    </w:rPr>
  </w:style>
  <w:style w:type="character" w:styleId="Berschrift7Zchn" w:customStyle="1">
    <w:name w:val="Überschrift 7 Zchn"/>
    <w:link w:val="berschrift7"/>
    <w:qFormat/>
    <w:rsid w:val="004234f0"/>
    <w:rPr>
      <w:sz w:val="22"/>
      <w:szCs w:val="24"/>
      <w:lang w:val="en-CA"/>
    </w:rPr>
  </w:style>
  <w:style w:type="character" w:styleId="Berschrift8Zchn" w:customStyle="1">
    <w:name w:val="Überschrift 8 Zchn"/>
    <w:link w:val="berschrift8"/>
    <w:qFormat/>
    <w:rsid w:val="004234f0"/>
    <w:rPr>
      <w:i/>
      <w:iCs/>
      <w:sz w:val="22"/>
      <w:szCs w:val="24"/>
      <w:lang w:val="en-CA"/>
    </w:rPr>
  </w:style>
  <w:style w:type="character" w:styleId="Berschrift9Zchn" w:customStyle="1">
    <w:name w:val="Überschrift 9 Zchn"/>
    <w:link w:val="berschrift9"/>
    <w:qFormat/>
    <w:rsid w:val="000e00f3"/>
    <w:rPr>
      <w:b/>
      <w:sz w:val="22"/>
      <w:szCs w:val="22"/>
      <w:lang w:eastAsia="en-US"/>
    </w:rPr>
  </w:style>
  <w:style w:type="character" w:styleId="Pagenumber">
    <w:name w:val="page number"/>
    <w:basedOn w:val="DefaultParagraphFont"/>
    <w:qFormat/>
    <w:rPr/>
  </w:style>
  <w:style w:type="character" w:styleId="InternetLink">
    <w:name w:val="Internet Link"/>
    <w:uiPriority w:val="99"/>
    <w:rsid w:val="0012580b"/>
    <w:rPr>
      <w:color w:val="0000FF"/>
      <w:u w:val="single"/>
    </w:rPr>
  </w:style>
  <w:style w:type="character" w:styleId="FollowedHyperlink">
    <w:name w:val="FollowedHyperlink"/>
    <w:qFormat/>
    <w:rsid w:val="003373ec"/>
    <w:rPr>
      <w:color w:val="800080"/>
      <w:u w:val="single"/>
    </w:rPr>
  </w:style>
  <w:style w:type="character" w:styleId="DokumentstrukturZchn" w:customStyle="1">
    <w:name w:val="Dokumentstruktur Zchn"/>
    <w:link w:val="Dokumentstruktur"/>
    <w:qFormat/>
    <w:rsid w:val="00e11923"/>
    <w:rPr>
      <w:rFonts w:ascii="Tahoma" w:hAnsi="Tahoma" w:cs="Tahoma"/>
      <w:sz w:val="16"/>
      <w:szCs w:val="16"/>
      <w:lang w:eastAsia="en-US"/>
    </w:rPr>
  </w:style>
  <w:style w:type="character" w:styleId="Annotationreference">
    <w:name w:val="annotation reference"/>
    <w:uiPriority w:val="99"/>
    <w:qFormat/>
    <w:rsid w:val="00bf7d94"/>
    <w:rPr>
      <w:sz w:val="16"/>
      <w:szCs w:val="16"/>
    </w:rPr>
  </w:style>
  <w:style w:type="character" w:styleId="KommentartextZchn" w:customStyle="1">
    <w:name w:val="Kommentartext Zchn"/>
    <w:link w:val="Kommentartext"/>
    <w:uiPriority w:val="99"/>
    <w:qFormat/>
    <w:rsid w:val="00bf7d94"/>
    <w:rPr>
      <w:rFonts w:eastAsia="SimSun"/>
    </w:rPr>
  </w:style>
  <w:style w:type="character" w:styleId="SPIEbodytextCharChar" w:customStyle="1">
    <w:name w:val="SPIE body text Char Char"/>
    <w:link w:val="SPIEbodytext"/>
    <w:qFormat/>
    <w:rsid w:val="00bf7d94"/>
    <w:rPr>
      <w:rFonts w:eastAsia="Malgun Gothic"/>
      <w:szCs w:val="24"/>
    </w:rPr>
  </w:style>
  <w:style w:type="character" w:styleId="SPIEfigurecaptionChar" w:customStyle="1">
    <w:name w:val="SPIE figure caption Char"/>
    <w:link w:val="SPIEfigurecaption"/>
    <w:qFormat/>
    <w:rsid w:val="00bf7d94"/>
    <w:rPr>
      <w:rFonts w:eastAsia="Malgun Gothic"/>
      <w:sz w:val="18"/>
    </w:rPr>
  </w:style>
  <w:style w:type="character" w:styleId="Gmailmsocommentreference" w:customStyle="1">
    <w:name w:val="gmail-msocommentreference"/>
    <w:qFormat/>
    <w:rsid w:val="00bf7d94"/>
    <w:rPr/>
  </w:style>
  <w:style w:type="character" w:styleId="UnresolvedMention1" w:customStyle="1">
    <w:name w:val="Unresolved Mention1"/>
    <w:basedOn w:val="DefaultParagraphFont"/>
    <w:uiPriority w:val="99"/>
    <w:semiHidden/>
    <w:unhideWhenUsed/>
    <w:qFormat/>
    <w:rsid w:val="003531bd"/>
    <w:rPr>
      <w:color w:val="808080"/>
      <w:shd w:fill="E6E6E6" w:val="clear"/>
    </w:rPr>
  </w:style>
  <w:style w:type="character" w:styleId="PlaceholderText">
    <w:name w:val="Placeholder Text"/>
    <w:basedOn w:val="DefaultParagraphFont"/>
    <w:uiPriority w:val="99"/>
    <w:semiHidden/>
    <w:qFormat/>
    <w:rsid w:val="00c9674d"/>
    <w:rPr>
      <w:color w:val="808080"/>
    </w:rPr>
  </w:style>
  <w:style w:type="character" w:styleId="TablesyntaxChar" w:customStyle="1">
    <w:name w:val="table syntax Char"/>
    <w:link w:val="tablesyntax"/>
    <w:qFormat/>
    <w:locked/>
    <w:rsid w:val="00050411"/>
    <w:rPr>
      <w:rFonts w:eastAsia="Malgun Gothic"/>
      <w:lang w:val="en-GB"/>
    </w:rPr>
  </w:style>
  <w:style w:type="character" w:styleId="KommentarthemaZchn" w:customStyle="1">
    <w:name w:val="Kommentarthema Zchn"/>
    <w:basedOn w:val="KommentartextZchn"/>
    <w:link w:val="Kommentarthema"/>
    <w:semiHidden/>
    <w:qFormat/>
    <w:rsid w:val="00600de6"/>
    <w:rPr>
      <w:rFonts w:eastAsia="SimSun"/>
      <w:b/>
      <w:bCs/>
      <w:lang w:val="en-CA"/>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Bullets">
    <w:name w:val="Bullets"/>
    <w:qFormat/>
    <w:rPr>
      <w:rFonts w:ascii="OpenSymbol" w:hAnsi="OpenSymbol" w:eastAsia="OpenSymbol" w:cs="OpenSymbol"/>
    </w:rPr>
  </w:style>
  <w:style w:type="character" w:styleId="ListLabel7">
    <w:name w:val="ListLabel 7"/>
    <w:qFormat/>
    <w:rPr>
      <w:rFonts w:cs="OpenSymbol"/>
    </w:rPr>
  </w:style>
  <w:style w:type="character" w:styleId="ListLabel8">
    <w:name w:val="ListLabel 8"/>
    <w:qFormat/>
    <w:rPr>
      <w:rFonts w:cs="OpenSymbol"/>
    </w:rPr>
  </w:style>
  <w:style w:type="character" w:styleId="ListLabel9">
    <w:name w:val="ListLabel 9"/>
    <w:qFormat/>
    <w:rPr>
      <w:rFonts w:cs="OpenSymbol"/>
    </w:rPr>
  </w:style>
  <w:style w:type="character" w:styleId="ListLabel10">
    <w:name w:val="ListLabel 10"/>
    <w:qFormat/>
    <w:rPr>
      <w:rFonts w:cs="OpenSymbol"/>
    </w:rPr>
  </w:style>
  <w:style w:type="character" w:styleId="ListLabel11">
    <w:name w:val="ListLabel 11"/>
    <w:qFormat/>
    <w:rPr>
      <w:rFonts w:cs="OpenSymbol"/>
    </w:rPr>
  </w:style>
  <w:style w:type="character" w:styleId="ListLabel12">
    <w:name w:val="ListLabel 12"/>
    <w:qFormat/>
    <w:rPr>
      <w:rFonts w:cs="OpenSymbol"/>
    </w:rPr>
  </w:style>
  <w:style w:type="character" w:styleId="ListLabel13">
    <w:name w:val="ListLabel 13"/>
    <w:qFormat/>
    <w:rPr>
      <w:rFonts w:cs="OpenSymbol"/>
    </w:rPr>
  </w:style>
  <w:style w:type="character" w:styleId="ListLabel14">
    <w:name w:val="ListLabel 14"/>
    <w:qFormat/>
    <w:rPr>
      <w:rFonts w:cs="OpenSymbol"/>
    </w:rPr>
  </w:style>
  <w:style w:type="character" w:styleId="ListLabel15">
    <w:name w:val="ListLabel 15"/>
    <w:qFormat/>
    <w:rPr>
      <w:rFonts w:cs="OpenSymbol"/>
    </w:rPr>
  </w:style>
  <w:style w:type="character" w:styleId="ListLabel16">
    <w:name w:val="ListLabel 16"/>
    <w:qFormat/>
    <w:rPr>
      <w:rFonts w:cs="OpenSymbol"/>
    </w:rPr>
  </w:style>
  <w:style w:type="character" w:styleId="ListLabel17">
    <w:name w:val="ListLabel 17"/>
    <w:qFormat/>
    <w:rPr>
      <w:rFonts w:cs="OpenSymbol"/>
    </w:rPr>
  </w:style>
  <w:style w:type="character" w:styleId="ListLabel18">
    <w:name w:val="ListLabel 18"/>
    <w:qFormat/>
    <w:rPr>
      <w:rFonts w:cs="OpenSymbol"/>
    </w:rPr>
  </w:style>
  <w:style w:type="character" w:styleId="ListLabel19">
    <w:name w:val="ListLabel 19"/>
    <w:qFormat/>
    <w:rPr>
      <w:rFonts w:cs="OpenSymbol"/>
    </w:rPr>
  </w:style>
  <w:style w:type="character" w:styleId="ListLabel20">
    <w:name w:val="ListLabel 20"/>
    <w:qFormat/>
    <w:rPr>
      <w:rFonts w:cs="OpenSymbol"/>
    </w:rPr>
  </w:style>
  <w:style w:type="character" w:styleId="ListLabel21">
    <w:name w:val="ListLabel 21"/>
    <w:qFormat/>
    <w:rPr>
      <w:rFonts w:cs="OpenSymbol"/>
    </w:rPr>
  </w:style>
  <w:style w:type="character" w:styleId="ListLabel22">
    <w:name w:val="ListLabel 22"/>
    <w:qFormat/>
    <w:rPr>
      <w:rFonts w:cs="OpenSymbol"/>
    </w:rPr>
  </w:style>
  <w:style w:type="character" w:styleId="ListLabel23">
    <w:name w:val="ListLabel 23"/>
    <w:qFormat/>
    <w:rPr>
      <w:rFonts w:cs="OpenSymbol"/>
    </w:rPr>
  </w:style>
  <w:style w:type="character" w:styleId="ListLabel24">
    <w:name w:val="ListLabel 24"/>
    <w:qFormat/>
    <w:rPr>
      <w:rFonts w:cs="OpenSymbol"/>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BalloonText">
    <w:name w:val="Balloon Text"/>
    <w:basedOn w:val="Normal"/>
    <w:semiHidden/>
    <w:qFormat/>
    <w:rsid w:val="009336f7"/>
    <w:pPr/>
    <w:rPr>
      <w:rFonts w:ascii="Tahoma" w:hAnsi="Tahoma" w:cs="Tahoma"/>
      <w:sz w:val="16"/>
      <w:szCs w:val="16"/>
    </w:rPr>
  </w:style>
  <w:style w:type="paragraph" w:styleId="DocumentMap">
    <w:name w:val="Document Map"/>
    <w:basedOn w:val="Normal"/>
    <w:link w:val="DokumentstrukturZchn"/>
    <w:qFormat/>
    <w:rsid w:val="00e11923"/>
    <w:pPr/>
    <w:rPr>
      <w:rFonts w:ascii="Tahoma" w:hAnsi="Tahoma" w:cs="Tahoma"/>
      <w:sz w:val="16"/>
      <w:szCs w:val="16"/>
    </w:rPr>
  </w:style>
  <w:style w:type="paragraph" w:styleId="Contents1">
    <w:name w:val="TOC 1"/>
    <w:basedOn w:val="Normal"/>
    <w:next w:val="Normal"/>
    <w:autoRedefine/>
    <w:uiPriority w:val="39"/>
    <w:rsid w:val="00dc32c6"/>
    <w:pPr>
      <w:tabs>
        <w:tab w:val="clear" w:pos="720"/>
        <w:tab w:val="right" w:pos="9350" w:leader="dot"/>
      </w:tabs>
      <w:spacing w:before="0" w:after="0"/>
    </w:pPr>
    <w:rPr>
      <w:sz w:val="20"/>
    </w:rPr>
  </w:style>
  <w:style w:type="paragraph" w:styleId="Contents2">
    <w:name w:val="TOC 2"/>
    <w:basedOn w:val="Normal"/>
    <w:next w:val="Normal"/>
    <w:autoRedefine/>
    <w:uiPriority w:val="39"/>
    <w:rsid w:val="003531bd"/>
    <w:pPr>
      <w:tabs>
        <w:tab w:val="clear" w:pos="720"/>
        <w:tab w:val="left" w:pos="880" w:leader="none"/>
        <w:tab w:val="right" w:pos="9350" w:leader="dot"/>
      </w:tabs>
      <w:spacing w:before="0" w:after="0"/>
      <w:ind w:left="202" w:hanging="0"/>
    </w:pPr>
    <w:rPr>
      <w:sz w:val="20"/>
    </w:rPr>
  </w:style>
  <w:style w:type="paragraph" w:styleId="Contents3">
    <w:name w:val="TOC 3"/>
    <w:basedOn w:val="Normal"/>
    <w:next w:val="Normal"/>
    <w:autoRedefine/>
    <w:uiPriority w:val="39"/>
    <w:rsid w:val="003531bd"/>
    <w:pPr>
      <w:spacing w:before="0" w:after="0"/>
      <w:ind w:left="403" w:hanging="0"/>
    </w:pPr>
    <w:rPr>
      <w:sz w:val="20"/>
    </w:rPr>
  </w:style>
  <w:style w:type="paragraph" w:styleId="Annotationtext">
    <w:name w:val="annotation text"/>
    <w:basedOn w:val="Normal"/>
    <w:link w:val="KommentartextZchn"/>
    <w:uiPriority w:val="99"/>
    <w:qFormat/>
    <w:rsid w:val="00bf7d94"/>
    <w:pPr/>
    <w:rPr>
      <w:rFonts w:eastAsia="SimSun"/>
      <w:sz w:val="20"/>
    </w:rPr>
  </w:style>
  <w:style w:type="paragraph" w:styleId="SPIEbodytext" w:customStyle="1">
    <w:name w:val="SPIE body text"/>
    <w:basedOn w:val="Normal"/>
    <w:link w:val="SPIEbodytextCharChar"/>
    <w:qFormat/>
    <w:rsid w:val="00bf7d94"/>
    <w:pPr>
      <w:spacing w:before="136" w:after="120"/>
    </w:pPr>
    <w:rPr>
      <w:rFonts w:eastAsia="Malgun Gothic"/>
      <w:sz w:val="20"/>
      <w:szCs w:val="24"/>
    </w:rPr>
  </w:style>
  <w:style w:type="paragraph" w:styleId="SPIEfigurecaption" w:customStyle="1">
    <w:name w:val="SPIE figure caption"/>
    <w:basedOn w:val="Normal"/>
    <w:next w:val="SPIEbodytext"/>
    <w:link w:val="SPIEfigurecaptionChar"/>
    <w:qFormat/>
    <w:rsid w:val="00bf7d94"/>
    <w:pPr>
      <w:spacing w:before="136" w:after="120"/>
      <w:ind w:left="360" w:right="360" w:hanging="0"/>
    </w:pPr>
    <w:rPr>
      <w:rFonts w:eastAsia="Malgun Gothic"/>
      <w:sz w:val="18"/>
    </w:rPr>
  </w:style>
  <w:style w:type="paragraph" w:styleId="Contents4">
    <w:name w:val="TOC 4"/>
    <w:basedOn w:val="Normal"/>
    <w:next w:val="Normal"/>
    <w:autoRedefine/>
    <w:uiPriority w:val="39"/>
    <w:unhideWhenUsed/>
    <w:rsid w:val="00dc32c6"/>
    <w:pPr>
      <w:spacing w:lineRule="auto" w:line="276" w:before="0" w:after="100"/>
      <w:ind w:left="662" w:hanging="0"/>
    </w:pPr>
    <w:rPr>
      <w:rFonts w:ascii="Calibri" w:hAnsi="Calibri"/>
      <w:szCs w:val="22"/>
    </w:rPr>
  </w:style>
  <w:style w:type="paragraph" w:styleId="Contents5">
    <w:name w:val="TOC 5"/>
    <w:basedOn w:val="Normal"/>
    <w:next w:val="Normal"/>
    <w:autoRedefine/>
    <w:uiPriority w:val="39"/>
    <w:unhideWhenUsed/>
    <w:rsid w:val="00dc32c6"/>
    <w:pPr>
      <w:spacing w:lineRule="auto" w:line="276" w:before="0" w:after="0"/>
      <w:ind w:left="878" w:hanging="0"/>
    </w:pPr>
    <w:rPr>
      <w:rFonts w:ascii="Calibri" w:hAnsi="Calibri"/>
      <w:szCs w:val="22"/>
    </w:rPr>
  </w:style>
  <w:style w:type="paragraph" w:styleId="Contents6">
    <w:name w:val="TOC 6"/>
    <w:basedOn w:val="Normal"/>
    <w:next w:val="Normal"/>
    <w:autoRedefine/>
    <w:uiPriority w:val="39"/>
    <w:unhideWhenUsed/>
    <w:rsid w:val="00bf7d94"/>
    <w:pPr>
      <w:spacing w:lineRule="auto" w:line="276" w:before="136" w:after="100"/>
      <w:ind w:left="1100" w:hanging="0"/>
    </w:pPr>
    <w:rPr>
      <w:rFonts w:ascii="Calibri" w:hAnsi="Calibri"/>
      <w:szCs w:val="22"/>
    </w:rPr>
  </w:style>
  <w:style w:type="paragraph" w:styleId="Contents7">
    <w:name w:val="TOC 7"/>
    <w:basedOn w:val="Normal"/>
    <w:next w:val="Normal"/>
    <w:autoRedefine/>
    <w:uiPriority w:val="39"/>
    <w:unhideWhenUsed/>
    <w:rsid w:val="00bf7d94"/>
    <w:pPr>
      <w:spacing w:lineRule="auto" w:line="276" w:before="136" w:after="100"/>
      <w:ind w:left="1320" w:hanging="0"/>
    </w:pPr>
    <w:rPr>
      <w:rFonts w:ascii="Calibri" w:hAnsi="Calibri"/>
      <w:szCs w:val="22"/>
    </w:rPr>
  </w:style>
  <w:style w:type="paragraph" w:styleId="Contents8">
    <w:name w:val="TOC 8"/>
    <w:basedOn w:val="Normal"/>
    <w:next w:val="Normal"/>
    <w:autoRedefine/>
    <w:uiPriority w:val="39"/>
    <w:unhideWhenUsed/>
    <w:rsid w:val="00bf7d94"/>
    <w:pPr>
      <w:spacing w:lineRule="auto" w:line="276" w:before="136" w:after="100"/>
      <w:ind w:left="1540" w:hanging="0"/>
    </w:pPr>
    <w:rPr>
      <w:rFonts w:ascii="Calibri" w:hAnsi="Calibri"/>
      <w:szCs w:val="22"/>
    </w:rPr>
  </w:style>
  <w:style w:type="paragraph" w:styleId="Contents9">
    <w:name w:val="TOC 9"/>
    <w:basedOn w:val="Normal"/>
    <w:next w:val="Normal"/>
    <w:autoRedefine/>
    <w:uiPriority w:val="39"/>
    <w:unhideWhenUsed/>
    <w:rsid w:val="00bf7d94"/>
    <w:pPr>
      <w:spacing w:lineRule="auto" w:line="276" w:before="136" w:after="100"/>
      <w:ind w:left="1760" w:hanging="0"/>
    </w:pPr>
    <w:rPr>
      <w:rFonts w:ascii="Calibri" w:hAnsi="Calibri"/>
      <w:szCs w:val="22"/>
    </w:rPr>
  </w:style>
  <w:style w:type="paragraph" w:styleId="NormalWeb">
    <w:name w:val="Normal (Web)"/>
    <w:basedOn w:val="Normal"/>
    <w:uiPriority w:val="99"/>
    <w:unhideWhenUsed/>
    <w:qFormat/>
    <w:rsid w:val="00bf7d94"/>
    <w:pPr>
      <w:spacing w:before="75" w:after="75"/>
    </w:pPr>
    <w:rPr>
      <w:rFonts w:ascii="Arial" w:hAnsi="Arial" w:eastAsia="SimSun" w:cs="Arial"/>
      <w:sz w:val="20"/>
      <w:lang w:eastAsia="zh-CN"/>
    </w:rPr>
  </w:style>
  <w:style w:type="paragraph" w:styleId="Gmailm1114232713663659157spiebodytext" w:customStyle="1">
    <w:name w:val="gmail-m_1114232713663659157spiebodytext"/>
    <w:basedOn w:val="Normal"/>
    <w:qFormat/>
    <w:rsid w:val="00a21996"/>
    <w:pPr>
      <w:spacing w:beforeAutospacing="1" w:afterAutospacing="1"/>
    </w:pPr>
    <w:rPr>
      <w:rFonts w:eastAsia="Calibri" w:eastAsiaTheme="minorHAnsi"/>
      <w:sz w:val="24"/>
      <w:szCs w:val="24"/>
    </w:rPr>
  </w:style>
  <w:style w:type="paragraph" w:styleId="ListParagraph">
    <w:name w:val="List Paragraph"/>
    <w:basedOn w:val="Normal"/>
    <w:uiPriority w:val="34"/>
    <w:qFormat/>
    <w:rsid w:val="002938f9"/>
    <w:pPr>
      <w:spacing w:before="136" w:after="0"/>
      <w:ind w:left="720" w:hanging="0"/>
      <w:contextualSpacing/>
    </w:pPr>
    <w:rPr/>
  </w:style>
  <w:style w:type="paragraph" w:styleId="Revision">
    <w:name w:val="Revision"/>
    <w:uiPriority w:val="99"/>
    <w:semiHidden/>
    <w:qFormat/>
    <w:rsid w:val="008773ce"/>
    <w:pPr>
      <w:widowControl/>
      <w:bidi w:val="0"/>
      <w:jc w:val="left"/>
    </w:pPr>
    <w:rPr>
      <w:rFonts w:ascii="Times New Roman" w:hAnsi="Times New Roman" w:eastAsia="Times New Roman" w:cs="Times New Roman"/>
      <w:color w:val="auto"/>
      <w:kern w:val="0"/>
      <w:sz w:val="22"/>
      <w:szCs w:val="20"/>
      <w:lang w:val="en-CA" w:eastAsia="en-US" w:bidi="ar-SA"/>
    </w:rPr>
  </w:style>
  <w:style w:type="paragraph" w:styleId="Caption1">
    <w:name w:val="caption"/>
    <w:basedOn w:val="Normal"/>
    <w:next w:val="Normal"/>
    <w:unhideWhenUsed/>
    <w:qFormat/>
    <w:rsid w:val="0036071e"/>
    <w:pPr>
      <w:spacing w:before="0" w:after="200"/>
    </w:pPr>
    <w:rPr>
      <w:i/>
      <w:iCs/>
      <w:color w:val="44546A" w:themeColor="text2"/>
      <w:sz w:val="18"/>
      <w:szCs w:val="18"/>
    </w:rPr>
  </w:style>
  <w:style w:type="paragraph" w:styleId="Tableheading" w:customStyle="1">
    <w:name w:val="table heading"/>
    <w:basedOn w:val="Normal"/>
    <w:qFormat/>
    <w:rsid w:val="00050411"/>
    <w:pPr>
      <w:keepNext w:val="true"/>
      <w:keepLines/>
      <w:overflowPunct w:val="true"/>
      <w:spacing w:before="0" w:after="60"/>
      <w:jc w:val="both"/>
      <w:textAlignment w:val="baseline"/>
    </w:pPr>
    <w:rPr>
      <w:rFonts w:eastAsia="Malgun Gothic"/>
      <w:b/>
      <w:bCs/>
      <w:sz w:val="20"/>
      <w:lang w:val="en-GB"/>
    </w:rPr>
  </w:style>
  <w:style w:type="paragraph" w:styleId="Tablecell" w:customStyle="1">
    <w:name w:val="table cell"/>
    <w:basedOn w:val="Normal"/>
    <w:qFormat/>
    <w:rsid w:val="00050411"/>
    <w:pPr>
      <w:keepNext w:val="true"/>
      <w:keepLines/>
      <w:overflowPunct w:val="true"/>
      <w:spacing w:before="0" w:after="60"/>
      <w:jc w:val="both"/>
      <w:textAlignment w:val="baseline"/>
    </w:pPr>
    <w:rPr>
      <w:rFonts w:eastAsia="Malgun Gothic"/>
      <w:sz w:val="20"/>
      <w:lang w:val="en-GB"/>
    </w:rPr>
  </w:style>
  <w:style w:type="paragraph" w:styleId="Tablesyntax" w:customStyle="1">
    <w:name w:val="table syntax"/>
    <w:basedOn w:val="Normal"/>
    <w:link w:val="tablesyntaxChar"/>
    <w:qFormat/>
    <w:rsid w:val="00050411"/>
    <w:pPr>
      <w:keepNext w:val="true"/>
      <w:keepLines/>
      <w:tabs>
        <w:tab w:val="clear" w:pos="720"/>
        <w:tab w:val="left" w:pos="216" w:leader="none"/>
        <w:tab w:val="left" w:pos="432" w:leader="none"/>
        <w:tab w:val="left" w:pos="648" w:leader="none"/>
        <w:tab w:val="left" w:pos="864" w:leader="none"/>
        <w:tab w:val="left" w:pos="1080" w:leader="none"/>
        <w:tab w:val="left" w:pos="1296" w:leader="none"/>
        <w:tab w:val="left" w:pos="1512" w:leader="none"/>
        <w:tab w:val="left" w:pos="1728" w:leader="none"/>
        <w:tab w:val="left" w:pos="1944" w:leader="none"/>
        <w:tab w:val="left" w:pos="2160" w:leader="none"/>
      </w:tabs>
      <w:overflowPunct w:val="true"/>
      <w:spacing w:before="0" w:after="0"/>
      <w:textAlignment w:val="baseline"/>
    </w:pPr>
    <w:rPr>
      <w:rFonts w:eastAsia="Malgun Gothic"/>
      <w:sz w:val="20"/>
      <w:lang w:val="en-GB"/>
    </w:rPr>
  </w:style>
  <w:style w:type="paragraph" w:styleId="TableText" w:customStyle="1">
    <w:name w:val="Table_Text"/>
    <w:basedOn w:val="Normal"/>
    <w:qFormat/>
    <w:rsid w:val="006a3d17"/>
    <w:pPr>
      <w:keepLines/>
      <w:overflowPunct w:val="true"/>
      <w:spacing w:lineRule="exact" w:line="190" w:before="100" w:after="100"/>
      <w:jc w:val="both"/>
      <w:textAlignment w:val="baseline"/>
    </w:pPr>
    <w:rPr>
      <w:rFonts w:eastAsia="Malgun Gothic"/>
      <w:sz w:val="18"/>
      <w:szCs w:val="18"/>
      <w:lang w:val="en-GB"/>
    </w:rPr>
  </w:style>
  <w:style w:type="paragraph" w:styleId="Default" w:customStyle="1">
    <w:name w:val="Default"/>
    <w:qFormat/>
    <w:rsid w:val="009470e6"/>
    <w:pPr>
      <w:widowControl/>
      <w:bidi w:val="0"/>
      <w:jc w:val="left"/>
    </w:pPr>
    <w:rPr>
      <w:rFonts w:ascii="Times New Roman" w:hAnsi="Times New Roman" w:eastAsia="Times New Roman" w:cs="Times New Roman"/>
      <w:color w:val="000000"/>
      <w:kern w:val="0"/>
      <w:sz w:val="24"/>
      <w:szCs w:val="24"/>
      <w:lang w:val="de-DE" w:eastAsia="en-US" w:bidi="ar-SA"/>
    </w:rPr>
  </w:style>
  <w:style w:type="paragraph" w:styleId="NoSpacing">
    <w:name w:val="No Spacing"/>
    <w:uiPriority w:val="1"/>
    <w:qFormat/>
    <w:rsid w:val="009f26e5"/>
    <w:pPr>
      <w:widowControl/>
      <w:bidi w:val="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paragraph" w:styleId="Annotationsubject">
    <w:name w:val="annotation subject"/>
    <w:basedOn w:val="Annotationtext"/>
    <w:next w:val="Annotationtext"/>
    <w:link w:val="KommentarthemaZchn"/>
    <w:semiHidden/>
    <w:unhideWhenUsed/>
    <w:qFormat/>
    <w:rsid w:val="00600de6"/>
    <w:pPr/>
    <w:rPr>
      <w:rFonts w:eastAsia="Times New Roman"/>
      <w:b/>
      <w:bCs/>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table" w:styleId="Tabellenraster">
    <w:name w:val="Table Grid"/>
    <w:basedOn w:val="NormaleTabelle"/>
    <w:rsid w:val="000c7f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entabelle3">
    <w:name w:val="List Table 3"/>
    <w:basedOn w:val="NormaleTabelle"/>
    <w:uiPriority w:val="48"/>
    <w:rsid w:val="00fd2f65"/>
    <w:rPr>
      <w:rFonts w:asciiTheme="minorHAnsi" w:hAnsiTheme="minorHAnsi" w:eastAsiaTheme="minorHAnsi" w:cstheme="minorBidi"/>
      <w:lang w:val="de-DE"/>
      <w:sz w:val="22"/>
      <w:szCs w:val="22"/>
    </w:r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rPr>
      <w:tblPr/>
      <w:tcPr>
        <w:shd w:val="clear" w:color="auto" w:fill="000000" w:themeFill="text1"/>
      </w:tcPr>
    </w:tblStylePr>
    <w:tblStylePr w:type="lastRow">
      <w:rPr>
        <w:b/>
        <w:bCs/>
      </w:rPr>
      <w:tblPr/>
      <w:tcPr>
        <w:tcBorders>
          <w:top w:val="double" w:color="000000" w:themeColor="tex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000000" w:themeColor="text1" w:sz="4" w:space="0"/>
          <w:left w:val="nil"/>
        </w:tcBorders>
      </w:tcPr>
    </w:tblStylePr>
    <w:tblStylePr w:type="swCell">
      <w:tblPr/>
      <w:tcPr>
        <w:tcBorders>
          <w:top w:val="double" w:color="000000" w:themeColor="text1" w:sz="4" w:space="0"/>
          <w:right w:val="nil"/>
        </w:tcBorders>
      </w:tcPr>
    </w:tblStylePr>
  </w:style>
  <w:style w:type="table" w:styleId="Gitternetztabelle4Akzent3">
    <w:name w:val="Grid Table 4 Accent 3"/>
    <w:basedOn w:val="NormaleTabelle"/>
    <w:uiPriority w:val="49"/>
    <w:rsid w:val="00f86c2e"/>
    <w:rPr>
      <w:rFonts w:asciiTheme="minorHAnsi" w:hAnsiTheme="minorHAnsi" w:eastAsiaTheme="minorHAnsi" w:cstheme="minorBidi"/>
      <w:sz w:val="22"/>
      <w:szCs w:val="22"/>
    </w:rPr>
    <w:tblPr>
      <w:tblStyleRowBandSize w:val="1"/>
      <w:tblStyleColBandSize w:val="1"/>
      <w:tblBorders>
        <w:top w:val="single" w:color="C9C9C9" w:themeColor="accent3" w:themeTint="99" w:sz="4" w:space="0"/>
        <w:left w:val="single" w:color="C9C9C9" w:themeColor="accent3" w:themeTint="99" w:sz="4" w:space="0"/>
        <w:bottom w:val="single" w:color="C9C9C9" w:themeColor="accent3" w:themeTint="99" w:sz="4" w:space="0"/>
        <w:right w:val="single" w:color="C9C9C9" w:themeColor="accent3" w:themeTint="99" w:sz="4" w:space="0"/>
        <w:insideH w:val="single" w:color="C9C9C9" w:themeColor="accent3" w:themeTint="99" w:sz="4" w:space="0"/>
        <w:insideV w:val="single" w:color="C9C9C9" w:themeColor="accent3" w:themeTint="99" w:sz="4" w:space="0"/>
      </w:tblBorders>
    </w:tblPr>
    <w:tblStylePr w:type="firstRow">
      <w:rPr>
        <w:b/>
        <w:bCs/>
        <w:color w:val="FFFFFF" w:themeColor="background1"/>
      </w:rPr>
      <w:tbl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blPr/>
      <w:tcPr>
        <w:tcBorders>
          <w:top w:val="double" w:color="A5A5A5" w:themeColor="accent3" w:sz="4" w:space="0"/>
        </w:tcBorders>
      </w:tcPr>
    </w:tblStylePr>
    <w:tblStylePr w:type="firstCol">
      <w:rPr>
        <w:b/>
        <w:bCs/>
      </w:rPr>
      <w:tblPr/>
    </w:tblStylePr>
    <w:tblStylePr w:type="lastCol">
      <w:rPr>
        <w:b/>
        <w:bCs/>
      </w:rPr>
      <w:tbl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1">
    <w:name w:val="Grid Table 21"/>
    <w:basedOn w:val="NormaleTabelle"/>
    <w:uiPriority w:val="47"/>
    <w:rsid w:val="00cb00cc"/>
    <w:rPr>
      <w:rFonts w:asciiTheme="minorHAnsi" w:hAnsiTheme="minorHAnsi" w:eastAsiaTheme="minorHAnsi" w:cstheme="minorBidi"/>
      <w:lang w:val="de-DE"/>
      <w:sz w:val="22"/>
      <w:szCs w:val="22"/>
    </w:rPr>
    <w:tblPr>
      <w:tblStyleRowBandSize w:val="1"/>
      <w:tblStyleColBandSize w:val="1"/>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blPr/>
      <w:tcPr>
        <w:tcBorders>
          <w:top w:val="nil"/>
          <w:bottom w:val="single" w:color="666666" w:themeColor="text1" w:sz="12" w:space="0"/>
          <w:insideH w:val="nil"/>
          <w:insideV w:val="nil"/>
        </w:tcBorders>
        <w:shd w:val="clear" w:color="auto" w:fill="FFFFFF" w:themeFill="background1"/>
      </w:tcPr>
    </w:tblStylePr>
    <w:tblStylePr w:type="lastRow">
      <w:rPr>
        <w:b/>
        <w:bCs/>
      </w:rPr>
      <w:tblPr/>
      <w:tcPr>
        <w:tcBorders>
          <w:top w:val="double" w:color="666666" w:themeColor="text1" w:sz="2" w:space="0"/>
          <w:bottom w:val="nil"/>
          <w:insideH w:val="nil"/>
          <w:insideV w:val="nil"/>
        </w:tcBorders>
        <w:shd w:val="clear" w:color="auto" w:fill="FFFFFF" w:themeFill="background1"/>
      </w:tcPr>
    </w:tblStylePr>
    <w:tblStylePr w:type="firstCol">
      <w:rPr>
        <w:b/>
        <w:bCs/>
      </w:rPr>
      <w:tblPr/>
    </w:tblStylePr>
    <w:tblStylePr w:type="lastCol">
      <w:rPr>
        <w:b/>
        <w:bCs/>
      </w:rPr>
      <w:tbl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001D5-ED98-4321-97E2-0D5A8362E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Application>LibreOffice/6.1.4.2$Windows_X86_64 LibreOffice_project/9d0f32d1f0b509096fd65e0d4bec26ddd1938fd3</Application>
  <Pages>2</Pages>
  <Words>516</Words>
  <Characters>2918</Characters>
  <CharactersWithSpaces>3395</CharactersWithSpaces>
  <Paragraphs>35</Paragraphs>
  <Company>JCT-VC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2018-12-21T11:00:00Z</dcterms:created>
  <dc:creator>Christian Helmrich</dc:creator>
  <dc:description/>
  <cp:keywords>JCT-VC MPEG VCEG</cp:keywords>
  <dc:language>de-DE</dc:language>
  <cp:lastModifiedBy/>
  <cp:lastPrinted>2018-12-21T11:00:00Z</cp:lastPrinted>
  <dcterms:modified xsi:type="dcterms:W3CDTF">2019-03-18T13:00:44Z</dcterms:modified>
  <cp:revision>14</cp:revision>
  <dc:subject/>
  <dc:title>CE11-1.1: Further information on conditionally signaled very strong deblocking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2015_ms_pID_725343">
    <vt:lpwstr>(2)eyEyOVD+m1my0eUrIHHI++1R36KOu7L4yCTb4AljSK50cWJkiL+gcK7TR1n/80Sq+AwP84DOlK/AQmgHd7G4QGYL9ukEp3A9RU+IGL2dNmJHaaH/1FA/aep27PsbpLSMTwzYlxTFvTzHKxRDZ2u1BfrvMEQ8DBc+09OJLFgtiB8A5VwwUN1NTHN/vWq2+BQBjz/vYKrnyGih+pzguS0HYfDQAuzDbiZJHuBh4fThCM</vt:lpwstr>
  </property>
  <property fmtid="{D5CDD505-2E9C-101B-9397-08002B2CF9AE}" pid="10" name="_2015_ms_pID_7253431">
    <vt:lpwstr>Uo1AfIJ9XFJls4kDE8GJN73NO0RgcbbDan1ACKGu3ggmJhLOA/pJ8tzZ09gFsp+1nBlLD+CPF17uB+ttJxnFf7FctV/kwr0XHsJSrSKasjsKXwCmOmDuWtOGgoDvWAQuOOvp8yUx+mKlI6MtHURi4WuZf1HaL/2y+ysLgwF0LnXfff0mA1pge3XNsHFK2ssFY=</vt:lpwstr>
  </property>
</Properties>
</file>