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90286F"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33C2E8C" w:rsidR="00E61DAC" w:rsidRPr="005B217D" w:rsidRDefault="00F46586" w:rsidP="00FA60F5">
            <w:pPr>
              <w:tabs>
                <w:tab w:val="left" w:pos="7200"/>
              </w:tabs>
              <w:spacing w:before="0"/>
              <w:rPr>
                <w:b/>
                <w:szCs w:val="22"/>
                <w:lang w:val="en-CA"/>
              </w:rPr>
            </w:pPr>
            <w:r>
              <w:t xml:space="preserve">14th Meeting: </w:t>
            </w:r>
            <w:r>
              <w:rPr>
                <w:lang w:val="en-CA"/>
              </w:rPr>
              <w:t>Geneva, CH, 19–27 March 2019</w:t>
            </w:r>
          </w:p>
        </w:tc>
        <w:tc>
          <w:tcPr>
            <w:tcW w:w="3060" w:type="dxa"/>
          </w:tcPr>
          <w:p w14:paraId="59B7E346" w14:textId="33D2CA94" w:rsidR="008A4B4C" w:rsidRPr="005B217D" w:rsidRDefault="00E61DAC" w:rsidP="00250AF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E12E9">
              <w:rPr>
                <w:lang w:val="en-CA"/>
              </w:rPr>
              <w:t>N</w:t>
            </w:r>
            <w:r w:rsidR="0090286F" w:rsidRPr="008A5D05">
              <w:rPr>
                <w:lang w:val="en-CA"/>
              </w:rPr>
              <w:t>0</w:t>
            </w:r>
            <w:r w:rsidR="0075479D">
              <w:rPr>
                <w:lang w:val="en-CA"/>
              </w:rPr>
              <w:t>5</w:t>
            </w:r>
            <w:r w:rsidR="00EE2F5E">
              <w:rPr>
                <w:lang w:val="en-CA"/>
              </w:rPr>
              <w:t>18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2A5C898" w:rsidR="00E61DAC" w:rsidRPr="005B217D" w:rsidRDefault="00EE2F5E" w:rsidP="00250AFC">
            <w:pPr>
              <w:spacing w:before="60" w:after="60"/>
              <w:rPr>
                <w:b/>
                <w:szCs w:val="22"/>
                <w:lang w:val="en-CA"/>
              </w:rPr>
            </w:pPr>
            <w:r w:rsidRPr="00EE2F5E">
              <w:rPr>
                <w:b/>
                <w:szCs w:val="22"/>
                <w:lang w:val="en-CA"/>
              </w:rPr>
              <w:t>Crosscheck of JVET-N0365 (CE6-related: MPM based non-separable secondary transform)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1D0621F" w:rsidR="00E61DAC" w:rsidRPr="005B217D" w:rsidRDefault="00250AFC" w:rsidP="009459D9">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BC996DA" w:rsidR="00E61DAC" w:rsidRPr="005B217D" w:rsidRDefault="00EE2F5E" w:rsidP="009459D9">
            <w:pPr>
              <w:spacing w:before="60" w:after="60"/>
              <w:rPr>
                <w:szCs w:val="22"/>
                <w:lang w:val="en-CA"/>
              </w:rPr>
            </w:pPr>
            <w:r>
              <w:rPr>
                <w:szCs w:val="22"/>
                <w:lang w:val="en-CA"/>
              </w:rPr>
              <w:t>Pierrick Philippe</w:t>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32C2ABFD" w14:textId="50F1C14D" w:rsidR="009459D9" w:rsidRPr="00522B19" w:rsidRDefault="000F321E" w:rsidP="00522B19">
            <w:pPr>
              <w:rPr>
                <w:lang w:val="en-CA"/>
              </w:rPr>
            </w:pPr>
            <w:hyperlink r:id="rId9" w:history="1">
              <w:r w:rsidR="00EE2F5E" w:rsidRPr="00FA1690">
                <w:rPr>
                  <w:rStyle w:val="Lienhypertexte"/>
                  <w:szCs w:val="22"/>
                  <w:lang w:val="en-CA"/>
                </w:rPr>
                <w:t>pierrick.philippe@orange.com</w:t>
              </w:r>
            </w:hyperlink>
          </w:p>
        </w:tc>
      </w:tr>
      <w:tr w:rsidR="00E61DAC" w:rsidRPr="005B217D" w14:paraId="49AFAA61" w14:textId="77777777" w:rsidTr="000962AC">
        <w:tc>
          <w:tcPr>
            <w:tcW w:w="1458" w:type="dxa"/>
          </w:tcPr>
          <w:p w14:paraId="2C08AF6B" w14:textId="445DCAB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42EF990" w:rsidR="00E61DAC" w:rsidRPr="005B217D" w:rsidRDefault="00EE2F5E" w:rsidP="009459D9">
            <w:pPr>
              <w:spacing w:before="60" w:after="60"/>
              <w:rPr>
                <w:szCs w:val="22"/>
                <w:lang w:val="en-CA"/>
              </w:rPr>
            </w:pPr>
            <w:r>
              <w:rPr>
                <w:szCs w:val="22"/>
                <w:lang w:val="en-CA"/>
              </w:rPr>
              <w:t>Orange, bcom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Titre1"/>
        <w:numPr>
          <w:ilvl w:val="0"/>
          <w:numId w:val="0"/>
        </w:numPr>
        <w:ind w:left="432" w:hanging="432"/>
        <w:rPr>
          <w:lang w:val="en-CA"/>
        </w:rPr>
      </w:pPr>
      <w:r w:rsidRPr="005B217D">
        <w:rPr>
          <w:lang w:val="en-CA"/>
        </w:rPr>
        <w:t>Abstract</w:t>
      </w:r>
    </w:p>
    <w:p w14:paraId="723883F2" w14:textId="256D3158" w:rsidR="00263398" w:rsidRDefault="00C5476C" w:rsidP="009234A5">
      <w:pPr>
        <w:rPr>
          <w:lang w:val="en-CA"/>
        </w:rPr>
      </w:pPr>
      <w:r>
        <w:rPr>
          <w:lang w:val="en-CA"/>
        </w:rPr>
        <w:t xml:space="preserve">This document </w:t>
      </w:r>
      <w:r w:rsidR="00250AFC">
        <w:rPr>
          <w:lang w:val="en-CA"/>
        </w:rPr>
        <w:t xml:space="preserve">reports </w:t>
      </w:r>
      <w:r w:rsidR="0016127D">
        <w:rPr>
          <w:lang w:val="en-CA"/>
        </w:rPr>
        <w:t xml:space="preserve">the </w:t>
      </w:r>
      <w:r w:rsidR="00250AFC">
        <w:rPr>
          <w:lang w:val="en-CA"/>
        </w:rPr>
        <w:t xml:space="preserve">crosscheck </w:t>
      </w:r>
      <w:proofErr w:type="gramStart"/>
      <w:r w:rsidR="00A068D2">
        <w:rPr>
          <w:lang w:val="en-CA"/>
        </w:rPr>
        <w:t xml:space="preserve">of </w:t>
      </w:r>
      <w:r w:rsidR="007F5968">
        <w:rPr>
          <w:lang w:val="en-CA"/>
        </w:rPr>
        <w:t xml:space="preserve"> </w:t>
      </w:r>
      <w:r w:rsidR="00250AFC">
        <w:rPr>
          <w:lang w:val="en-CA"/>
        </w:rPr>
        <w:t>JVET</w:t>
      </w:r>
      <w:proofErr w:type="gramEnd"/>
      <w:r w:rsidR="00250AFC">
        <w:rPr>
          <w:lang w:val="en-CA"/>
        </w:rPr>
        <w:t>-</w:t>
      </w:r>
      <w:r w:rsidR="00912492">
        <w:rPr>
          <w:lang w:val="en-CA"/>
        </w:rPr>
        <w:t>N</w:t>
      </w:r>
      <w:r w:rsidR="00250AFC">
        <w:rPr>
          <w:lang w:val="en-CA"/>
        </w:rPr>
        <w:t>0</w:t>
      </w:r>
      <w:r w:rsidR="007F5968">
        <w:rPr>
          <w:lang w:val="en-CA"/>
        </w:rPr>
        <w:t>365</w:t>
      </w:r>
      <w:r w:rsidR="00250AFC">
        <w:rPr>
          <w:lang w:val="en-CA"/>
        </w:rPr>
        <w:t>.</w:t>
      </w:r>
      <w:r w:rsidR="008A5D05">
        <w:rPr>
          <w:lang w:val="en-CA"/>
        </w:rPr>
        <w:t xml:space="preserve"> It is reported that the average BD-rates </w:t>
      </w:r>
      <w:r w:rsidR="00DB5A93">
        <w:rPr>
          <w:lang w:val="en-CA"/>
        </w:rPr>
        <w:t>match those provided by the proponents.</w:t>
      </w:r>
      <w:r w:rsidR="00903722">
        <w:rPr>
          <w:lang w:val="en-CA"/>
        </w:rPr>
        <w:t xml:space="preserve"> </w:t>
      </w:r>
      <w:r w:rsidR="00025D89">
        <w:rPr>
          <w:lang w:val="en-CA"/>
        </w:rPr>
        <w:t>No discrepancies have been found between the provided software and the description of the tests. T</w:t>
      </w:r>
      <w:r w:rsidR="00025D89" w:rsidRPr="00E57FBF">
        <w:rPr>
          <w:lang w:val="en-CA"/>
        </w:rPr>
        <w:t>he execution times are within the measurement error range</w:t>
      </w:r>
      <w:r w:rsidR="00025D89">
        <w:rPr>
          <w:lang w:val="en-CA"/>
        </w:rPr>
        <w:t>.</w:t>
      </w:r>
    </w:p>
    <w:p w14:paraId="7D2AC1F0" w14:textId="48389FEF" w:rsidR="00745F6B" w:rsidRDefault="00BF38FF" w:rsidP="00E11923">
      <w:pPr>
        <w:pStyle w:val="Titre1"/>
        <w:rPr>
          <w:lang w:val="en-CA"/>
        </w:rPr>
      </w:pPr>
      <w:r>
        <w:rPr>
          <w:lang w:val="en-CA"/>
        </w:rPr>
        <w:t>D</w:t>
      </w:r>
      <w:r w:rsidR="008A5D05">
        <w:rPr>
          <w:lang w:val="en-CA"/>
        </w:rPr>
        <w:t>escription</w:t>
      </w:r>
    </w:p>
    <w:p w14:paraId="3F5C626D" w14:textId="09357E99" w:rsidR="00D2509E" w:rsidRPr="00D2509E" w:rsidRDefault="00D2509E" w:rsidP="00D2509E">
      <w:pPr>
        <w:rPr>
          <w:lang w:val="en-CA"/>
        </w:rPr>
      </w:pPr>
      <w:r>
        <w:rPr>
          <w:lang w:val="en-CA"/>
        </w:rPr>
        <w:t>The proposal aims at reducing the encoder search when NSST are used and also reducing the memory footprint for the second test method.</w:t>
      </w:r>
    </w:p>
    <w:p w14:paraId="5AD4BDDB" w14:textId="6F0B4FCE" w:rsidR="00C5169F" w:rsidRDefault="000254F6" w:rsidP="000254F6">
      <w:pPr>
        <w:pStyle w:val="NormalWeb"/>
        <w:spacing w:before="120" w:after="120"/>
        <w:jc w:val="both"/>
        <w:rPr>
          <w:rFonts w:eastAsia="Malgun Gothic"/>
          <w:color w:val="000000"/>
          <w:sz w:val="22"/>
          <w:szCs w:val="22"/>
          <w:lang w:val="en-CA"/>
        </w:rPr>
      </w:pPr>
      <w:r>
        <w:rPr>
          <w:rFonts w:eastAsia="Malgun Gothic"/>
          <w:color w:val="000000"/>
          <w:sz w:val="22"/>
          <w:szCs w:val="22"/>
          <w:lang w:val="en-CA"/>
        </w:rPr>
        <w:t>T</w:t>
      </w:r>
      <w:r w:rsidRPr="000B1055">
        <w:rPr>
          <w:rFonts w:eastAsia="Malgun Gothic"/>
          <w:color w:val="000000"/>
          <w:sz w:val="22"/>
          <w:szCs w:val="22"/>
          <w:lang w:val="en-CA"/>
        </w:rPr>
        <w:t>wo methods are proposed</w:t>
      </w:r>
      <w:r>
        <w:rPr>
          <w:rFonts w:eastAsia="Malgun Gothic"/>
          <w:color w:val="000000"/>
          <w:sz w:val="22"/>
          <w:szCs w:val="22"/>
          <w:lang w:val="en-CA"/>
        </w:rPr>
        <w:t xml:space="preserve">. The code is based on the code provided by the proponents of CE6-3.1d. </w:t>
      </w:r>
      <w:r w:rsidR="00D2509E">
        <w:rPr>
          <w:rFonts w:eastAsia="Malgun Gothic"/>
          <w:color w:val="000000"/>
          <w:sz w:val="22"/>
          <w:szCs w:val="22"/>
          <w:lang w:val="en-CA"/>
        </w:rPr>
        <w:t>The software modifications are concentrated in CabacWriter/Reader.cpp and in intraSearch.cpp.</w:t>
      </w:r>
    </w:p>
    <w:p w14:paraId="4E2F953D" w14:textId="77777777" w:rsidR="007F4C3C" w:rsidRDefault="000254F6" w:rsidP="000254F6">
      <w:pPr>
        <w:pStyle w:val="NormalWeb"/>
        <w:spacing w:before="120" w:after="120"/>
        <w:jc w:val="both"/>
        <w:rPr>
          <w:rFonts w:eastAsia="Malgun Gothic"/>
          <w:color w:val="000000"/>
          <w:sz w:val="22"/>
          <w:szCs w:val="22"/>
          <w:lang w:val="en-CA"/>
        </w:rPr>
      </w:pPr>
      <w:r w:rsidRPr="000B1055">
        <w:rPr>
          <w:rFonts w:eastAsia="Malgun Gothic"/>
          <w:color w:val="000000"/>
          <w:sz w:val="22"/>
          <w:szCs w:val="22"/>
          <w:lang w:val="en-CA"/>
        </w:rPr>
        <w:t xml:space="preserve">Method 1, </w:t>
      </w:r>
      <w:r w:rsidR="007F4C3C">
        <w:rPr>
          <w:rFonts w:eastAsia="Malgun Gothic"/>
          <w:color w:val="000000"/>
          <w:sz w:val="22"/>
          <w:szCs w:val="22"/>
          <w:lang w:val="en-CA"/>
        </w:rPr>
        <w:t xml:space="preserve">the </w:t>
      </w:r>
      <w:r w:rsidRPr="000B1055">
        <w:rPr>
          <w:rFonts w:eastAsia="Malgun Gothic"/>
          <w:color w:val="000000"/>
          <w:sz w:val="22"/>
          <w:szCs w:val="22"/>
          <w:lang w:val="en-CA"/>
        </w:rPr>
        <w:t>NSST</w:t>
      </w:r>
      <w:r w:rsidR="007F4C3C">
        <w:rPr>
          <w:rFonts w:eastAsia="Malgun Gothic"/>
          <w:color w:val="000000"/>
          <w:sz w:val="22"/>
          <w:szCs w:val="22"/>
          <w:lang w:val="en-CA"/>
        </w:rPr>
        <w:t xml:space="preserve"> index</w:t>
      </w:r>
      <w:r w:rsidRPr="000B1055">
        <w:rPr>
          <w:rFonts w:eastAsia="Malgun Gothic"/>
          <w:color w:val="000000"/>
          <w:sz w:val="22"/>
          <w:szCs w:val="22"/>
          <w:lang w:val="en-CA"/>
        </w:rPr>
        <w:t xml:space="preserve"> is </w:t>
      </w:r>
      <w:r w:rsidR="00D2509E">
        <w:rPr>
          <w:rFonts w:eastAsia="Malgun Gothic"/>
          <w:color w:val="000000"/>
          <w:sz w:val="22"/>
          <w:szCs w:val="22"/>
          <w:lang w:val="en-CA"/>
        </w:rPr>
        <w:t>inferred</w:t>
      </w:r>
      <w:r w:rsidRPr="000B1055">
        <w:rPr>
          <w:rFonts w:eastAsia="Malgun Gothic"/>
          <w:color w:val="000000"/>
          <w:sz w:val="22"/>
          <w:szCs w:val="22"/>
          <w:lang w:val="en-CA"/>
        </w:rPr>
        <w:t xml:space="preserve"> for </w:t>
      </w:r>
      <w:r w:rsidR="007F4C3C">
        <w:rPr>
          <w:rFonts w:eastAsia="Malgun Gothic"/>
          <w:color w:val="000000"/>
          <w:sz w:val="22"/>
          <w:szCs w:val="22"/>
          <w:lang w:val="en-CA"/>
        </w:rPr>
        <w:t xml:space="preserve">the prediction modes not part of the </w:t>
      </w:r>
      <w:r w:rsidRPr="000B1055">
        <w:rPr>
          <w:rFonts w:eastAsia="Malgun Gothic"/>
          <w:color w:val="000000"/>
          <w:sz w:val="22"/>
          <w:szCs w:val="22"/>
          <w:lang w:val="en-CA"/>
        </w:rPr>
        <w:t>MPM</w:t>
      </w:r>
      <w:r w:rsidR="007F4C3C">
        <w:rPr>
          <w:rFonts w:eastAsia="Malgun Gothic"/>
          <w:color w:val="000000"/>
          <w:sz w:val="22"/>
          <w:szCs w:val="22"/>
          <w:lang w:val="en-CA"/>
        </w:rPr>
        <w:t xml:space="preserve"> list. T</w:t>
      </w:r>
      <w:r w:rsidR="00D2509E">
        <w:rPr>
          <w:rFonts w:eastAsia="Malgun Gothic"/>
          <w:color w:val="000000"/>
          <w:sz w:val="22"/>
          <w:szCs w:val="22"/>
          <w:lang w:val="en-CA"/>
        </w:rPr>
        <w:t xml:space="preserve">he NSST index is </w:t>
      </w:r>
      <w:r w:rsidR="007F4C3C">
        <w:rPr>
          <w:rFonts w:eastAsia="Malgun Gothic"/>
          <w:color w:val="000000"/>
          <w:sz w:val="22"/>
          <w:szCs w:val="22"/>
          <w:lang w:val="en-CA"/>
        </w:rPr>
        <w:t xml:space="preserve">set </w:t>
      </w:r>
      <w:r w:rsidR="00D2509E">
        <w:rPr>
          <w:rFonts w:eastAsia="Malgun Gothic"/>
          <w:color w:val="000000"/>
          <w:sz w:val="22"/>
          <w:szCs w:val="22"/>
          <w:lang w:val="en-CA"/>
        </w:rPr>
        <w:t>zero</w:t>
      </w:r>
      <w:r w:rsidR="007F4C3C">
        <w:rPr>
          <w:rFonts w:eastAsia="Malgun Gothic"/>
          <w:color w:val="000000"/>
          <w:sz w:val="22"/>
          <w:szCs w:val="22"/>
          <w:lang w:val="en-CA"/>
        </w:rPr>
        <w:t>, and the selection of the best NSST index is avoided</w:t>
      </w:r>
      <w:r w:rsidRPr="000B1055">
        <w:rPr>
          <w:rFonts w:eastAsia="Malgun Gothic"/>
          <w:color w:val="000000"/>
          <w:sz w:val="22"/>
          <w:szCs w:val="22"/>
          <w:lang w:val="en-CA"/>
        </w:rPr>
        <w:t xml:space="preserve">. </w:t>
      </w:r>
    </w:p>
    <w:p w14:paraId="3FE91D25" w14:textId="5CF0B356" w:rsidR="000254F6" w:rsidRPr="000B1055" w:rsidRDefault="007F4C3C" w:rsidP="000254F6">
      <w:pPr>
        <w:pStyle w:val="NormalWeb"/>
        <w:spacing w:before="120" w:after="120"/>
        <w:jc w:val="both"/>
        <w:rPr>
          <w:rFonts w:eastAsia="Malgun Gothic"/>
          <w:color w:val="000000"/>
          <w:sz w:val="22"/>
          <w:szCs w:val="22"/>
          <w:lang w:val="en-CA"/>
        </w:rPr>
      </w:pPr>
      <w:proofErr w:type="gramStart"/>
      <w:r>
        <w:rPr>
          <w:rFonts w:eastAsia="Malgun Gothic"/>
          <w:color w:val="000000"/>
          <w:sz w:val="22"/>
          <w:szCs w:val="22"/>
          <w:lang w:val="en-CA"/>
        </w:rPr>
        <w:t xml:space="preserve">In </w:t>
      </w:r>
      <w:r w:rsidR="000254F6" w:rsidRPr="000B1055">
        <w:rPr>
          <w:rFonts w:eastAsia="Malgun Gothic"/>
          <w:color w:val="000000"/>
          <w:sz w:val="22"/>
          <w:szCs w:val="22"/>
          <w:lang w:val="en-CA"/>
        </w:rPr>
        <w:t xml:space="preserve"> Method</w:t>
      </w:r>
      <w:proofErr w:type="gramEnd"/>
      <w:r w:rsidR="000254F6" w:rsidRPr="000B1055">
        <w:rPr>
          <w:rFonts w:eastAsia="Malgun Gothic"/>
          <w:color w:val="000000"/>
          <w:sz w:val="22"/>
          <w:szCs w:val="22"/>
          <w:lang w:val="en-CA"/>
        </w:rPr>
        <w:t xml:space="preserve"> 2, </w:t>
      </w:r>
      <w:r>
        <w:rPr>
          <w:rFonts w:eastAsia="Malgun Gothic"/>
          <w:color w:val="000000"/>
          <w:sz w:val="22"/>
          <w:szCs w:val="22"/>
          <w:lang w:val="en-CA"/>
        </w:rPr>
        <w:t>Method 1 is used, but NSST is also inferred to zero when the MPMs are different from DC and PLANAR. Therefore, the secondary transforms for those mode are not needed anymore, some storage space is saved</w:t>
      </w:r>
      <w:r w:rsidR="000254F6" w:rsidRPr="000B1055">
        <w:rPr>
          <w:rFonts w:eastAsia="Malgun Gothic"/>
          <w:color w:val="000000"/>
          <w:sz w:val="22"/>
          <w:szCs w:val="22"/>
          <w:lang w:val="en-CA"/>
        </w:rPr>
        <w:t>.</w:t>
      </w:r>
    </w:p>
    <w:p w14:paraId="5A08C1CB" w14:textId="19AE12A3" w:rsidR="003C3A6F" w:rsidRDefault="00FE184D" w:rsidP="003C3A6F">
      <w:pPr>
        <w:pStyle w:val="Titre1"/>
        <w:rPr>
          <w:lang w:val="en-CA"/>
        </w:rPr>
      </w:pPr>
      <w:r>
        <w:rPr>
          <w:lang w:val="en-CA"/>
        </w:rPr>
        <w:t>Experiment</w:t>
      </w:r>
      <w:r w:rsidR="00BF38FF">
        <w:rPr>
          <w:lang w:val="en-CA"/>
        </w:rPr>
        <w:t>al</w:t>
      </w:r>
      <w:r>
        <w:rPr>
          <w:lang w:val="en-CA"/>
        </w:rPr>
        <w:t xml:space="preserve"> </w:t>
      </w:r>
      <w:r w:rsidR="003C3A6F">
        <w:rPr>
          <w:lang w:val="en-CA"/>
        </w:rPr>
        <w:t>Results</w:t>
      </w:r>
    </w:p>
    <w:p w14:paraId="328AF2F5" w14:textId="77C021F9" w:rsidR="00FE184D" w:rsidRDefault="00FD1309" w:rsidP="004234F0">
      <w:pPr>
        <w:rPr>
          <w:szCs w:val="22"/>
          <w:lang w:val="en-CA"/>
        </w:rPr>
      </w:pPr>
      <w:r>
        <w:rPr>
          <w:szCs w:val="22"/>
          <w:lang w:val="en-CA"/>
        </w:rPr>
        <w:t>Experiments were performed based on</w:t>
      </w:r>
      <w:r w:rsidR="00FE184D">
        <w:rPr>
          <w:szCs w:val="22"/>
          <w:lang w:val="en-CA"/>
        </w:rPr>
        <w:t xml:space="preserve"> VTM</w:t>
      </w:r>
      <w:r w:rsidR="00391AED">
        <w:rPr>
          <w:szCs w:val="22"/>
          <w:lang w:val="en-CA"/>
        </w:rPr>
        <w:t>4</w:t>
      </w:r>
      <w:r w:rsidR="00FE184D">
        <w:rPr>
          <w:szCs w:val="22"/>
          <w:lang w:val="en-CA"/>
        </w:rPr>
        <w:t>.0,</w:t>
      </w:r>
      <w:r w:rsidR="006B5B24">
        <w:rPr>
          <w:szCs w:val="22"/>
          <w:lang w:val="en-CA"/>
        </w:rPr>
        <w:t xml:space="preserve"> in All Intra configuration, </w:t>
      </w:r>
      <w:r w:rsidR="00FE184D">
        <w:rPr>
          <w:szCs w:val="22"/>
          <w:lang w:val="en-CA"/>
        </w:rPr>
        <w:t xml:space="preserve">using the common test conditions </w:t>
      </w:r>
      <w:r w:rsidR="00A93816">
        <w:rPr>
          <w:szCs w:val="22"/>
          <w:lang w:val="en-CA"/>
        </w:rPr>
        <w:t xml:space="preserve">described in </w:t>
      </w:r>
      <w:r w:rsidR="00FE184D">
        <w:rPr>
          <w:szCs w:val="22"/>
          <w:lang w:val="en-CA"/>
        </w:rPr>
        <w:t>JVET-</w:t>
      </w:r>
      <w:r w:rsidR="006B5B24">
        <w:rPr>
          <w:szCs w:val="22"/>
          <w:lang w:val="en-CA"/>
        </w:rPr>
        <w:t>M</w:t>
      </w:r>
      <w:r w:rsidR="00FE184D">
        <w:rPr>
          <w:szCs w:val="22"/>
          <w:lang w:val="en-CA"/>
        </w:rPr>
        <w:t>1010</w:t>
      </w:r>
      <w:r w:rsidR="000254F6">
        <w:rPr>
          <w:szCs w:val="22"/>
          <w:lang w:val="en-CA"/>
        </w:rPr>
        <w:t xml:space="preserve">. </w:t>
      </w:r>
      <w:r w:rsidR="00BC63F8">
        <w:rPr>
          <w:lang w:val="en-CA"/>
        </w:rPr>
        <w:t>The</w:t>
      </w:r>
      <w:r w:rsidR="007677D9">
        <w:rPr>
          <w:lang w:val="en-CA"/>
        </w:rPr>
        <w:t xml:space="preserve"> average BD-rates match those provided by the proponents</w:t>
      </w:r>
      <w:r w:rsidR="00BC63F8">
        <w:rPr>
          <w:lang w:val="en-CA"/>
        </w:rPr>
        <w:t xml:space="preserve"> and t</w:t>
      </w:r>
      <w:r w:rsidR="00BC63F8" w:rsidRPr="00E57FBF">
        <w:rPr>
          <w:lang w:val="en-CA"/>
        </w:rPr>
        <w:t>he execution times are within the measurement error range</w:t>
      </w:r>
      <w:r w:rsidR="00BC63F8">
        <w:rPr>
          <w:lang w:val="en-CA"/>
        </w:rPr>
        <w:t>.</w:t>
      </w:r>
    </w:p>
    <w:p w14:paraId="5BFC7EA1" w14:textId="443BCA6C" w:rsidR="00FD1309" w:rsidRDefault="000254F6" w:rsidP="000254F6">
      <w:pPr>
        <w:pStyle w:val="Titre2"/>
        <w:rPr>
          <w:lang w:val="en-CA"/>
        </w:rPr>
      </w:pPr>
      <w:r>
        <w:rPr>
          <w:lang w:val="en-CA"/>
        </w:rPr>
        <w:t>Method 1</w:t>
      </w:r>
    </w:p>
    <w:tbl>
      <w:tblPr>
        <w:tblW w:w="7061" w:type="dxa"/>
        <w:tblCellMar>
          <w:left w:w="70" w:type="dxa"/>
          <w:right w:w="70" w:type="dxa"/>
        </w:tblCellMar>
        <w:tblLook w:val="04A0" w:firstRow="1" w:lastRow="0" w:firstColumn="1" w:lastColumn="0" w:noHBand="0" w:noVBand="1"/>
      </w:tblPr>
      <w:tblGrid>
        <w:gridCol w:w="1640"/>
        <w:gridCol w:w="1060"/>
        <w:gridCol w:w="1060"/>
        <w:gridCol w:w="1181"/>
        <w:gridCol w:w="1060"/>
        <w:gridCol w:w="1060"/>
      </w:tblGrid>
      <w:tr w:rsidR="000254F6" w:rsidRPr="000254F6" w14:paraId="23DEBB5E" w14:textId="77777777" w:rsidTr="000254F6">
        <w:trPr>
          <w:trHeight w:val="255"/>
        </w:trPr>
        <w:tc>
          <w:tcPr>
            <w:tcW w:w="1640" w:type="dxa"/>
            <w:tcBorders>
              <w:top w:val="nil"/>
              <w:left w:val="nil"/>
              <w:bottom w:val="nil"/>
              <w:right w:val="nil"/>
            </w:tcBorders>
            <w:shd w:val="clear" w:color="auto" w:fill="auto"/>
            <w:noWrap/>
            <w:vAlign w:val="center"/>
            <w:hideMark/>
          </w:tcPr>
          <w:p w14:paraId="3A5DE86E"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FAA8AEB"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254F6">
              <w:rPr>
                <w:rFonts w:ascii="Arial" w:hAnsi="Arial" w:cs="Arial"/>
                <w:b/>
                <w:bCs/>
                <w:color w:val="000000"/>
                <w:sz w:val="18"/>
                <w:szCs w:val="18"/>
                <w:lang w:val="fr-FR" w:eastAsia="fr-FR"/>
              </w:rPr>
              <w:t> </w:t>
            </w:r>
          </w:p>
        </w:tc>
        <w:tc>
          <w:tcPr>
            <w:tcW w:w="1060" w:type="dxa"/>
            <w:tcBorders>
              <w:top w:val="single" w:sz="8" w:space="0" w:color="auto"/>
              <w:left w:val="nil"/>
              <w:bottom w:val="single" w:sz="8" w:space="0" w:color="auto"/>
              <w:right w:val="nil"/>
            </w:tcBorders>
            <w:shd w:val="clear" w:color="auto" w:fill="auto"/>
            <w:noWrap/>
            <w:vAlign w:val="center"/>
            <w:hideMark/>
          </w:tcPr>
          <w:p w14:paraId="0CA033BD"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0254F6">
              <w:rPr>
                <w:rFonts w:ascii="Calibri" w:hAnsi="Calibri" w:cs="Calibri"/>
                <w:color w:val="000000"/>
                <w:sz w:val="24"/>
                <w:szCs w:val="24"/>
                <w:lang w:val="fr-FR" w:eastAsia="fr-FR"/>
              </w:rPr>
              <w:t> </w:t>
            </w:r>
          </w:p>
        </w:tc>
        <w:tc>
          <w:tcPr>
            <w:tcW w:w="1181" w:type="dxa"/>
            <w:tcBorders>
              <w:top w:val="single" w:sz="8" w:space="0" w:color="auto"/>
              <w:left w:val="nil"/>
              <w:bottom w:val="single" w:sz="8" w:space="0" w:color="auto"/>
              <w:right w:val="nil"/>
            </w:tcBorders>
            <w:shd w:val="clear" w:color="auto" w:fill="auto"/>
            <w:noWrap/>
            <w:vAlign w:val="center"/>
            <w:hideMark/>
          </w:tcPr>
          <w:p w14:paraId="78ED8F61"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254F6">
              <w:rPr>
                <w:rFonts w:ascii="Arial" w:hAnsi="Arial" w:cs="Arial"/>
                <w:b/>
                <w:bCs/>
                <w:color w:val="000000"/>
                <w:sz w:val="18"/>
                <w:szCs w:val="18"/>
                <w:lang w:val="fr-FR" w:eastAsia="fr-FR"/>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4CA28582"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0254F6">
              <w:rPr>
                <w:rFonts w:ascii="Calibri" w:hAnsi="Calibri" w:cs="Calibri"/>
                <w:color w:val="000000"/>
                <w:sz w:val="24"/>
                <w:szCs w:val="24"/>
                <w:lang w:val="fr-FR" w:eastAsia="fr-FR"/>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1E89D14"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0254F6">
              <w:rPr>
                <w:rFonts w:ascii="Calibri" w:hAnsi="Calibri" w:cs="Calibri"/>
                <w:color w:val="000000"/>
                <w:sz w:val="24"/>
                <w:szCs w:val="24"/>
                <w:lang w:val="fr-FR" w:eastAsia="fr-FR"/>
              </w:rPr>
              <w:t> </w:t>
            </w:r>
          </w:p>
        </w:tc>
      </w:tr>
      <w:tr w:rsidR="000254F6" w:rsidRPr="000254F6" w14:paraId="5CD6D560" w14:textId="77777777" w:rsidTr="000254F6">
        <w:trPr>
          <w:trHeight w:val="255"/>
        </w:trPr>
        <w:tc>
          <w:tcPr>
            <w:tcW w:w="1640" w:type="dxa"/>
            <w:tcBorders>
              <w:top w:val="nil"/>
              <w:left w:val="nil"/>
              <w:bottom w:val="nil"/>
              <w:right w:val="nil"/>
            </w:tcBorders>
            <w:shd w:val="clear" w:color="auto" w:fill="auto"/>
            <w:noWrap/>
            <w:vAlign w:val="center"/>
            <w:hideMark/>
          </w:tcPr>
          <w:p w14:paraId="32C6DA58"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p>
        </w:tc>
        <w:tc>
          <w:tcPr>
            <w:tcW w:w="1060" w:type="dxa"/>
            <w:tcBorders>
              <w:top w:val="nil"/>
              <w:left w:val="single" w:sz="8" w:space="0" w:color="auto"/>
              <w:bottom w:val="nil"/>
              <w:right w:val="nil"/>
            </w:tcBorders>
            <w:shd w:val="clear" w:color="auto" w:fill="auto"/>
            <w:noWrap/>
            <w:vAlign w:val="center"/>
            <w:hideMark/>
          </w:tcPr>
          <w:p w14:paraId="11B3299A"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254F6">
              <w:rPr>
                <w:rFonts w:ascii="Arial" w:hAnsi="Arial" w:cs="Arial"/>
                <w:b/>
                <w:bCs/>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214FC54D"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254F6">
              <w:rPr>
                <w:rFonts w:ascii="Arial" w:hAnsi="Arial" w:cs="Arial"/>
                <w:b/>
                <w:bCs/>
                <w:color w:val="000000"/>
                <w:sz w:val="18"/>
                <w:szCs w:val="18"/>
                <w:lang w:val="fr-FR" w:eastAsia="fr-FR"/>
              </w:rPr>
              <w:t> </w:t>
            </w:r>
          </w:p>
        </w:tc>
        <w:tc>
          <w:tcPr>
            <w:tcW w:w="1181" w:type="dxa"/>
            <w:tcBorders>
              <w:top w:val="nil"/>
              <w:left w:val="nil"/>
              <w:bottom w:val="nil"/>
              <w:right w:val="nil"/>
            </w:tcBorders>
            <w:shd w:val="clear" w:color="auto" w:fill="auto"/>
            <w:noWrap/>
            <w:vAlign w:val="center"/>
            <w:hideMark/>
          </w:tcPr>
          <w:p w14:paraId="0C50D1F9"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254F6">
              <w:rPr>
                <w:rFonts w:ascii="Arial" w:hAnsi="Arial" w:cs="Arial"/>
                <w:b/>
                <w:bCs/>
                <w:color w:val="000000"/>
                <w:sz w:val="18"/>
                <w:szCs w:val="18"/>
                <w:lang w:val="fr-FR" w:eastAsia="fr-FR"/>
              </w:rPr>
              <w:t>Over VTM-4.0</w:t>
            </w:r>
          </w:p>
        </w:tc>
        <w:tc>
          <w:tcPr>
            <w:tcW w:w="1060" w:type="dxa"/>
            <w:tcBorders>
              <w:top w:val="nil"/>
              <w:left w:val="nil"/>
              <w:bottom w:val="nil"/>
              <w:right w:val="nil"/>
            </w:tcBorders>
            <w:shd w:val="clear" w:color="auto" w:fill="auto"/>
            <w:noWrap/>
            <w:vAlign w:val="center"/>
            <w:hideMark/>
          </w:tcPr>
          <w:p w14:paraId="1393FD60"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254F6">
              <w:rPr>
                <w:rFonts w:ascii="Arial" w:hAnsi="Arial" w:cs="Arial"/>
                <w:b/>
                <w:bCs/>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2F6BFD08"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254F6">
              <w:rPr>
                <w:rFonts w:ascii="Arial" w:hAnsi="Arial" w:cs="Arial"/>
                <w:b/>
                <w:bCs/>
                <w:color w:val="000000"/>
                <w:sz w:val="18"/>
                <w:szCs w:val="18"/>
                <w:lang w:val="fr-FR" w:eastAsia="fr-FR"/>
              </w:rPr>
              <w:t> </w:t>
            </w:r>
          </w:p>
        </w:tc>
      </w:tr>
      <w:tr w:rsidR="000254F6" w:rsidRPr="000254F6" w14:paraId="1974784C" w14:textId="77777777" w:rsidTr="000254F6">
        <w:trPr>
          <w:trHeight w:val="255"/>
        </w:trPr>
        <w:tc>
          <w:tcPr>
            <w:tcW w:w="1640" w:type="dxa"/>
            <w:tcBorders>
              <w:top w:val="nil"/>
              <w:left w:val="nil"/>
              <w:bottom w:val="nil"/>
              <w:right w:val="nil"/>
            </w:tcBorders>
            <w:shd w:val="clear" w:color="auto" w:fill="auto"/>
            <w:noWrap/>
            <w:vAlign w:val="center"/>
            <w:hideMark/>
          </w:tcPr>
          <w:p w14:paraId="38C4A9EE"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6BB7D212"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254F6">
              <w:rPr>
                <w:rFonts w:ascii="Arial"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0602E8BD"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254F6">
              <w:rPr>
                <w:rFonts w:ascii="Arial" w:hAnsi="Arial" w:cs="Arial"/>
                <w:color w:val="000000"/>
                <w:sz w:val="18"/>
                <w:szCs w:val="18"/>
                <w:lang w:val="fr-FR" w:eastAsia="fr-FR"/>
              </w:rPr>
              <w:t>U</w:t>
            </w:r>
          </w:p>
        </w:tc>
        <w:tc>
          <w:tcPr>
            <w:tcW w:w="1181" w:type="dxa"/>
            <w:tcBorders>
              <w:top w:val="nil"/>
              <w:left w:val="nil"/>
              <w:bottom w:val="single" w:sz="8" w:space="0" w:color="auto"/>
              <w:right w:val="single" w:sz="4" w:space="0" w:color="auto"/>
            </w:tcBorders>
            <w:shd w:val="clear" w:color="auto" w:fill="auto"/>
            <w:noWrap/>
            <w:vAlign w:val="center"/>
            <w:hideMark/>
          </w:tcPr>
          <w:p w14:paraId="38A7593A"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254F6">
              <w:rPr>
                <w:rFonts w:ascii="Arial" w:hAnsi="Arial" w:cs="Arial"/>
                <w:color w:val="000000"/>
                <w:sz w:val="18"/>
                <w:szCs w:val="18"/>
                <w:lang w:val="fr-FR" w:eastAsia="fr-FR"/>
              </w:rPr>
              <w:t>V</w:t>
            </w:r>
          </w:p>
        </w:tc>
        <w:tc>
          <w:tcPr>
            <w:tcW w:w="1060" w:type="dxa"/>
            <w:tcBorders>
              <w:top w:val="nil"/>
              <w:left w:val="nil"/>
              <w:bottom w:val="single" w:sz="8" w:space="0" w:color="auto"/>
              <w:right w:val="nil"/>
            </w:tcBorders>
            <w:shd w:val="clear" w:color="auto" w:fill="auto"/>
            <w:noWrap/>
            <w:vAlign w:val="center"/>
            <w:hideMark/>
          </w:tcPr>
          <w:p w14:paraId="0716D340"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254F6">
              <w:rPr>
                <w:rFonts w:ascii="Arial" w:hAnsi="Arial" w:cs="Arial"/>
                <w:color w:val="000000"/>
                <w:sz w:val="18"/>
                <w:szCs w:val="18"/>
                <w:lang w:val="fr-FR" w:eastAsia="fr-FR"/>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1B2F52D"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254F6">
              <w:rPr>
                <w:rFonts w:ascii="Arial" w:hAnsi="Arial" w:cs="Arial"/>
                <w:color w:val="000000"/>
                <w:sz w:val="18"/>
                <w:szCs w:val="18"/>
                <w:lang w:val="fr-FR" w:eastAsia="fr-FR"/>
              </w:rPr>
              <w:t>DecT</w:t>
            </w:r>
          </w:p>
        </w:tc>
      </w:tr>
      <w:tr w:rsidR="000254F6" w:rsidRPr="000254F6" w14:paraId="7BE50519" w14:textId="77777777" w:rsidTr="000254F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37B0E3"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254F6">
              <w:rPr>
                <w:rFonts w:ascii="Arial" w:hAnsi="Arial" w:cs="Arial"/>
                <w:color w:val="000000"/>
                <w:sz w:val="18"/>
                <w:szCs w:val="18"/>
                <w:lang w:val="fr-FR" w:eastAsia="fr-FR"/>
              </w:rPr>
              <w:t>Class A1</w:t>
            </w:r>
          </w:p>
        </w:tc>
        <w:tc>
          <w:tcPr>
            <w:tcW w:w="1060" w:type="dxa"/>
            <w:tcBorders>
              <w:top w:val="nil"/>
              <w:left w:val="nil"/>
              <w:bottom w:val="nil"/>
              <w:right w:val="nil"/>
            </w:tcBorders>
            <w:shd w:val="clear" w:color="auto" w:fill="auto"/>
            <w:noWrap/>
            <w:vAlign w:val="center"/>
            <w:hideMark/>
          </w:tcPr>
          <w:p w14:paraId="0789AD90"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254F6">
              <w:rPr>
                <w:rFonts w:ascii="Arial" w:hAnsi="Arial" w:cs="Arial"/>
                <w:color w:val="000000"/>
                <w:sz w:val="18"/>
                <w:szCs w:val="18"/>
                <w:lang w:val="fr-FR" w:eastAsia="fr-FR"/>
              </w:rPr>
              <w:t>-1.59%</w:t>
            </w:r>
          </w:p>
        </w:tc>
        <w:tc>
          <w:tcPr>
            <w:tcW w:w="1060" w:type="dxa"/>
            <w:tcBorders>
              <w:top w:val="nil"/>
              <w:left w:val="nil"/>
              <w:bottom w:val="nil"/>
              <w:right w:val="nil"/>
            </w:tcBorders>
            <w:shd w:val="clear" w:color="auto" w:fill="auto"/>
            <w:noWrap/>
            <w:vAlign w:val="center"/>
            <w:hideMark/>
          </w:tcPr>
          <w:p w14:paraId="47D43086"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254F6">
              <w:rPr>
                <w:rFonts w:ascii="Arial" w:hAnsi="Arial" w:cs="Arial"/>
                <w:color w:val="000000"/>
                <w:sz w:val="18"/>
                <w:szCs w:val="18"/>
                <w:lang w:val="fr-FR" w:eastAsia="fr-FR"/>
              </w:rPr>
              <w:t>-0.30%</w:t>
            </w:r>
          </w:p>
        </w:tc>
        <w:tc>
          <w:tcPr>
            <w:tcW w:w="1181" w:type="dxa"/>
            <w:tcBorders>
              <w:top w:val="nil"/>
              <w:left w:val="nil"/>
              <w:bottom w:val="nil"/>
              <w:right w:val="single" w:sz="4" w:space="0" w:color="auto"/>
            </w:tcBorders>
            <w:shd w:val="clear" w:color="auto" w:fill="auto"/>
            <w:noWrap/>
            <w:vAlign w:val="center"/>
            <w:hideMark/>
          </w:tcPr>
          <w:p w14:paraId="32565BE6"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254F6">
              <w:rPr>
                <w:rFonts w:ascii="Arial" w:hAnsi="Arial" w:cs="Arial"/>
                <w:color w:val="000000"/>
                <w:sz w:val="18"/>
                <w:szCs w:val="18"/>
                <w:lang w:val="fr-FR" w:eastAsia="fr-FR"/>
              </w:rPr>
              <w:t>-0.26%</w:t>
            </w:r>
          </w:p>
        </w:tc>
        <w:tc>
          <w:tcPr>
            <w:tcW w:w="1060" w:type="dxa"/>
            <w:tcBorders>
              <w:top w:val="nil"/>
              <w:left w:val="nil"/>
              <w:bottom w:val="nil"/>
              <w:right w:val="nil"/>
            </w:tcBorders>
            <w:shd w:val="clear" w:color="auto" w:fill="auto"/>
            <w:noWrap/>
            <w:vAlign w:val="center"/>
            <w:hideMark/>
          </w:tcPr>
          <w:p w14:paraId="36104A84"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254F6">
              <w:rPr>
                <w:rFonts w:ascii="Arial" w:hAnsi="Arial" w:cs="Arial"/>
                <w:color w:val="000000"/>
                <w:sz w:val="18"/>
                <w:szCs w:val="18"/>
                <w:lang w:val="fr-FR" w:eastAsia="fr-FR"/>
              </w:rPr>
              <w:t>121%</w:t>
            </w:r>
          </w:p>
        </w:tc>
        <w:tc>
          <w:tcPr>
            <w:tcW w:w="1060" w:type="dxa"/>
            <w:tcBorders>
              <w:top w:val="nil"/>
              <w:left w:val="nil"/>
              <w:bottom w:val="nil"/>
              <w:right w:val="single" w:sz="8" w:space="0" w:color="auto"/>
            </w:tcBorders>
            <w:shd w:val="clear" w:color="auto" w:fill="auto"/>
            <w:noWrap/>
            <w:vAlign w:val="center"/>
            <w:hideMark/>
          </w:tcPr>
          <w:p w14:paraId="2A077A21"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254F6">
              <w:rPr>
                <w:rFonts w:ascii="Arial" w:hAnsi="Arial" w:cs="Arial"/>
                <w:color w:val="000000"/>
                <w:sz w:val="18"/>
                <w:szCs w:val="18"/>
                <w:lang w:val="fr-FR" w:eastAsia="fr-FR"/>
              </w:rPr>
              <w:t>98%</w:t>
            </w:r>
          </w:p>
        </w:tc>
      </w:tr>
      <w:tr w:rsidR="000254F6" w:rsidRPr="000254F6" w14:paraId="04651E4B" w14:textId="77777777" w:rsidTr="000254F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018A5E"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254F6">
              <w:rPr>
                <w:rFonts w:ascii="Arial" w:hAnsi="Arial" w:cs="Arial"/>
                <w:color w:val="000000"/>
                <w:sz w:val="18"/>
                <w:szCs w:val="18"/>
                <w:lang w:val="fr-FR" w:eastAsia="fr-FR"/>
              </w:rPr>
              <w:t>Class A2</w:t>
            </w:r>
          </w:p>
        </w:tc>
        <w:tc>
          <w:tcPr>
            <w:tcW w:w="1060" w:type="dxa"/>
            <w:tcBorders>
              <w:top w:val="nil"/>
              <w:left w:val="nil"/>
              <w:bottom w:val="nil"/>
              <w:right w:val="nil"/>
            </w:tcBorders>
            <w:shd w:val="clear" w:color="auto" w:fill="auto"/>
            <w:noWrap/>
            <w:vAlign w:val="center"/>
            <w:hideMark/>
          </w:tcPr>
          <w:p w14:paraId="0225FC6A"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254F6">
              <w:rPr>
                <w:rFonts w:ascii="Arial" w:hAnsi="Arial" w:cs="Arial"/>
                <w:color w:val="000000"/>
                <w:sz w:val="18"/>
                <w:szCs w:val="18"/>
                <w:lang w:val="fr-FR" w:eastAsia="fr-FR"/>
              </w:rPr>
              <w:t>-1.04%</w:t>
            </w:r>
          </w:p>
        </w:tc>
        <w:tc>
          <w:tcPr>
            <w:tcW w:w="1060" w:type="dxa"/>
            <w:tcBorders>
              <w:top w:val="nil"/>
              <w:left w:val="nil"/>
              <w:bottom w:val="nil"/>
              <w:right w:val="nil"/>
            </w:tcBorders>
            <w:shd w:val="clear" w:color="auto" w:fill="auto"/>
            <w:noWrap/>
            <w:vAlign w:val="center"/>
            <w:hideMark/>
          </w:tcPr>
          <w:p w14:paraId="06510DD5"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254F6">
              <w:rPr>
                <w:rFonts w:ascii="Arial" w:hAnsi="Arial" w:cs="Arial"/>
                <w:color w:val="000000"/>
                <w:sz w:val="18"/>
                <w:szCs w:val="18"/>
                <w:lang w:val="fr-FR" w:eastAsia="fr-FR"/>
              </w:rPr>
              <w:t>0.38%</w:t>
            </w:r>
          </w:p>
        </w:tc>
        <w:tc>
          <w:tcPr>
            <w:tcW w:w="1181" w:type="dxa"/>
            <w:tcBorders>
              <w:top w:val="nil"/>
              <w:left w:val="nil"/>
              <w:bottom w:val="nil"/>
              <w:right w:val="single" w:sz="4" w:space="0" w:color="auto"/>
            </w:tcBorders>
            <w:shd w:val="clear" w:color="auto" w:fill="auto"/>
            <w:noWrap/>
            <w:vAlign w:val="center"/>
            <w:hideMark/>
          </w:tcPr>
          <w:p w14:paraId="6E8C5502"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254F6">
              <w:rPr>
                <w:rFonts w:ascii="Arial" w:hAnsi="Arial" w:cs="Arial"/>
                <w:color w:val="000000"/>
                <w:sz w:val="18"/>
                <w:szCs w:val="18"/>
                <w:lang w:val="fr-FR" w:eastAsia="fr-FR"/>
              </w:rPr>
              <w:t>0.68%</w:t>
            </w:r>
          </w:p>
        </w:tc>
        <w:tc>
          <w:tcPr>
            <w:tcW w:w="1060" w:type="dxa"/>
            <w:tcBorders>
              <w:top w:val="nil"/>
              <w:left w:val="nil"/>
              <w:bottom w:val="nil"/>
              <w:right w:val="nil"/>
            </w:tcBorders>
            <w:shd w:val="clear" w:color="auto" w:fill="auto"/>
            <w:noWrap/>
            <w:vAlign w:val="center"/>
            <w:hideMark/>
          </w:tcPr>
          <w:p w14:paraId="18A61A24"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254F6">
              <w:rPr>
                <w:rFonts w:ascii="Arial" w:hAnsi="Arial" w:cs="Arial"/>
                <w:color w:val="000000"/>
                <w:sz w:val="18"/>
                <w:szCs w:val="18"/>
                <w:lang w:val="fr-FR" w:eastAsia="fr-FR"/>
              </w:rPr>
              <w:t>125%</w:t>
            </w:r>
          </w:p>
        </w:tc>
        <w:tc>
          <w:tcPr>
            <w:tcW w:w="1060" w:type="dxa"/>
            <w:tcBorders>
              <w:top w:val="nil"/>
              <w:left w:val="nil"/>
              <w:bottom w:val="nil"/>
              <w:right w:val="single" w:sz="8" w:space="0" w:color="auto"/>
            </w:tcBorders>
            <w:shd w:val="clear" w:color="auto" w:fill="auto"/>
            <w:noWrap/>
            <w:vAlign w:val="center"/>
            <w:hideMark/>
          </w:tcPr>
          <w:p w14:paraId="37459B57"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254F6">
              <w:rPr>
                <w:rFonts w:ascii="Arial" w:hAnsi="Arial" w:cs="Arial"/>
                <w:color w:val="000000"/>
                <w:sz w:val="18"/>
                <w:szCs w:val="18"/>
                <w:lang w:val="fr-FR" w:eastAsia="fr-FR"/>
              </w:rPr>
              <w:t>99%</w:t>
            </w:r>
          </w:p>
        </w:tc>
      </w:tr>
      <w:tr w:rsidR="000254F6" w:rsidRPr="000254F6" w14:paraId="7DE88488" w14:textId="77777777" w:rsidTr="000254F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47D3E0"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254F6">
              <w:rPr>
                <w:rFonts w:ascii="Arial" w:hAnsi="Arial" w:cs="Arial"/>
                <w:color w:val="000000"/>
                <w:sz w:val="18"/>
                <w:szCs w:val="18"/>
                <w:lang w:val="fr-FR" w:eastAsia="fr-FR"/>
              </w:rPr>
              <w:t>Class B</w:t>
            </w:r>
          </w:p>
        </w:tc>
        <w:tc>
          <w:tcPr>
            <w:tcW w:w="1060" w:type="dxa"/>
            <w:tcBorders>
              <w:top w:val="nil"/>
              <w:left w:val="nil"/>
              <w:bottom w:val="nil"/>
              <w:right w:val="nil"/>
            </w:tcBorders>
            <w:shd w:val="clear" w:color="auto" w:fill="auto"/>
            <w:noWrap/>
            <w:vAlign w:val="center"/>
            <w:hideMark/>
          </w:tcPr>
          <w:p w14:paraId="7C980DCA"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254F6">
              <w:rPr>
                <w:rFonts w:ascii="Arial" w:hAnsi="Arial" w:cs="Arial"/>
                <w:color w:val="000000"/>
                <w:sz w:val="18"/>
                <w:szCs w:val="18"/>
                <w:lang w:val="fr-FR" w:eastAsia="fr-FR"/>
              </w:rPr>
              <w:t>-0.78%</w:t>
            </w:r>
          </w:p>
        </w:tc>
        <w:tc>
          <w:tcPr>
            <w:tcW w:w="1060" w:type="dxa"/>
            <w:tcBorders>
              <w:top w:val="nil"/>
              <w:left w:val="nil"/>
              <w:bottom w:val="nil"/>
              <w:right w:val="nil"/>
            </w:tcBorders>
            <w:shd w:val="clear" w:color="auto" w:fill="auto"/>
            <w:noWrap/>
            <w:vAlign w:val="center"/>
            <w:hideMark/>
          </w:tcPr>
          <w:p w14:paraId="70560148"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254F6">
              <w:rPr>
                <w:rFonts w:ascii="Arial" w:hAnsi="Arial" w:cs="Arial"/>
                <w:color w:val="000000"/>
                <w:sz w:val="18"/>
                <w:szCs w:val="18"/>
                <w:lang w:val="fr-FR" w:eastAsia="fr-FR"/>
              </w:rPr>
              <w:t>0.03%</w:t>
            </w:r>
          </w:p>
        </w:tc>
        <w:tc>
          <w:tcPr>
            <w:tcW w:w="1181" w:type="dxa"/>
            <w:tcBorders>
              <w:top w:val="nil"/>
              <w:left w:val="nil"/>
              <w:bottom w:val="nil"/>
              <w:right w:val="single" w:sz="4" w:space="0" w:color="auto"/>
            </w:tcBorders>
            <w:shd w:val="clear" w:color="auto" w:fill="auto"/>
            <w:noWrap/>
            <w:vAlign w:val="center"/>
            <w:hideMark/>
          </w:tcPr>
          <w:p w14:paraId="2E7C0D96"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254F6">
              <w:rPr>
                <w:rFonts w:ascii="Arial" w:hAnsi="Arial" w:cs="Arial"/>
                <w:color w:val="000000"/>
                <w:sz w:val="18"/>
                <w:szCs w:val="18"/>
                <w:lang w:val="fr-FR" w:eastAsia="fr-FR"/>
              </w:rPr>
              <w:t>-0.86%</w:t>
            </w:r>
          </w:p>
        </w:tc>
        <w:tc>
          <w:tcPr>
            <w:tcW w:w="1060" w:type="dxa"/>
            <w:tcBorders>
              <w:top w:val="nil"/>
              <w:left w:val="nil"/>
              <w:bottom w:val="nil"/>
              <w:right w:val="nil"/>
            </w:tcBorders>
            <w:shd w:val="clear" w:color="auto" w:fill="auto"/>
            <w:noWrap/>
            <w:vAlign w:val="center"/>
            <w:hideMark/>
          </w:tcPr>
          <w:p w14:paraId="6821F2A8"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254F6">
              <w:rPr>
                <w:rFonts w:ascii="Arial" w:hAnsi="Arial" w:cs="Arial"/>
                <w:color w:val="000000"/>
                <w:sz w:val="18"/>
                <w:szCs w:val="18"/>
                <w:lang w:val="fr-FR" w:eastAsia="fr-FR"/>
              </w:rPr>
              <w:t>123%</w:t>
            </w:r>
          </w:p>
        </w:tc>
        <w:tc>
          <w:tcPr>
            <w:tcW w:w="1060" w:type="dxa"/>
            <w:tcBorders>
              <w:top w:val="nil"/>
              <w:left w:val="nil"/>
              <w:bottom w:val="nil"/>
              <w:right w:val="single" w:sz="8" w:space="0" w:color="auto"/>
            </w:tcBorders>
            <w:shd w:val="clear" w:color="auto" w:fill="auto"/>
            <w:noWrap/>
            <w:vAlign w:val="center"/>
            <w:hideMark/>
          </w:tcPr>
          <w:p w14:paraId="7966F596"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254F6">
              <w:rPr>
                <w:rFonts w:ascii="Arial" w:hAnsi="Arial" w:cs="Arial"/>
                <w:color w:val="000000"/>
                <w:sz w:val="18"/>
                <w:szCs w:val="18"/>
                <w:lang w:val="fr-FR" w:eastAsia="fr-FR"/>
              </w:rPr>
              <w:t>99%</w:t>
            </w:r>
          </w:p>
        </w:tc>
      </w:tr>
      <w:tr w:rsidR="000254F6" w:rsidRPr="000254F6" w14:paraId="23E8B8BD" w14:textId="77777777" w:rsidTr="000254F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315E26"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254F6">
              <w:rPr>
                <w:rFonts w:ascii="Arial" w:hAnsi="Arial" w:cs="Arial"/>
                <w:color w:val="000000"/>
                <w:sz w:val="18"/>
                <w:szCs w:val="18"/>
                <w:lang w:val="fr-FR" w:eastAsia="fr-FR"/>
              </w:rPr>
              <w:t>Class C</w:t>
            </w:r>
          </w:p>
        </w:tc>
        <w:tc>
          <w:tcPr>
            <w:tcW w:w="1060" w:type="dxa"/>
            <w:tcBorders>
              <w:top w:val="nil"/>
              <w:left w:val="nil"/>
              <w:bottom w:val="nil"/>
              <w:right w:val="nil"/>
            </w:tcBorders>
            <w:shd w:val="clear" w:color="auto" w:fill="auto"/>
            <w:noWrap/>
            <w:vAlign w:val="center"/>
            <w:hideMark/>
          </w:tcPr>
          <w:p w14:paraId="6CF5C4AC"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254F6">
              <w:rPr>
                <w:rFonts w:ascii="Arial" w:hAnsi="Arial" w:cs="Arial"/>
                <w:color w:val="000000"/>
                <w:sz w:val="18"/>
                <w:szCs w:val="18"/>
                <w:lang w:val="fr-FR" w:eastAsia="fr-FR"/>
              </w:rPr>
              <w:t>-0.90%</w:t>
            </w:r>
          </w:p>
        </w:tc>
        <w:tc>
          <w:tcPr>
            <w:tcW w:w="1060" w:type="dxa"/>
            <w:tcBorders>
              <w:top w:val="nil"/>
              <w:left w:val="nil"/>
              <w:bottom w:val="nil"/>
              <w:right w:val="nil"/>
            </w:tcBorders>
            <w:shd w:val="clear" w:color="auto" w:fill="auto"/>
            <w:noWrap/>
            <w:vAlign w:val="center"/>
            <w:hideMark/>
          </w:tcPr>
          <w:p w14:paraId="2B86F7C4"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254F6">
              <w:rPr>
                <w:rFonts w:ascii="Arial" w:hAnsi="Arial" w:cs="Arial"/>
                <w:color w:val="000000"/>
                <w:sz w:val="18"/>
                <w:szCs w:val="18"/>
                <w:lang w:val="fr-FR" w:eastAsia="fr-FR"/>
              </w:rPr>
              <w:t>-0.12%</w:t>
            </w:r>
          </w:p>
        </w:tc>
        <w:tc>
          <w:tcPr>
            <w:tcW w:w="1181" w:type="dxa"/>
            <w:tcBorders>
              <w:top w:val="nil"/>
              <w:left w:val="nil"/>
              <w:bottom w:val="nil"/>
              <w:right w:val="single" w:sz="4" w:space="0" w:color="auto"/>
            </w:tcBorders>
            <w:shd w:val="clear" w:color="auto" w:fill="auto"/>
            <w:noWrap/>
            <w:vAlign w:val="center"/>
            <w:hideMark/>
          </w:tcPr>
          <w:p w14:paraId="73DBE8A6"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254F6">
              <w:rPr>
                <w:rFonts w:ascii="Arial" w:hAnsi="Arial" w:cs="Arial"/>
                <w:color w:val="000000"/>
                <w:sz w:val="18"/>
                <w:szCs w:val="18"/>
                <w:lang w:val="fr-FR" w:eastAsia="fr-FR"/>
              </w:rPr>
              <w:t>-0.87%</w:t>
            </w:r>
          </w:p>
        </w:tc>
        <w:tc>
          <w:tcPr>
            <w:tcW w:w="1060" w:type="dxa"/>
            <w:tcBorders>
              <w:top w:val="nil"/>
              <w:left w:val="nil"/>
              <w:bottom w:val="nil"/>
              <w:right w:val="nil"/>
            </w:tcBorders>
            <w:shd w:val="clear" w:color="auto" w:fill="auto"/>
            <w:noWrap/>
            <w:vAlign w:val="center"/>
            <w:hideMark/>
          </w:tcPr>
          <w:p w14:paraId="56792F53"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254F6">
              <w:rPr>
                <w:rFonts w:ascii="Arial" w:hAnsi="Arial" w:cs="Arial"/>
                <w:color w:val="000000"/>
                <w:sz w:val="18"/>
                <w:szCs w:val="18"/>
                <w:lang w:val="fr-FR" w:eastAsia="fr-FR"/>
              </w:rPr>
              <w:t>121%</w:t>
            </w:r>
          </w:p>
        </w:tc>
        <w:tc>
          <w:tcPr>
            <w:tcW w:w="1060" w:type="dxa"/>
            <w:tcBorders>
              <w:top w:val="nil"/>
              <w:left w:val="nil"/>
              <w:bottom w:val="nil"/>
              <w:right w:val="single" w:sz="8" w:space="0" w:color="auto"/>
            </w:tcBorders>
            <w:shd w:val="clear" w:color="auto" w:fill="auto"/>
            <w:noWrap/>
            <w:vAlign w:val="center"/>
            <w:hideMark/>
          </w:tcPr>
          <w:p w14:paraId="02196949"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254F6">
              <w:rPr>
                <w:rFonts w:ascii="Arial" w:hAnsi="Arial" w:cs="Arial"/>
                <w:color w:val="000000"/>
                <w:sz w:val="18"/>
                <w:szCs w:val="18"/>
                <w:lang w:val="fr-FR" w:eastAsia="fr-FR"/>
              </w:rPr>
              <w:t>101%</w:t>
            </w:r>
          </w:p>
        </w:tc>
      </w:tr>
      <w:tr w:rsidR="000254F6" w:rsidRPr="000254F6" w14:paraId="2AE8034A" w14:textId="77777777" w:rsidTr="000254F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03EC60"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254F6">
              <w:rPr>
                <w:rFonts w:ascii="Arial" w:hAnsi="Arial" w:cs="Arial"/>
                <w:color w:val="000000"/>
                <w:sz w:val="18"/>
                <w:szCs w:val="18"/>
                <w:lang w:val="fr-FR" w:eastAsia="fr-FR"/>
              </w:rPr>
              <w:t>Class E</w:t>
            </w:r>
          </w:p>
        </w:tc>
        <w:tc>
          <w:tcPr>
            <w:tcW w:w="1060" w:type="dxa"/>
            <w:tcBorders>
              <w:top w:val="nil"/>
              <w:left w:val="nil"/>
              <w:bottom w:val="nil"/>
              <w:right w:val="nil"/>
            </w:tcBorders>
            <w:shd w:val="clear" w:color="auto" w:fill="auto"/>
            <w:noWrap/>
            <w:vAlign w:val="center"/>
            <w:hideMark/>
          </w:tcPr>
          <w:p w14:paraId="5B8FF4D1"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254F6">
              <w:rPr>
                <w:rFonts w:ascii="Arial" w:hAnsi="Arial" w:cs="Arial"/>
                <w:color w:val="000000"/>
                <w:sz w:val="18"/>
                <w:szCs w:val="18"/>
                <w:lang w:val="fr-FR" w:eastAsia="fr-FR"/>
              </w:rPr>
              <w:t>-1.07%</w:t>
            </w:r>
          </w:p>
        </w:tc>
        <w:tc>
          <w:tcPr>
            <w:tcW w:w="1060" w:type="dxa"/>
            <w:tcBorders>
              <w:top w:val="nil"/>
              <w:left w:val="nil"/>
              <w:bottom w:val="nil"/>
              <w:right w:val="nil"/>
            </w:tcBorders>
            <w:shd w:val="clear" w:color="auto" w:fill="auto"/>
            <w:noWrap/>
            <w:vAlign w:val="center"/>
            <w:hideMark/>
          </w:tcPr>
          <w:p w14:paraId="3CAFDCE1"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254F6">
              <w:rPr>
                <w:rFonts w:ascii="Arial" w:hAnsi="Arial" w:cs="Arial"/>
                <w:color w:val="000000"/>
                <w:sz w:val="18"/>
                <w:szCs w:val="18"/>
                <w:lang w:val="fr-FR" w:eastAsia="fr-FR"/>
              </w:rPr>
              <w:t>-1.05%</w:t>
            </w:r>
          </w:p>
        </w:tc>
        <w:tc>
          <w:tcPr>
            <w:tcW w:w="1181" w:type="dxa"/>
            <w:tcBorders>
              <w:top w:val="nil"/>
              <w:left w:val="nil"/>
              <w:bottom w:val="nil"/>
              <w:right w:val="single" w:sz="4" w:space="0" w:color="auto"/>
            </w:tcBorders>
            <w:shd w:val="clear" w:color="auto" w:fill="auto"/>
            <w:noWrap/>
            <w:vAlign w:val="center"/>
            <w:hideMark/>
          </w:tcPr>
          <w:p w14:paraId="41B96D3E"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254F6">
              <w:rPr>
                <w:rFonts w:ascii="Arial" w:hAnsi="Arial" w:cs="Arial"/>
                <w:color w:val="000000"/>
                <w:sz w:val="18"/>
                <w:szCs w:val="18"/>
                <w:lang w:val="fr-FR" w:eastAsia="fr-FR"/>
              </w:rPr>
              <w:t>-1.78%</w:t>
            </w:r>
          </w:p>
        </w:tc>
        <w:tc>
          <w:tcPr>
            <w:tcW w:w="1060" w:type="dxa"/>
            <w:tcBorders>
              <w:top w:val="nil"/>
              <w:left w:val="nil"/>
              <w:bottom w:val="nil"/>
              <w:right w:val="nil"/>
            </w:tcBorders>
            <w:shd w:val="clear" w:color="auto" w:fill="auto"/>
            <w:noWrap/>
            <w:vAlign w:val="center"/>
            <w:hideMark/>
          </w:tcPr>
          <w:p w14:paraId="01A0C4A2"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254F6">
              <w:rPr>
                <w:rFonts w:ascii="Arial" w:hAnsi="Arial" w:cs="Arial"/>
                <w:color w:val="000000"/>
                <w:sz w:val="18"/>
                <w:szCs w:val="18"/>
                <w:lang w:val="fr-FR" w:eastAsia="fr-FR"/>
              </w:rPr>
              <w:t>114%</w:t>
            </w:r>
          </w:p>
        </w:tc>
        <w:tc>
          <w:tcPr>
            <w:tcW w:w="1060" w:type="dxa"/>
            <w:tcBorders>
              <w:top w:val="nil"/>
              <w:left w:val="nil"/>
              <w:bottom w:val="nil"/>
              <w:right w:val="single" w:sz="8" w:space="0" w:color="auto"/>
            </w:tcBorders>
            <w:shd w:val="clear" w:color="auto" w:fill="auto"/>
            <w:noWrap/>
            <w:vAlign w:val="center"/>
            <w:hideMark/>
          </w:tcPr>
          <w:p w14:paraId="0FA43DEA"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254F6">
              <w:rPr>
                <w:rFonts w:ascii="Arial" w:hAnsi="Arial" w:cs="Arial"/>
                <w:color w:val="000000"/>
                <w:sz w:val="18"/>
                <w:szCs w:val="18"/>
                <w:lang w:val="fr-FR" w:eastAsia="fr-FR"/>
              </w:rPr>
              <w:t>101%</w:t>
            </w:r>
          </w:p>
        </w:tc>
      </w:tr>
      <w:tr w:rsidR="000254F6" w:rsidRPr="000254F6" w14:paraId="6CA8DD02" w14:textId="77777777" w:rsidTr="000254F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D30597"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254F6">
              <w:rPr>
                <w:rFonts w:ascii="Arial" w:hAnsi="Arial" w:cs="Arial"/>
                <w:b/>
                <w:bCs/>
                <w:color w:val="000000"/>
                <w:sz w:val="18"/>
                <w:szCs w:val="18"/>
                <w:lang w:val="fr-FR" w:eastAsia="fr-FR"/>
              </w:rPr>
              <w:t xml:space="preserve">Overall </w:t>
            </w:r>
          </w:p>
        </w:tc>
        <w:tc>
          <w:tcPr>
            <w:tcW w:w="1060" w:type="dxa"/>
            <w:tcBorders>
              <w:top w:val="single" w:sz="8" w:space="0" w:color="auto"/>
              <w:left w:val="nil"/>
              <w:bottom w:val="nil"/>
              <w:right w:val="nil"/>
            </w:tcBorders>
            <w:shd w:val="clear" w:color="auto" w:fill="auto"/>
            <w:noWrap/>
            <w:vAlign w:val="center"/>
            <w:hideMark/>
          </w:tcPr>
          <w:p w14:paraId="378A2991"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254F6">
              <w:rPr>
                <w:rFonts w:ascii="Arial" w:hAnsi="Arial" w:cs="Arial"/>
                <w:color w:val="000000"/>
                <w:sz w:val="18"/>
                <w:szCs w:val="18"/>
                <w:lang w:val="fr-FR" w:eastAsia="fr-FR"/>
              </w:rPr>
              <w:t>-1.03%</w:t>
            </w:r>
          </w:p>
        </w:tc>
        <w:tc>
          <w:tcPr>
            <w:tcW w:w="1060" w:type="dxa"/>
            <w:tcBorders>
              <w:top w:val="single" w:sz="8" w:space="0" w:color="auto"/>
              <w:left w:val="nil"/>
              <w:bottom w:val="nil"/>
              <w:right w:val="nil"/>
            </w:tcBorders>
            <w:shd w:val="clear" w:color="auto" w:fill="auto"/>
            <w:noWrap/>
            <w:vAlign w:val="center"/>
            <w:hideMark/>
          </w:tcPr>
          <w:p w14:paraId="4A69683E"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254F6">
              <w:rPr>
                <w:rFonts w:ascii="Arial" w:hAnsi="Arial" w:cs="Arial"/>
                <w:color w:val="000000"/>
                <w:sz w:val="18"/>
                <w:szCs w:val="18"/>
                <w:lang w:val="fr-FR" w:eastAsia="fr-FR"/>
              </w:rPr>
              <w:t>-0.18%</w:t>
            </w:r>
          </w:p>
        </w:tc>
        <w:tc>
          <w:tcPr>
            <w:tcW w:w="1181" w:type="dxa"/>
            <w:tcBorders>
              <w:top w:val="single" w:sz="8" w:space="0" w:color="auto"/>
              <w:left w:val="nil"/>
              <w:bottom w:val="nil"/>
              <w:right w:val="single" w:sz="4" w:space="0" w:color="auto"/>
            </w:tcBorders>
            <w:shd w:val="clear" w:color="auto" w:fill="auto"/>
            <w:noWrap/>
            <w:vAlign w:val="center"/>
            <w:hideMark/>
          </w:tcPr>
          <w:p w14:paraId="48D0FC79"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254F6">
              <w:rPr>
                <w:rFonts w:ascii="Arial" w:hAnsi="Arial" w:cs="Arial"/>
                <w:color w:val="000000"/>
                <w:sz w:val="18"/>
                <w:szCs w:val="18"/>
                <w:lang w:val="fr-FR" w:eastAsia="fr-FR"/>
              </w:rPr>
              <w:t>-0.66%</w:t>
            </w:r>
          </w:p>
        </w:tc>
        <w:tc>
          <w:tcPr>
            <w:tcW w:w="1060" w:type="dxa"/>
            <w:tcBorders>
              <w:top w:val="single" w:sz="8" w:space="0" w:color="auto"/>
              <w:left w:val="nil"/>
              <w:bottom w:val="nil"/>
              <w:right w:val="nil"/>
            </w:tcBorders>
            <w:shd w:val="clear" w:color="auto" w:fill="auto"/>
            <w:noWrap/>
            <w:vAlign w:val="center"/>
            <w:hideMark/>
          </w:tcPr>
          <w:p w14:paraId="147281A8"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254F6">
              <w:rPr>
                <w:rFonts w:ascii="Arial" w:hAnsi="Arial" w:cs="Arial"/>
                <w:color w:val="000000"/>
                <w:sz w:val="18"/>
                <w:szCs w:val="18"/>
                <w:lang w:val="fr-FR" w:eastAsia="fr-FR"/>
              </w:rPr>
              <w:t>121%</w:t>
            </w:r>
          </w:p>
        </w:tc>
        <w:tc>
          <w:tcPr>
            <w:tcW w:w="1060" w:type="dxa"/>
            <w:tcBorders>
              <w:top w:val="single" w:sz="8" w:space="0" w:color="auto"/>
              <w:left w:val="nil"/>
              <w:bottom w:val="nil"/>
              <w:right w:val="single" w:sz="8" w:space="0" w:color="auto"/>
            </w:tcBorders>
            <w:shd w:val="clear" w:color="auto" w:fill="auto"/>
            <w:noWrap/>
            <w:vAlign w:val="center"/>
            <w:hideMark/>
          </w:tcPr>
          <w:p w14:paraId="07E4B964"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254F6">
              <w:rPr>
                <w:rFonts w:ascii="Arial" w:hAnsi="Arial" w:cs="Arial"/>
                <w:color w:val="000000"/>
                <w:sz w:val="18"/>
                <w:szCs w:val="18"/>
                <w:lang w:val="fr-FR" w:eastAsia="fr-FR"/>
              </w:rPr>
              <w:t>100%</w:t>
            </w:r>
          </w:p>
        </w:tc>
      </w:tr>
      <w:tr w:rsidR="000254F6" w:rsidRPr="000254F6" w14:paraId="59D4CA30" w14:textId="77777777" w:rsidTr="000254F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53391F6"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254F6">
              <w:rPr>
                <w:rFonts w:ascii="Arial" w:hAnsi="Arial" w:cs="Arial"/>
                <w:color w:val="000000"/>
                <w:sz w:val="18"/>
                <w:szCs w:val="18"/>
                <w:lang w:val="fr-FR" w:eastAsia="fr-FR"/>
              </w:rPr>
              <w:lastRenderedPageBreak/>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6734423"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254F6">
              <w:rPr>
                <w:rFonts w:ascii="Arial" w:hAnsi="Arial" w:cs="Arial"/>
                <w:color w:val="000000"/>
                <w:sz w:val="18"/>
                <w:szCs w:val="18"/>
                <w:lang w:val="fr-FR" w:eastAsia="fr-FR"/>
              </w:rPr>
              <w:t>-0.64%</w:t>
            </w:r>
          </w:p>
        </w:tc>
        <w:tc>
          <w:tcPr>
            <w:tcW w:w="1060" w:type="dxa"/>
            <w:tcBorders>
              <w:top w:val="single" w:sz="8" w:space="0" w:color="auto"/>
              <w:left w:val="nil"/>
              <w:bottom w:val="nil"/>
              <w:right w:val="nil"/>
            </w:tcBorders>
            <w:shd w:val="clear" w:color="auto" w:fill="auto"/>
            <w:noWrap/>
            <w:vAlign w:val="center"/>
            <w:hideMark/>
          </w:tcPr>
          <w:p w14:paraId="4F09CE47"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254F6">
              <w:rPr>
                <w:rFonts w:ascii="Arial" w:hAnsi="Arial" w:cs="Arial"/>
                <w:color w:val="000000"/>
                <w:sz w:val="18"/>
                <w:szCs w:val="18"/>
                <w:lang w:val="fr-FR" w:eastAsia="fr-FR"/>
              </w:rPr>
              <w:t>-0.24%</w:t>
            </w:r>
          </w:p>
        </w:tc>
        <w:tc>
          <w:tcPr>
            <w:tcW w:w="1181" w:type="dxa"/>
            <w:tcBorders>
              <w:top w:val="single" w:sz="8" w:space="0" w:color="auto"/>
              <w:left w:val="nil"/>
              <w:bottom w:val="nil"/>
              <w:right w:val="single" w:sz="4" w:space="0" w:color="auto"/>
            </w:tcBorders>
            <w:shd w:val="clear" w:color="auto" w:fill="auto"/>
            <w:noWrap/>
            <w:vAlign w:val="center"/>
            <w:hideMark/>
          </w:tcPr>
          <w:p w14:paraId="463B5249"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254F6">
              <w:rPr>
                <w:rFonts w:ascii="Arial" w:hAnsi="Arial" w:cs="Arial"/>
                <w:color w:val="000000"/>
                <w:sz w:val="18"/>
                <w:szCs w:val="18"/>
                <w:lang w:val="fr-FR" w:eastAsia="fr-FR"/>
              </w:rPr>
              <w:t>-0.79%</w:t>
            </w:r>
          </w:p>
        </w:tc>
        <w:tc>
          <w:tcPr>
            <w:tcW w:w="1060" w:type="dxa"/>
            <w:tcBorders>
              <w:top w:val="single" w:sz="8" w:space="0" w:color="auto"/>
              <w:left w:val="nil"/>
              <w:bottom w:val="nil"/>
              <w:right w:val="nil"/>
            </w:tcBorders>
            <w:shd w:val="clear" w:color="auto" w:fill="auto"/>
            <w:noWrap/>
            <w:vAlign w:val="center"/>
            <w:hideMark/>
          </w:tcPr>
          <w:p w14:paraId="6CD081D9"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254F6">
              <w:rPr>
                <w:rFonts w:ascii="Arial" w:hAnsi="Arial" w:cs="Arial"/>
                <w:color w:val="000000"/>
                <w:sz w:val="18"/>
                <w:szCs w:val="18"/>
                <w:lang w:val="fr-FR" w:eastAsia="fr-FR"/>
              </w:rPr>
              <w:t>124%</w:t>
            </w:r>
          </w:p>
        </w:tc>
        <w:tc>
          <w:tcPr>
            <w:tcW w:w="1060" w:type="dxa"/>
            <w:tcBorders>
              <w:top w:val="single" w:sz="8" w:space="0" w:color="auto"/>
              <w:left w:val="nil"/>
              <w:bottom w:val="nil"/>
              <w:right w:val="single" w:sz="8" w:space="0" w:color="auto"/>
            </w:tcBorders>
            <w:shd w:val="clear" w:color="auto" w:fill="auto"/>
            <w:noWrap/>
            <w:vAlign w:val="center"/>
            <w:hideMark/>
          </w:tcPr>
          <w:p w14:paraId="16125F0A"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254F6">
              <w:rPr>
                <w:rFonts w:ascii="Arial" w:hAnsi="Arial" w:cs="Arial"/>
                <w:color w:val="000000"/>
                <w:sz w:val="18"/>
                <w:szCs w:val="18"/>
                <w:lang w:val="fr-FR" w:eastAsia="fr-FR"/>
              </w:rPr>
              <w:t>102%</w:t>
            </w:r>
          </w:p>
        </w:tc>
      </w:tr>
      <w:tr w:rsidR="000254F6" w:rsidRPr="000254F6" w14:paraId="7B0488E8" w14:textId="77777777" w:rsidTr="000254F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35D7F2F"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254F6">
              <w:rPr>
                <w:rFonts w:ascii="Arial" w:hAnsi="Arial" w:cs="Arial"/>
                <w:color w:val="000000"/>
                <w:sz w:val="18"/>
                <w:szCs w:val="18"/>
                <w:lang w:val="fr-FR" w:eastAsia="fr-FR"/>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4E50F8E"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254F6">
              <w:rPr>
                <w:rFonts w:ascii="Arial" w:hAnsi="Arial" w:cs="Arial"/>
                <w:color w:val="000000"/>
                <w:sz w:val="18"/>
                <w:szCs w:val="18"/>
                <w:lang w:val="fr-FR" w:eastAsia="fr-FR"/>
              </w:rPr>
              <w:t>-0.91%</w:t>
            </w:r>
          </w:p>
        </w:tc>
        <w:tc>
          <w:tcPr>
            <w:tcW w:w="1060" w:type="dxa"/>
            <w:tcBorders>
              <w:top w:val="nil"/>
              <w:left w:val="nil"/>
              <w:bottom w:val="single" w:sz="8" w:space="0" w:color="auto"/>
              <w:right w:val="nil"/>
            </w:tcBorders>
            <w:shd w:val="clear" w:color="auto" w:fill="auto"/>
            <w:noWrap/>
            <w:vAlign w:val="center"/>
            <w:hideMark/>
          </w:tcPr>
          <w:p w14:paraId="2292A07E"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254F6">
              <w:rPr>
                <w:rFonts w:ascii="Arial" w:hAnsi="Arial" w:cs="Arial"/>
                <w:color w:val="000000"/>
                <w:sz w:val="18"/>
                <w:szCs w:val="18"/>
                <w:lang w:val="fr-FR" w:eastAsia="fr-FR"/>
              </w:rPr>
              <w:t>0.04%</w:t>
            </w:r>
          </w:p>
        </w:tc>
        <w:tc>
          <w:tcPr>
            <w:tcW w:w="1181" w:type="dxa"/>
            <w:tcBorders>
              <w:top w:val="nil"/>
              <w:left w:val="nil"/>
              <w:bottom w:val="single" w:sz="8" w:space="0" w:color="auto"/>
              <w:right w:val="single" w:sz="4" w:space="0" w:color="auto"/>
            </w:tcBorders>
            <w:shd w:val="clear" w:color="auto" w:fill="auto"/>
            <w:noWrap/>
            <w:vAlign w:val="center"/>
            <w:hideMark/>
          </w:tcPr>
          <w:p w14:paraId="6E23B672"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254F6">
              <w:rPr>
                <w:rFonts w:ascii="Arial" w:hAnsi="Arial" w:cs="Arial"/>
                <w:color w:val="000000"/>
                <w:sz w:val="18"/>
                <w:szCs w:val="18"/>
                <w:lang w:val="fr-FR" w:eastAsia="fr-FR"/>
              </w:rPr>
              <w:t>-0.25%</w:t>
            </w:r>
          </w:p>
        </w:tc>
        <w:tc>
          <w:tcPr>
            <w:tcW w:w="1060" w:type="dxa"/>
            <w:tcBorders>
              <w:top w:val="nil"/>
              <w:left w:val="nil"/>
              <w:bottom w:val="single" w:sz="8" w:space="0" w:color="auto"/>
              <w:right w:val="nil"/>
            </w:tcBorders>
            <w:shd w:val="clear" w:color="auto" w:fill="auto"/>
            <w:noWrap/>
            <w:vAlign w:val="center"/>
            <w:hideMark/>
          </w:tcPr>
          <w:p w14:paraId="6B1B27DA"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254F6">
              <w:rPr>
                <w:rFonts w:ascii="Arial" w:hAnsi="Arial" w:cs="Arial"/>
                <w:color w:val="000000"/>
                <w:sz w:val="18"/>
                <w:szCs w:val="18"/>
                <w:lang w:val="fr-FR" w:eastAsia="fr-FR"/>
              </w:rPr>
              <w:t>114%</w:t>
            </w:r>
          </w:p>
        </w:tc>
        <w:tc>
          <w:tcPr>
            <w:tcW w:w="1060" w:type="dxa"/>
            <w:tcBorders>
              <w:top w:val="nil"/>
              <w:left w:val="nil"/>
              <w:bottom w:val="single" w:sz="8" w:space="0" w:color="auto"/>
              <w:right w:val="single" w:sz="8" w:space="0" w:color="auto"/>
            </w:tcBorders>
            <w:shd w:val="clear" w:color="auto" w:fill="auto"/>
            <w:noWrap/>
            <w:vAlign w:val="center"/>
            <w:hideMark/>
          </w:tcPr>
          <w:p w14:paraId="0BD4BA87" w14:textId="77777777" w:rsidR="000254F6" w:rsidRPr="000254F6" w:rsidRDefault="000254F6" w:rsidP="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254F6">
              <w:rPr>
                <w:rFonts w:ascii="Arial" w:hAnsi="Arial" w:cs="Arial"/>
                <w:color w:val="000000"/>
                <w:sz w:val="18"/>
                <w:szCs w:val="18"/>
                <w:lang w:val="fr-FR" w:eastAsia="fr-FR"/>
              </w:rPr>
              <w:t>100%</w:t>
            </w:r>
          </w:p>
        </w:tc>
      </w:tr>
    </w:tbl>
    <w:p w14:paraId="44D1708B" w14:textId="02793FEC" w:rsidR="000254F6" w:rsidRDefault="000254F6" w:rsidP="000254F6">
      <w:pPr>
        <w:pStyle w:val="Titre2"/>
        <w:rPr>
          <w:lang w:val="en-CA"/>
        </w:rPr>
      </w:pPr>
      <w:r>
        <w:rPr>
          <w:lang w:val="en-CA"/>
        </w:rPr>
        <w:t>Method 2</w:t>
      </w:r>
    </w:p>
    <w:tbl>
      <w:tblPr>
        <w:tblW w:w="7061" w:type="dxa"/>
        <w:tblCellMar>
          <w:left w:w="70" w:type="dxa"/>
          <w:right w:w="70" w:type="dxa"/>
        </w:tblCellMar>
        <w:tblLook w:val="04A0" w:firstRow="1" w:lastRow="0" w:firstColumn="1" w:lastColumn="0" w:noHBand="0" w:noVBand="1"/>
      </w:tblPr>
      <w:tblGrid>
        <w:gridCol w:w="1640"/>
        <w:gridCol w:w="1060"/>
        <w:gridCol w:w="1060"/>
        <w:gridCol w:w="1181"/>
        <w:gridCol w:w="1060"/>
        <w:gridCol w:w="1060"/>
      </w:tblGrid>
      <w:tr w:rsidR="00EC28B2" w:rsidRPr="00EC28B2" w14:paraId="2E94864A" w14:textId="77777777" w:rsidTr="00EC28B2">
        <w:trPr>
          <w:trHeight w:val="255"/>
        </w:trPr>
        <w:tc>
          <w:tcPr>
            <w:tcW w:w="1640" w:type="dxa"/>
            <w:tcBorders>
              <w:top w:val="nil"/>
              <w:left w:val="nil"/>
              <w:bottom w:val="nil"/>
              <w:right w:val="nil"/>
            </w:tcBorders>
            <w:shd w:val="clear" w:color="auto" w:fill="auto"/>
            <w:noWrap/>
            <w:vAlign w:val="center"/>
            <w:hideMark/>
          </w:tcPr>
          <w:p w14:paraId="34EE9CF4"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1080399"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EC28B2">
              <w:rPr>
                <w:rFonts w:ascii="Arial" w:hAnsi="Arial" w:cs="Arial"/>
                <w:b/>
                <w:bCs/>
                <w:color w:val="000000"/>
                <w:sz w:val="18"/>
                <w:szCs w:val="18"/>
                <w:lang w:val="fr-FR" w:eastAsia="fr-FR"/>
              </w:rPr>
              <w:t> </w:t>
            </w:r>
          </w:p>
        </w:tc>
        <w:tc>
          <w:tcPr>
            <w:tcW w:w="1060" w:type="dxa"/>
            <w:tcBorders>
              <w:top w:val="single" w:sz="8" w:space="0" w:color="auto"/>
              <w:left w:val="nil"/>
              <w:bottom w:val="single" w:sz="8" w:space="0" w:color="auto"/>
              <w:right w:val="nil"/>
            </w:tcBorders>
            <w:shd w:val="clear" w:color="auto" w:fill="auto"/>
            <w:noWrap/>
            <w:vAlign w:val="center"/>
            <w:hideMark/>
          </w:tcPr>
          <w:p w14:paraId="6B7EDEF1"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EC28B2">
              <w:rPr>
                <w:rFonts w:ascii="Calibri" w:hAnsi="Calibri" w:cs="Calibri"/>
                <w:color w:val="000000"/>
                <w:sz w:val="24"/>
                <w:szCs w:val="24"/>
                <w:lang w:val="fr-FR" w:eastAsia="fr-FR"/>
              </w:rPr>
              <w:t> </w:t>
            </w:r>
          </w:p>
        </w:tc>
        <w:tc>
          <w:tcPr>
            <w:tcW w:w="1181" w:type="dxa"/>
            <w:tcBorders>
              <w:top w:val="single" w:sz="8" w:space="0" w:color="auto"/>
              <w:left w:val="nil"/>
              <w:bottom w:val="single" w:sz="8" w:space="0" w:color="auto"/>
              <w:right w:val="nil"/>
            </w:tcBorders>
            <w:shd w:val="clear" w:color="auto" w:fill="auto"/>
            <w:noWrap/>
            <w:vAlign w:val="center"/>
            <w:hideMark/>
          </w:tcPr>
          <w:p w14:paraId="7D3BC5FF"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EC28B2">
              <w:rPr>
                <w:rFonts w:ascii="Arial" w:hAnsi="Arial" w:cs="Arial"/>
                <w:b/>
                <w:bCs/>
                <w:color w:val="000000"/>
                <w:sz w:val="18"/>
                <w:szCs w:val="18"/>
                <w:lang w:val="fr-FR" w:eastAsia="fr-FR"/>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7927D0FA"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EC28B2">
              <w:rPr>
                <w:rFonts w:ascii="Calibri" w:hAnsi="Calibri" w:cs="Calibri"/>
                <w:color w:val="000000"/>
                <w:sz w:val="24"/>
                <w:szCs w:val="24"/>
                <w:lang w:val="fr-FR" w:eastAsia="fr-FR"/>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7890514"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EC28B2">
              <w:rPr>
                <w:rFonts w:ascii="Calibri" w:hAnsi="Calibri" w:cs="Calibri"/>
                <w:color w:val="000000"/>
                <w:sz w:val="24"/>
                <w:szCs w:val="24"/>
                <w:lang w:val="fr-FR" w:eastAsia="fr-FR"/>
              </w:rPr>
              <w:t> </w:t>
            </w:r>
          </w:p>
        </w:tc>
      </w:tr>
      <w:tr w:rsidR="00EC28B2" w:rsidRPr="00EC28B2" w14:paraId="45DB9574" w14:textId="77777777" w:rsidTr="00EC28B2">
        <w:trPr>
          <w:trHeight w:val="255"/>
        </w:trPr>
        <w:tc>
          <w:tcPr>
            <w:tcW w:w="1640" w:type="dxa"/>
            <w:tcBorders>
              <w:top w:val="nil"/>
              <w:left w:val="nil"/>
              <w:bottom w:val="nil"/>
              <w:right w:val="nil"/>
            </w:tcBorders>
            <w:shd w:val="clear" w:color="auto" w:fill="auto"/>
            <w:noWrap/>
            <w:vAlign w:val="center"/>
            <w:hideMark/>
          </w:tcPr>
          <w:p w14:paraId="12F09D4D"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p>
        </w:tc>
        <w:tc>
          <w:tcPr>
            <w:tcW w:w="1060" w:type="dxa"/>
            <w:tcBorders>
              <w:top w:val="nil"/>
              <w:left w:val="single" w:sz="8" w:space="0" w:color="auto"/>
              <w:bottom w:val="nil"/>
              <w:right w:val="nil"/>
            </w:tcBorders>
            <w:shd w:val="clear" w:color="auto" w:fill="auto"/>
            <w:noWrap/>
            <w:vAlign w:val="center"/>
            <w:hideMark/>
          </w:tcPr>
          <w:p w14:paraId="33CF5356"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EC28B2">
              <w:rPr>
                <w:rFonts w:ascii="Arial" w:hAnsi="Arial" w:cs="Arial"/>
                <w:b/>
                <w:bCs/>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33BCE535"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EC28B2">
              <w:rPr>
                <w:rFonts w:ascii="Arial" w:hAnsi="Arial" w:cs="Arial"/>
                <w:b/>
                <w:bCs/>
                <w:color w:val="000000"/>
                <w:sz w:val="18"/>
                <w:szCs w:val="18"/>
                <w:lang w:val="fr-FR" w:eastAsia="fr-FR"/>
              </w:rPr>
              <w:t> </w:t>
            </w:r>
          </w:p>
        </w:tc>
        <w:tc>
          <w:tcPr>
            <w:tcW w:w="1181" w:type="dxa"/>
            <w:tcBorders>
              <w:top w:val="nil"/>
              <w:left w:val="nil"/>
              <w:bottom w:val="nil"/>
              <w:right w:val="nil"/>
            </w:tcBorders>
            <w:shd w:val="clear" w:color="auto" w:fill="auto"/>
            <w:noWrap/>
            <w:vAlign w:val="center"/>
            <w:hideMark/>
          </w:tcPr>
          <w:p w14:paraId="70B1E95C"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EC28B2">
              <w:rPr>
                <w:rFonts w:ascii="Arial" w:hAnsi="Arial" w:cs="Arial"/>
                <w:b/>
                <w:bCs/>
                <w:color w:val="000000"/>
                <w:sz w:val="18"/>
                <w:szCs w:val="18"/>
                <w:lang w:val="fr-FR" w:eastAsia="fr-FR"/>
              </w:rPr>
              <w:t>Over VTM-4.0</w:t>
            </w:r>
          </w:p>
        </w:tc>
        <w:tc>
          <w:tcPr>
            <w:tcW w:w="1060" w:type="dxa"/>
            <w:tcBorders>
              <w:top w:val="nil"/>
              <w:left w:val="nil"/>
              <w:bottom w:val="nil"/>
              <w:right w:val="nil"/>
            </w:tcBorders>
            <w:shd w:val="clear" w:color="auto" w:fill="auto"/>
            <w:noWrap/>
            <w:vAlign w:val="center"/>
            <w:hideMark/>
          </w:tcPr>
          <w:p w14:paraId="745256B8"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EC28B2">
              <w:rPr>
                <w:rFonts w:ascii="Arial" w:hAnsi="Arial" w:cs="Arial"/>
                <w:b/>
                <w:bCs/>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15D5CB0E"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EC28B2">
              <w:rPr>
                <w:rFonts w:ascii="Arial" w:hAnsi="Arial" w:cs="Arial"/>
                <w:b/>
                <w:bCs/>
                <w:color w:val="000000"/>
                <w:sz w:val="18"/>
                <w:szCs w:val="18"/>
                <w:lang w:val="fr-FR" w:eastAsia="fr-FR"/>
              </w:rPr>
              <w:t> </w:t>
            </w:r>
          </w:p>
        </w:tc>
      </w:tr>
      <w:tr w:rsidR="00EC28B2" w:rsidRPr="00EC28B2" w14:paraId="61193A11" w14:textId="77777777" w:rsidTr="00EC28B2">
        <w:trPr>
          <w:trHeight w:val="255"/>
        </w:trPr>
        <w:tc>
          <w:tcPr>
            <w:tcW w:w="1640" w:type="dxa"/>
            <w:tcBorders>
              <w:top w:val="nil"/>
              <w:left w:val="nil"/>
              <w:bottom w:val="nil"/>
              <w:right w:val="nil"/>
            </w:tcBorders>
            <w:shd w:val="clear" w:color="auto" w:fill="auto"/>
            <w:noWrap/>
            <w:vAlign w:val="center"/>
            <w:hideMark/>
          </w:tcPr>
          <w:p w14:paraId="140153EB"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11FD0A82"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C28B2">
              <w:rPr>
                <w:rFonts w:ascii="Arial"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3388D02E"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C28B2">
              <w:rPr>
                <w:rFonts w:ascii="Arial" w:hAnsi="Arial" w:cs="Arial"/>
                <w:color w:val="000000"/>
                <w:sz w:val="18"/>
                <w:szCs w:val="18"/>
                <w:lang w:val="fr-FR" w:eastAsia="fr-FR"/>
              </w:rPr>
              <w:t>U</w:t>
            </w:r>
          </w:p>
        </w:tc>
        <w:tc>
          <w:tcPr>
            <w:tcW w:w="1181" w:type="dxa"/>
            <w:tcBorders>
              <w:top w:val="nil"/>
              <w:left w:val="nil"/>
              <w:bottom w:val="single" w:sz="8" w:space="0" w:color="auto"/>
              <w:right w:val="single" w:sz="4" w:space="0" w:color="auto"/>
            </w:tcBorders>
            <w:shd w:val="clear" w:color="auto" w:fill="auto"/>
            <w:noWrap/>
            <w:vAlign w:val="center"/>
            <w:hideMark/>
          </w:tcPr>
          <w:p w14:paraId="22A73BF8"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C28B2">
              <w:rPr>
                <w:rFonts w:ascii="Arial" w:hAnsi="Arial" w:cs="Arial"/>
                <w:color w:val="000000"/>
                <w:sz w:val="18"/>
                <w:szCs w:val="18"/>
                <w:lang w:val="fr-FR" w:eastAsia="fr-FR"/>
              </w:rPr>
              <w:t>V</w:t>
            </w:r>
          </w:p>
        </w:tc>
        <w:tc>
          <w:tcPr>
            <w:tcW w:w="1060" w:type="dxa"/>
            <w:tcBorders>
              <w:top w:val="nil"/>
              <w:left w:val="nil"/>
              <w:bottom w:val="single" w:sz="8" w:space="0" w:color="auto"/>
              <w:right w:val="nil"/>
            </w:tcBorders>
            <w:shd w:val="clear" w:color="auto" w:fill="auto"/>
            <w:noWrap/>
            <w:vAlign w:val="center"/>
            <w:hideMark/>
          </w:tcPr>
          <w:p w14:paraId="04B468F9"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C28B2">
              <w:rPr>
                <w:rFonts w:ascii="Arial" w:hAnsi="Arial" w:cs="Arial"/>
                <w:color w:val="000000"/>
                <w:sz w:val="18"/>
                <w:szCs w:val="18"/>
                <w:lang w:val="fr-FR" w:eastAsia="fr-FR"/>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82BBDB3"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C28B2">
              <w:rPr>
                <w:rFonts w:ascii="Arial" w:hAnsi="Arial" w:cs="Arial"/>
                <w:color w:val="000000"/>
                <w:sz w:val="18"/>
                <w:szCs w:val="18"/>
                <w:lang w:val="fr-FR" w:eastAsia="fr-FR"/>
              </w:rPr>
              <w:t>DecT</w:t>
            </w:r>
          </w:p>
        </w:tc>
      </w:tr>
      <w:tr w:rsidR="00EC28B2" w:rsidRPr="00EC28B2" w14:paraId="57CF0004" w14:textId="77777777" w:rsidTr="00EC28B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D5874D"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C28B2">
              <w:rPr>
                <w:rFonts w:ascii="Arial" w:hAnsi="Arial" w:cs="Arial"/>
                <w:color w:val="000000"/>
                <w:sz w:val="18"/>
                <w:szCs w:val="18"/>
                <w:lang w:val="fr-FR" w:eastAsia="fr-FR"/>
              </w:rPr>
              <w:t>Class A1</w:t>
            </w:r>
          </w:p>
        </w:tc>
        <w:tc>
          <w:tcPr>
            <w:tcW w:w="1060" w:type="dxa"/>
            <w:tcBorders>
              <w:top w:val="nil"/>
              <w:left w:val="nil"/>
              <w:bottom w:val="nil"/>
              <w:right w:val="nil"/>
            </w:tcBorders>
            <w:shd w:val="clear" w:color="auto" w:fill="auto"/>
            <w:noWrap/>
            <w:vAlign w:val="center"/>
            <w:hideMark/>
          </w:tcPr>
          <w:p w14:paraId="5DB468BE"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C28B2">
              <w:rPr>
                <w:rFonts w:ascii="Arial" w:hAnsi="Arial" w:cs="Arial"/>
                <w:color w:val="000000"/>
                <w:sz w:val="18"/>
                <w:szCs w:val="18"/>
                <w:lang w:val="fr-FR" w:eastAsia="fr-FR"/>
              </w:rPr>
              <w:t>-1.00%</w:t>
            </w:r>
          </w:p>
        </w:tc>
        <w:tc>
          <w:tcPr>
            <w:tcW w:w="1060" w:type="dxa"/>
            <w:tcBorders>
              <w:top w:val="nil"/>
              <w:left w:val="nil"/>
              <w:bottom w:val="nil"/>
              <w:right w:val="nil"/>
            </w:tcBorders>
            <w:shd w:val="clear" w:color="auto" w:fill="auto"/>
            <w:noWrap/>
            <w:vAlign w:val="center"/>
            <w:hideMark/>
          </w:tcPr>
          <w:p w14:paraId="6D231DB5"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C28B2">
              <w:rPr>
                <w:rFonts w:ascii="Arial" w:hAnsi="Arial" w:cs="Arial"/>
                <w:color w:val="000000"/>
                <w:sz w:val="18"/>
                <w:szCs w:val="18"/>
                <w:lang w:val="fr-FR" w:eastAsia="fr-FR"/>
              </w:rPr>
              <w:t>-0.53%</w:t>
            </w:r>
          </w:p>
        </w:tc>
        <w:tc>
          <w:tcPr>
            <w:tcW w:w="1181" w:type="dxa"/>
            <w:tcBorders>
              <w:top w:val="nil"/>
              <w:left w:val="nil"/>
              <w:bottom w:val="nil"/>
              <w:right w:val="single" w:sz="4" w:space="0" w:color="auto"/>
            </w:tcBorders>
            <w:shd w:val="clear" w:color="auto" w:fill="auto"/>
            <w:noWrap/>
            <w:vAlign w:val="center"/>
            <w:hideMark/>
          </w:tcPr>
          <w:p w14:paraId="77379D0A"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C28B2">
              <w:rPr>
                <w:rFonts w:ascii="Arial" w:hAnsi="Arial" w:cs="Arial"/>
                <w:color w:val="000000"/>
                <w:sz w:val="18"/>
                <w:szCs w:val="18"/>
                <w:lang w:val="fr-FR" w:eastAsia="fr-FR"/>
              </w:rPr>
              <w:t>-0.31%</w:t>
            </w:r>
          </w:p>
        </w:tc>
        <w:tc>
          <w:tcPr>
            <w:tcW w:w="1060" w:type="dxa"/>
            <w:tcBorders>
              <w:top w:val="nil"/>
              <w:left w:val="nil"/>
              <w:bottom w:val="nil"/>
              <w:right w:val="nil"/>
            </w:tcBorders>
            <w:shd w:val="clear" w:color="auto" w:fill="auto"/>
            <w:noWrap/>
            <w:vAlign w:val="center"/>
            <w:hideMark/>
          </w:tcPr>
          <w:p w14:paraId="2B90853D"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C28B2">
              <w:rPr>
                <w:rFonts w:ascii="Arial" w:hAnsi="Arial" w:cs="Arial"/>
                <w:color w:val="000000"/>
                <w:sz w:val="18"/>
                <w:szCs w:val="18"/>
                <w:lang w:val="fr-FR" w:eastAsia="fr-FR"/>
              </w:rPr>
              <w:t>114%</w:t>
            </w:r>
          </w:p>
        </w:tc>
        <w:tc>
          <w:tcPr>
            <w:tcW w:w="1060" w:type="dxa"/>
            <w:tcBorders>
              <w:top w:val="nil"/>
              <w:left w:val="nil"/>
              <w:bottom w:val="nil"/>
              <w:right w:val="single" w:sz="8" w:space="0" w:color="auto"/>
            </w:tcBorders>
            <w:shd w:val="clear" w:color="auto" w:fill="auto"/>
            <w:noWrap/>
            <w:vAlign w:val="center"/>
            <w:hideMark/>
          </w:tcPr>
          <w:p w14:paraId="625451B2"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C28B2">
              <w:rPr>
                <w:rFonts w:ascii="Arial" w:hAnsi="Arial" w:cs="Arial"/>
                <w:color w:val="000000"/>
                <w:sz w:val="18"/>
                <w:szCs w:val="18"/>
                <w:lang w:val="fr-FR" w:eastAsia="fr-FR"/>
              </w:rPr>
              <w:t>100%</w:t>
            </w:r>
          </w:p>
        </w:tc>
      </w:tr>
      <w:tr w:rsidR="00EC28B2" w:rsidRPr="00EC28B2" w14:paraId="4BC8C425" w14:textId="77777777" w:rsidTr="00EC28B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4077F0"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C28B2">
              <w:rPr>
                <w:rFonts w:ascii="Arial" w:hAnsi="Arial" w:cs="Arial"/>
                <w:color w:val="000000"/>
                <w:sz w:val="18"/>
                <w:szCs w:val="18"/>
                <w:lang w:val="fr-FR" w:eastAsia="fr-FR"/>
              </w:rPr>
              <w:t>Class A2</w:t>
            </w:r>
          </w:p>
        </w:tc>
        <w:tc>
          <w:tcPr>
            <w:tcW w:w="1060" w:type="dxa"/>
            <w:tcBorders>
              <w:top w:val="nil"/>
              <w:left w:val="nil"/>
              <w:bottom w:val="nil"/>
              <w:right w:val="nil"/>
            </w:tcBorders>
            <w:shd w:val="clear" w:color="auto" w:fill="auto"/>
            <w:noWrap/>
            <w:vAlign w:val="center"/>
            <w:hideMark/>
          </w:tcPr>
          <w:p w14:paraId="33460DE7"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C28B2">
              <w:rPr>
                <w:rFonts w:ascii="Arial" w:hAnsi="Arial" w:cs="Arial"/>
                <w:color w:val="000000"/>
                <w:sz w:val="18"/>
                <w:szCs w:val="18"/>
                <w:lang w:val="fr-FR" w:eastAsia="fr-FR"/>
              </w:rPr>
              <w:t>-0.91%</w:t>
            </w:r>
          </w:p>
        </w:tc>
        <w:tc>
          <w:tcPr>
            <w:tcW w:w="1060" w:type="dxa"/>
            <w:tcBorders>
              <w:top w:val="nil"/>
              <w:left w:val="nil"/>
              <w:bottom w:val="nil"/>
              <w:right w:val="nil"/>
            </w:tcBorders>
            <w:shd w:val="clear" w:color="auto" w:fill="auto"/>
            <w:noWrap/>
            <w:vAlign w:val="center"/>
            <w:hideMark/>
          </w:tcPr>
          <w:p w14:paraId="219016FC"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C28B2">
              <w:rPr>
                <w:rFonts w:ascii="Arial" w:hAnsi="Arial" w:cs="Arial"/>
                <w:color w:val="000000"/>
                <w:sz w:val="18"/>
                <w:szCs w:val="18"/>
                <w:lang w:val="fr-FR" w:eastAsia="fr-FR"/>
              </w:rPr>
              <w:t>0.26%</w:t>
            </w:r>
          </w:p>
        </w:tc>
        <w:tc>
          <w:tcPr>
            <w:tcW w:w="1181" w:type="dxa"/>
            <w:tcBorders>
              <w:top w:val="nil"/>
              <w:left w:val="nil"/>
              <w:bottom w:val="nil"/>
              <w:right w:val="single" w:sz="4" w:space="0" w:color="auto"/>
            </w:tcBorders>
            <w:shd w:val="clear" w:color="auto" w:fill="auto"/>
            <w:noWrap/>
            <w:vAlign w:val="center"/>
            <w:hideMark/>
          </w:tcPr>
          <w:p w14:paraId="2FCE80A3"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C28B2">
              <w:rPr>
                <w:rFonts w:ascii="Arial" w:hAnsi="Arial" w:cs="Arial"/>
                <w:color w:val="000000"/>
                <w:sz w:val="18"/>
                <w:szCs w:val="18"/>
                <w:lang w:val="fr-FR" w:eastAsia="fr-FR"/>
              </w:rPr>
              <w:t>0.61%</w:t>
            </w:r>
          </w:p>
        </w:tc>
        <w:tc>
          <w:tcPr>
            <w:tcW w:w="1060" w:type="dxa"/>
            <w:tcBorders>
              <w:top w:val="nil"/>
              <w:left w:val="nil"/>
              <w:bottom w:val="nil"/>
              <w:right w:val="nil"/>
            </w:tcBorders>
            <w:shd w:val="clear" w:color="auto" w:fill="auto"/>
            <w:noWrap/>
            <w:vAlign w:val="center"/>
            <w:hideMark/>
          </w:tcPr>
          <w:p w14:paraId="2029C4CF"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C28B2">
              <w:rPr>
                <w:rFonts w:ascii="Arial" w:hAnsi="Arial" w:cs="Arial"/>
                <w:color w:val="000000"/>
                <w:sz w:val="18"/>
                <w:szCs w:val="18"/>
                <w:lang w:val="fr-FR" w:eastAsia="fr-FR"/>
              </w:rPr>
              <w:t>117%</w:t>
            </w:r>
          </w:p>
        </w:tc>
        <w:tc>
          <w:tcPr>
            <w:tcW w:w="1060" w:type="dxa"/>
            <w:tcBorders>
              <w:top w:val="nil"/>
              <w:left w:val="nil"/>
              <w:bottom w:val="nil"/>
              <w:right w:val="single" w:sz="8" w:space="0" w:color="auto"/>
            </w:tcBorders>
            <w:shd w:val="clear" w:color="auto" w:fill="auto"/>
            <w:noWrap/>
            <w:vAlign w:val="center"/>
            <w:hideMark/>
          </w:tcPr>
          <w:p w14:paraId="7D6FF9A2"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C28B2">
              <w:rPr>
                <w:rFonts w:ascii="Arial" w:hAnsi="Arial" w:cs="Arial"/>
                <w:color w:val="000000"/>
                <w:sz w:val="18"/>
                <w:szCs w:val="18"/>
                <w:lang w:val="fr-FR" w:eastAsia="fr-FR"/>
              </w:rPr>
              <w:t>100%</w:t>
            </w:r>
          </w:p>
        </w:tc>
      </w:tr>
      <w:tr w:rsidR="00EC28B2" w:rsidRPr="00EC28B2" w14:paraId="7B662F02" w14:textId="77777777" w:rsidTr="00EC28B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19A8DD"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C28B2">
              <w:rPr>
                <w:rFonts w:ascii="Arial" w:hAnsi="Arial" w:cs="Arial"/>
                <w:color w:val="000000"/>
                <w:sz w:val="18"/>
                <w:szCs w:val="18"/>
                <w:lang w:val="fr-FR" w:eastAsia="fr-FR"/>
              </w:rPr>
              <w:t>Class B</w:t>
            </w:r>
          </w:p>
        </w:tc>
        <w:tc>
          <w:tcPr>
            <w:tcW w:w="1060" w:type="dxa"/>
            <w:tcBorders>
              <w:top w:val="nil"/>
              <w:left w:val="nil"/>
              <w:bottom w:val="nil"/>
              <w:right w:val="nil"/>
            </w:tcBorders>
            <w:shd w:val="clear" w:color="auto" w:fill="auto"/>
            <w:noWrap/>
            <w:vAlign w:val="center"/>
            <w:hideMark/>
          </w:tcPr>
          <w:p w14:paraId="237015EE"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C28B2">
              <w:rPr>
                <w:rFonts w:ascii="Arial" w:hAnsi="Arial" w:cs="Arial"/>
                <w:color w:val="000000"/>
                <w:sz w:val="18"/>
                <w:szCs w:val="18"/>
                <w:lang w:val="fr-FR" w:eastAsia="fr-FR"/>
              </w:rPr>
              <w:t>-0.62%</w:t>
            </w:r>
          </w:p>
        </w:tc>
        <w:tc>
          <w:tcPr>
            <w:tcW w:w="1060" w:type="dxa"/>
            <w:tcBorders>
              <w:top w:val="nil"/>
              <w:left w:val="nil"/>
              <w:bottom w:val="nil"/>
              <w:right w:val="nil"/>
            </w:tcBorders>
            <w:shd w:val="clear" w:color="auto" w:fill="auto"/>
            <w:noWrap/>
            <w:vAlign w:val="center"/>
            <w:hideMark/>
          </w:tcPr>
          <w:p w14:paraId="1E0617D1"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C28B2">
              <w:rPr>
                <w:rFonts w:ascii="Arial" w:hAnsi="Arial" w:cs="Arial"/>
                <w:color w:val="000000"/>
                <w:sz w:val="18"/>
                <w:szCs w:val="18"/>
                <w:lang w:val="fr-FR" w:eastAsia="fr-FR"/>
              </w:rPr>
              <w:t>-0.13%</w:t>
            </w:r>
          </w:p>
        </w:tc>
        <w:tc>
          <w:tcPr>
            <w:tcW w:w="1181" w:type="dxa"/>
            <w:tcBorders>
              <w:top w:val="nil"/>
              <w:left w:val="nil"/>
              <w:bottom w:val="nil"/>
              <w:right w:val="single" w:sz="4" w:space="0" w:color="auto"/>
            </w:tcBorders>
            <w:shd w:val="clear" w:color="auto" w:fill="auto"/>
            <w:noWrap/>
            <w:vAlign w:val="center"/>
            <w:hideMark/>
          </w:tcPr>
          <w:p w14:paraId="6ACC63EC"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C28B2">
              <w:rPr>
                <w:rFonts w:ascii="Arial" w:hAnsi="Arial" w:cs="Arial"/>
                <w:color w:val="000000"/>
                <w:sz w:val="18"/>
                <w:szCs w:val="18"/>
                <w:lang w:val="fr-FR" w:eastAsia="fr-FR"/>
              </w:rPr>
              <w:t>-0.99%</w:t>
            </w:r>
          </w:p>
        </w:tc>
        <w:tc>
          <w:tcPr>
            <w:tcW w:w="1060" w:type="dxa"/>
            <w:tcBorders>
              <w:top w:val="nil"/>
              <w:left w:val="nil"/>
              <w:bottom w:val="nil"/>
              <w:right w:val="nil"/>
            </w:tcBorders>
            <w:shd w:val="clear" w:color="auto" w:fill="auto"/>
            <w:noWrap/>
            <w:vAlign w:val="center"/>
            <w:hideMark/>
          </w:tcPr>
          <w:p w14:paraId="3E223B03"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C28B2">
              <w:rPr>
                <w:rFonts w:ascii="Arial" w:hAnsi="Arial" w:cs="Arial"/>
                <w:color w:val="000000"/>
                <w:sz w:val="18"/>
                <w:szCs w:val="18"/>
                <w:lang w:val="fr-FR" w:eastAsia="fr-FR"/>
              </w:rPr>
              <w:t>115%</w:t>
            </w:r>
          </w:p>
        </w:tc>
        <w:tc>
          <w:tcPr>
            <w:tcW w:w="1060" w:type="dxa"/>
            <w:tcBorders>
              <w:top w:val="nil"/>
              <w:left w:val="nil"/>
              <w:bottom w:val="nil"/>
              <w:right w:val="single" w:sz="8" w:space="0" w:color="auto"/>
            </w:tcBorders>
            <w:shd w:val="clear" w:color="auto" w:fill="auto"/>
            <w:noWrap/>
            <w:vAlign w:val="center"/>
            <w:hideMark/>
          </w:tcPr>
          <w:p w14:paraId="423EB9AE"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C28B2">
              <w:rPr>
                <w:rFonts w:ascii="Arial" w:hAnsi="Arial" w:cs="Arial"/>
                <w:color w:val="000000"/>
                <w:sz w:val="18"/>
                <w:szCs w:val="18"/>
                <w:lang w:val="fr-FR" w:eastAsia="fr-FR"/>
              </w:rPr>
              <w:t>100%</w:t>
            </w:r>
          </w:p>
        </w:tc>
      </w:tr>
      <w:tr w:rsidR="00EC28B2" w:rsidRPr="00EC28B2" w14:paraId="099783F8" w14:textId="77777777" w:rsidTr="00EC28B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266806"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C28B2">
              <w:rPr>
                <w:rFonts w:ascii="Arial" w:hAnsi="Arial" w:cs="Arial"/>
                <w:color w:val="000000"/>
                <w:sz w:val="18"/>
                <w:szCs w:val="18"/>
                <w:lang w:val="fr-FR" w:eastAsia="fr-FR"/>
              </w:rPr>
              <w:t>Class C</w:t>
            </w:r>
          </w:p>
        </w:tc>
        <w:tc>
          <w:tcPr>
            <w:tcW w:w="1060" w:type="dxa"/>
            <w:tcBorders>
              <w:top w:val="nil"/>
              <w:left w:val="nil"/>
              <w:bottom w:val="nil"/>
              <w:right w:val="nil"/>
            </w:tcBorders>
            <w:shd w:val="clear" w:color="auto" w:fill="auto"/>
            <w:noWrap/>
            <w:vAlign w:val="center"/>
            <w:hideMark/>
          </w:tcPr>
          <w:p w14:paraId="4E71713D"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C28B2">
              <w:rPr>
                <w:rFonts w:ascii="Arial" w:hAnsi="Arial" w:cs="Arial"/>
                <w:color w:val="000000"/>
                <w:sz w:val="18"/>
                <w:szCs w:val="18"/>
                <w:lang w:val="fr-FR" w:eastAsia="fr-FR"/>
              </w:rPr>
              <w:t>-0.84%</w:t>
            </w:r>
          </w:p>
        </w:tc>
        <w:tc>
          <w:tcPr>
            <w:tcW w:w="1060" w:type="dxa"/>
            <w:tcBorders>
              <w:top w:val="nil"/>
              <w:left w:val="nil"/>
              <w:bottom w:val="nil"/>
              <w:right w:val="nil"/>
            </w:tcBorders>
            <w:shd w:val="clear" w:color="auto" w:fill="auto"/>
            <w:noWrap/>
            <w:vAlign w:val="center"/>
            <w:hideMark/>
          </w:tcPr>
          <w:p w14:paraId="711220CD"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C28B2">
              <w:rPr>
                <w:rFonts w:ascii="Arial" w:hAnsi="Arial" w:cs="Arial"/>
                <w:color w:val="000000"/>
                <w:sz w:val="18"/>
                <w:szCs w:val="18"/>
                <w:lang w:val="fr-FR" w:eastAsia="fr-FR"/>
              </w:rPr>
              <w:t>-0.20%</w:t>
            </w:r>
          </w:p>
        </w:tc>
        <w:tc>
          <w:tcPr>
            <w:tcW w:w="1181" w:type="dxa"/>
            <w:tcBorders>
              <w:top w:val="nil"/>
              <w:left w:val="nil"/>
              <w:bottom w:val="nil"/>
              <w:right w:val="single" w:sz="4" w:space="0" w:color="auto"/>
            </w:tcBorders>
            <w:shd w:val="clear" w:color="auto" w:fill="auto"/>
            <w:noWrap/>
            <w:vAlign w:val="center"/>
            <w:hideMark/>
          </w:tcPr>
          <w:p w14:paraId="5F814B09"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C28B2">
              <w:rPr>
                <w:rFonts w:ascii="Arial" w:hAnsi="Arial" w:cs="Arial"/>
                <w:color w:val="000000"/>
                <w:sz w:val="18"/>
                <w:szCs w:val="18"/>
                <w:lang w:val="fr-FR" w:eastAsia="fr-FR"/>
              </w:rPr>
              <w:t>-0.89%</w:t>
            </w:r>
          </w:p>
        </w:tc>
        <w:tc>
          <w:tcPr>
            <w:tcW w:w="1060" w:type="dxa"/>
            <w:tcBorders>
              <w:top w:val="nil"/>
              <w:left w:val="nil"/>
              <w:bottom w:val="nil"/>
              <w:right w:val="nil"/>
            </w:tcBorders>
            <w:shd w:val="clear" w:color="auto" w:fill="auto"/>
            <w:noWrap/>
            <w:vAlign w:val="center"/>
            <w:hideMark/>
          </w:tcPr>
          <w:p w14:paraId="7E288E21"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C28B2">
              <w:rPr>
                <w:rFonts w:ascii="Arial" w:hAnsi="Arial" w:cs="Arial"/>
                <w:color w:val="000000"/>
                <w:sz w:val="18"/>
                <w:szCs w:val="18"/>
                <w:lang w:val="fr-FR" w:eastAsia="fr-FR"/>
              </w:rPr>
              <w:t>114%</w:t>
            </w:r>
          </w:p>
        </w:tc>
        <w:tc>
          <w:tcPr>
            <w:tcW w:w="1060" w:type="dxa"/>
            <w:tcBorders>
              <w:top w:val="nil"/>
              <w:left w:val="nil"/>
              <w:bottom w:val="nil"/>
              <w:right w:val="single" w:sz="8" w:space="0" w:color="auto"/>
            </w:tcBorders>
            <w:shd w:val="clear" w:color="auto" w:fill="auto"/>
            <w:noWrap/>
            <w:vAlign w:val="center"/>
            <w:hideMark/>
          </w:tcPr>
          <w:p w14:paraId="74E17D79"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C28B2">
              <w:rPr>
                <w:rFonts w:ascii="Arial" w:hAnsi="Arial" w:cs="Arial"/>
                <w:color w:val="000000"/>
                <w:sz w:val="18"/>
                <w:szCs w:val="18"/>
                <w:lang w:val="fr-FR" w:eastAsia="fr-FR"/>
              </w:rPr>
              <w:t>105%</w:t>
            </w:r>
          </w:p>
        </w:tc>
      </w:tr>
      <w:tr w:rsidR="00EC28B2" w:rsidRPr="00EC28B2" w14:paraId="6204264E" w14:textId="77777777" w:rsidTr="00EC28B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AE820F"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C28B2">
              <w:rPr>
                <w:rFonts w:ascii="Arial" w:hAnsi="Arial" w:cs="Arial"/>
                <w:color w:val="000000"/>
                <w:sz w:val="18"/>
                <w:szCs w:val="18"/>
                <w:lang w:val="fr-FR" w:eastAsia="fr-FR"/>
              </w:rPr>
              <w:t>Class E</w:t>
            </w:r>
          </w:p>
        </w:tc>
        <w:tc>
          <w:tcPr>
            <w:tcW w:w="1060" w:type="dxa"/>
            <w:tcBorders>
              <w:top w:val="nil"/>
              <w:left w:val="nil"/>
              <w:bottom w:val="nil"/>
              <w:right w:val="nil"/>
            </w:tcBorders>
            <w:shd w:val="clear" w:color="auto" w:fill="auto"/>
            <w:noWrap/>
            <w:vAlign w:val="center"/>
            <w:hideMark/>
          </w:tcPr>
          <w:p w14:paraId="05C03F70"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C28B2">
              <w:rPr>
                <w:rFonts w:ascii="Arial" w:hAnsi="Arial" w:cs="Arial"/>
                <w:color w:val="000000"/>
                <w:sz w:val="18"/>
                <w:szCs w:val="18"/>
                <w:lang w:val="fr-FR" w:eastAsia="fr-FR"/>
              </w:rPr>
              <w:t>-0.85%</w:t>
            </w:r>
          </w:p>
        </w:tc>
        <w:tc>
          <w:tcPr>
            <w:tcW w:w="1060" w:type="dxa"/>
            <w:tcBorders>
              <w:top w:val="nil"/>
              <w:left w:val="nil"/>
              <w:bottom w:val="nil"/>
              <w:right w:val="nil"/>
            </w:tcBorders>
            <w:shd w:val="clear" w:color="auto" w:fill="auto"/>
            <w:noWrap/>
            <w:vAlign w:val="center"/>
            <w:hideMark/>
          </w:tcPr>
          <w:p w14:paraId="3B4E51D4"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C28B2">
              <w:rPr>
                <w:rFonts w:ascii="Arial" w:hAnsi="Arial" w:cs="Arial"/>
                <w:color w:val="000000"/>
                <w:sz w:val="18"/>
                <w:szCs w:val="18"/>
                <w:lang w:val="fr-FR" w:eastAsia="fr-FR"/>
              </w:rPr>
              <w:t>-0.98%</w:t>
            </w:r>
          </w:p>
        </w:tc>
        <w:tc>
          <w:tcPr>
            <w:tcW w:w="1181" w:type="dxa"/>
            <w:tcBorders>
              <w:top w:val="nil"/>
              <w:left w:val="nil"/>
              <w:bottom w:val="nil"/>
              <w:right w:val="single" w:sz="4" w:space="0" w:color="auto"/>
            </w:tcBorders>
            <w:shd w:val="clear" w:color="auto" w:fill="auto"/>
            <w:noWrap/>
            <w:vAlign w:val="center"/>
            <w:hideMark/>
          </w:tcPr>
          <w:p w14:paraId="46A5F6F3"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C28B2">
              <w:rPr>
                <w:rFonts w:ascii="Arial" w:hAnsi="Arial" w:cs="Arial"/>
                <w:color w:val="000000"/>
                <w:sz w:val="18"/>
                <w:szCs w:val="18"/>
                <w:lang w:val="fr-FR" w:eastAsia="fr-FR"/>
              </w:rPr>
              <w:t>-1.81%</w:t>
            </w:r>
          </w:p>
        </w:tc>
        <w:tc>
          <w:tcPr>
            <w:tcW w:w="1060" w:type="dxa"/>
            <w:tcBorders>
              <w:top w:val="nil"/>
              <w:left w:val="nil"/>
              <w:bottom w:val="nil"/>
              <w:right w:val="nil"/>
            </w:tcBorders>
            <w:shd w:val="clear" w:color="auto" w:fill="auto"/>
            <w:noWrap/>
            <w:vAlign w:val="center"/>
            <w:hideMark/>
          </w:tcPr>
          <w:p w14:paraId="67FFA64F"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C28B2">
              <w:rPr>
                <w:rFonts w:ascii="Arial" w:hAnsi="Arial" w:cs="Arial"/>
                <w:color w:val="000000"/>
                <w:sz w:val="18"/>
                <w:szCs w:val="18"/>
                <w:lang w:val="fr-FR" w:eastAsia="fr-FR"/>
              </w:rPr>
              <w:t>109%</w:t>
            </w:r>
          </w:p>
        </w:tc>
        <w:tc>
          <w:tcPr>
            <w:tcW w:w="1060" w:type="dxa"/>
            <w:tcBorders>
              <w:top w:val="nil"/>
              <w:left w:val="nil"/>
              <w:bottom w:val="nil"/>
              <w:right w:val="single" w:sz="8" w:space="0" w:color="auto"/>
            </w:tcBorders>
            <w:shd w:val="clear" w:color="auto" w:fill="auto"/>
            <w:noWrap/>
            <w:vAlign w:val="center"/>
            <w:hideMark/>
          </w:tcPr>
          <w:p w14:paraId="559C2354"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C28B2">
              <w:rPr>
                <w:rFonts w:ascii="Arial" w:hAnsi="Arial" w:cs="Arial"/>
                <w:color w:val="000000"/>
                <w:sz w:val="18"/>
                <w:szCs w:val="18"/>
                <w:lang w:val="fr-FR" w:eastAsia="fr-FR"/>
              </w:rPr>
              <w:t>102%</w:t>
            </w:r>
          </w:p>
        </w:tc>
      </w:tr>
      <w:tr w:rsidR="00EC28B2" w:rsidRPr="00EC28B2" w14:paraId="58A9A85A" w14:textId="77777777" w:rsidTr="00EC28B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3E618A"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EC28B2">
              <w:rPr>
                <w:rFonts w:ascii="Arial" w:hAnsi="Arial" w:cs="Arial"/>
                <w:b/>
                <w:bCs/>
                <w:color w:val="000000"/>
                <w:sz w:val="18"/>
                <w:szCs w:val="18"/>
                <w:lang w:val="fr-FR" w:eastAsia="fr-FR"/>
              </w:rPr>
              <w:t xml:space="preserve">Overall </w:t>
            </w:r>
          </w:p>
        </w:tc>
        <w:tc>
          <w:tcPr>
            <w:tcW w:w="1060" w:type="dxa"/>
            <w:tcBorders>
              <w:top w:val="single" w:sz="8" w:space="0" w:color="auto"/>
              <w:left w:val="nil"/>
              <w:bottom w:val="nil"/>
              <w:right w:val="nil"/>
            </w:tcBorders>
            <w:shd w:val="clear" w:color="auto" w:fill="auto"/>
            <w:noWrap/>
            <w:vAlign w:val="center"/>
            <w:hideMark/>
          </w:tcPr>
          <w:p w14:paraId="7830D7DA"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C28B2">
              <w:rPr>
                <w:rFonts w:ascii="Arial" w:hAnsi="Arial" w:cs="Arial"/>
                <w:color w:val="000000"/>
                <w:sz w:val="18"/>
                <w:szCs w:val="18"/>
                <w:lang w:val="fr-FR" w:eastAsia="fr-FR"/>
              </w:rPr>
              <w:t>-0.82%</w:t>
            </w:r>
          </w:p>
        </w:tc>
        <w:tc>
          <w:tcPr>
            <w:tcW w:w="1060" w:type="dxa"/>
            <w:tcBorders>
              <w:top w:val="single" w:sz="8" w:space="0" w:color="auto"/>
              <w:left w:val="nil"/>
              <w:bottom w:val="nil"/>
              <w:right w:val="nil"/>
            </w:tcBorders>
            <w:shd w:val="clear" w:color="auto" w:fill="auto"/>
            <w:noWrap/>
            <w:vAlign w:val="center"/>
            <w:hideMark/>
          </w:tcPr>
          <w:p w14:paraId="04D5B58B"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C28B2">
              <w:rPr>
                <w:rFonts w:ascii="Arial" w:hAnsi="Arial" w:cs="Arial"/>
                <w:color w:val="000000"/>
                <w:sz w:val="18"/>
                <w:szCs w:val="18"/>
                <w:lang w:val="fr-FR" w:eastAsia="fr-FR"/>
              </w:rPr>
              <w:t>-0.29%</w:t>
            </w:r>
          </w:p>
        </w:tc>
        <w:tc>
          <w:tcPr>
            <w:tcW w:w="1181" w:type="dxa"/>
            <w:tcBorders>
              <w:top w:val="single" w:sz="8" w:space="0" w:color="auto"/>
              <w:left w:val="nil"/>
              <w:bottom w:val="nil"/>
              <w:right w:val="single" w:sz="4" w:space="0" w:color="auto"/>
            </w:tcBorders>
            <w:shd w:val="clear" w:color="auto" w:fill="auto"/>
            <w:noWrap/>
            <w:vAlign w:val="center"/>
            <w:hideMark/>
          </w:tcPr>
          <w:p w14:paraId="15A245FA"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C28B2">
              <w:rPr>
                <w:rFonts w:ascii="Arial" w:hAnsi="Arial" w:cs="Arial"/>
                <w:color w:val="000000"/>
                <w:sz w:val="18"/>
                <w:szCs w:val="18"/>
                <w:lang w:val="fr-FR" w:eastAsia="fr-FR"/>
              </w:rPr>
              <w:t>-0.72%</w:t>
            </w:r>
          </w:p>
        </w:tc>
        <w:tc>
          <w:tcPr>
            <w:tcW w:w="1060" w:type="dxa"/>
            <w:tcBorders>
              <w:top w:val="single" w:sz="8" w:space="0" w:color="auto"/>
              <w:left w:val="nil"/>
              <w:bottom w:val="nil"/>
              <w:right w:val="nil"/>
            </w:tcBorders>
            <w:shd w:val="clear" w:color="auto" w:fill="auto"/>
            <w:noWrap/>
            <w:vAlign w:val="center"/>
            <w:hideMark/>
          </w:tcPr>
          <w:p w14:paraId="0D634F4E"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C28B2">
              <w:rPr>
                <w:rFonts w:ascii="Arial" w:hAnsi="Arial" w:cs="Arial"/>
                <w:color w:val="000000"/>
                <w:sz w:val="18"/>
                <w:szCs w:val="18"/>
                <w:lang w:val="fr-FR" w:eastAsia="fr-FR"/>
              </w:rPr>
              <w:t>114%</w:t>
            </w:r>
          </w:p>
        </w:tc>
        <w:tc>
          <w:tcPr>
            <w:tcW w:w="1060" w:type="dxa"/>
            <w:tcBorders>
              <w:top w:val="single" w:sz="8" w:space="0" w:color="auto"/>
              <w:left w:val="nil"/>
              <w:bottom w:val="nil"/>
              <w:right w:val="single" w:sz="8" w:space="0" w:color="auto"/>
            </w:tcBorders>
            <w:shd w:val="clear" w:color="auto" w:fill="auto"/>
            <w:noWrap/>
            <w:vAlign w:val="center"/>
            <w:hideMark/>
          </w:tcPr>
          <w:p w14:paraId="35E621C1"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C28B2">
              <w:rPr>
                <w:rFonts w:ascii="Arial" w:hAnsi="Arial" w:cs="Arial"/>
                <w:color w:val="000000"/>
                <w:sz w:val="18"/>
                <w:szCs w:val="18"/>
                <w:lang w:val="fr-FR" w:eastAsia="fr-FR"/>
              </w:rPr>
              <w:t>101%</w:t>
            </w:r>
          </w:p>
        </w:tc>
      </w:tr>
      <w:tr w:rsidR="00EC28B2" w:rsidRPr="00EC28B2" w14:paraId="078B5A76" w14:textId="77777777" w:rsidTr="00EC28B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FAC6A38"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C28B2">
              <w:rPr>
                <w:rFonts w:ascii="Arial" w:hAnsi="Arial" w:cs="Arial"/>
                <w:color w:val="000000"/>
                <w:sz w:val="18"/>
                <w:szCs w:val="18"/>
                <w:lang w:val="fr-FR" w:eastAsia="fr-FR"/>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473EB45"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C28B2">
              <w:rPr>
                <w:rFonts w:ascii="Arial" w:hAnsi="Arial" w:cs="Arial"/>
                <w:color w:val="000000"/>
                <w:sz w:val="18"/>
                <w:szCs w:val="18"/>
                <w:lang w:val="fr-FR" w:eastAsia="fr-FR"/>
              </w:rPr>
              <w:t>-0.61%</w:t>
            </w:r>
          </w:p>
        </w:tc>
        <w:tc>
          <w:tcPr>
            <w:tcW w:w="1060" w:type="dxa"/>
            <w:tcBorders>
              <w:top w:val="single" w:sz="8" w:space="0" w:color="auto"/>
              <w:left w:val="nil"/>
              <w:bottom w:val="nil"/>
              <w:right w:val="nil"/>
            </w:tcBorders>
            <w:shd w:val="clear" w:color="auto" w:fill="auto"/>
            <w:noWrap/>
            <w:vAlign w:val="center"/>
            <w:hideMark/>
          </w:tcPr>
          <w:p w14:paraId="3E157289"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C28B2">
              <w:rPr>
                <w:rFonts w:ascii="Arial" w:hAnsi="Arial" w:cs="Arial"/>
                <w:color w:val="000000"/>
                <w:sz w:val="18"/>
                <w:szCs w:val="18"/>
                <w:lang w:val="fr-FR" w:eastAsia="fr-FR"/>
              </w:rPr>
              <w:t>-0.37%</w:t>
            </w:r>
          </w:p>
        </w:tc>
        <w:tc>
          <w:tcPr>
            <w:tcW w:w="1181" w:type="dxa"/>
            <w:tcBorders>
              <w:top w:val="single" w:sz="8" w:space="0" w:color="auto"/>
              <w:left w:val="nil"/>
              <w:bottom w:val="nil"/>
              <w:right w:val="single" w:sz="4" w:space="0" w:color="auto"/>
            </w:tcBorders>
            <w:shd w:val="clear" w:color="auto" w:fill="auto"/>
            <w:noWrap/>
            <w:vAlign w:val="center"/>
            <w:hideMark/>
          </w:tcPr>
          <w:p w14:paraId="57D7BBA6"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C28B2">
              <w:rPr>
                <w:rFonts w:ascii="Arial" w:hAnsi="Arial" w:cs="Arial"/>
                <w:color w:val="000000"/>
                <w:sz w:val="18"/>
                <w:szCs w:val="18"/>
                <w:lang w:val="fr-FR" w:eastAsia="fr-FR"/>
              </w:rPr>
              <w:t>-1.01%</w:t>
            </w:r>
          </w:p>
        </w:tc>
        <w:tc>
          <w:tcPr>
            <w:tcW w:w="1060" w:type="dxa"/>
            <w:tcBorders>
              <w:top w:val="single" w:sz="8" w:space="0" w:color="auto"/>
              <w:left w:val="nil"/>
              <w:bottom w:val="nil"/>
              <w:right w:val="nil"/>
            </w:tcBorders>
            <w:shd w:val="clear" w:color="auto" w:fill="auto"/>
            <w:noWrap/>
            <w:vAlign w:val="center"/>
            <w:hideMark/>
          </w:tcPr>
          <w:p w14:paraId="0A46ACE5"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C28B2">
              <w:rPr>
                <w:rFonts w:ascii="Arial" w:hAnsi="Arial" w:cs="Arial"/>
                <w:color w:val="000000"/>
                <w:sz w:val="18"/>
                <w:szCs w:val="18"/>
                <w:lang w:val="fr-FR" w:eastAsia="fr-FR"/>
              </w:rPr>
              <w:t>115%</w:t>
            </w:r>
          </w:p>
        </w:tc>
        <w:tc>
          <w:tcPr>
            <w:tcW w:w="1060" w:type="dxa"/>
            <w:tcBorders>
              <w:top w:val="single" w:sz="8" w:space="0" w:color="auto"/>
              <w:left w:val="nil"/>
              <w:bottom w:val="nil"/>
              <w:right w:val="single" w:sz="8" w:space="0" w:color="auto"/>
            </w:tcBorders>
            <w:shd w:val="clear" w:color="auto" w:fill="auto"/>
            <w:noWrap/>
            <w:vAlign w:val="center"/>
            <w:hideMark/>
          </w:tcPr>
          <w:p w14:paraId="54637BA5"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C28B2">
              <w:rPr>
                <w:rFonts w:ascii="Arial" w:hAnsi="Arial" w:cs="Arial"/>
                <w:color w:val="000000"/>
                <w:sz w:val="18"/>
                <w:szCs w:val="18"/>
                <w:lang w:val="fr-FR" w:eastAsia="fr-FR"/>
              </w:rPr>
              <w:t>106%</w:t>
            </w:r>
          </w:p>
        </w:tc>
      </w:tr>
      <w:tr w:rsidR="00EC28B2" w:rsidRPr="00EC28B2" w14:paraId="05579342" w14:textId="77777777" w:rsidTr="00EC28B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81A1B77"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C28B2">
              <w:rPr>
                <w:rFonts w:ascii="Arial" w:hAnsi="Arial" w:cs="Arial"/>
                <w:color w:val="000000"/>
                <w:sz w:val="18"/>
                <w:szCs w:val="18"/>
                <w:lang w:val="fr-FR" w:eastAsia="fr-FR"/>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C9C595A"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C28B2">
              <w:rPr>
                <w:rFonts w:ascii="Arial" w:hAnsi="Arial" w:cs="Arial"/>
                <w:color w:val="000000"/>
                <w:sz w:val="18"/>
                <w:szCs w:val="18"/>
                <w:lang w:val="fr-FR" w:eastAsia="fr-FR"/>
              </w:rPr>
              <w:t>-0.84%</w:t>
            </w:r>
          </w:p>
        </w:tc>
        <w:tc>
          <w:tcPr>
            <w:tcW w:w="1060" w:type="dxa"/>
            <w:tcBorders>
              <w:top w:val="nil"/>
              <w:left w:val="nil"/>
              <w:bottom w:val="single" w:sz="8" w:space="0" w:color="auto"/>
              <w:right w:val="nil"/>
            </w:tcBorders>
            <w:shd w:val="clear" w:color="auto" w:fill="auto"/>
            <w:noWrap/>
            <w:vAlign w:val="center"/>
            <w:hideMark/>
          </w:tcPr>
          <w:p w14:paraId="451CC995"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C28B2">
              <w:rPr>
                <w:rFonts w:ascii="Arial" w:hAnsi="Arial" w:cs="Arial"/>
                <w:color w:val="000000"/>
                <w:sz w:val="18"/>
                <w:szCs w:val="18"/>
                <w:lang w:val="fr-FR" w:eastAsia="fr-FR"/>
              </w:rPr>
              <w:t>-0.07%</w:t>
            </w:r>
          </w:p>
        </w:tc>
        <w:tc>
          <w:tcPr>
            <w:tcW w:w="1181" w:type="dxa"/>
            <w:tcBorders>
              <w:top w:val="nil"/>
              <w:left w:val="nil"/>
              <w:bottom w:val="single" w:sz="8" w:space="0" w:color="auto"/>
              <w:right w:val="single" w:sz="4" w:space="0" w:color="auto"/>
            </w:tcBorders>
            <w:shd w:val="clear" w:color="auto" w:fill="auto"/>
            <w:noWrap/>
            <w:vAlign w:val="center"/>
            <w:hideMark/>
          </w:tcPr>
          <w:p w14:paraId="7C6E2494"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C28B2">
              <w:rPr>
                <w:rFonts w:ascii="Arial" w:hAnsi="Arial" w:cs="Arial"/>
                <w:color w:val="000000"/>
                <w:sz w:val="18"/>
                <w:szCs w:val="18"/>
                <w:lang w:val="fr-FR" w:eastAsia="fr-FR"/>
              </w:rPr>
              <w:t>-0.30%</w:t>
            </w:r>
          </w:p>
        </w:tc>
        <w:tc>
          <w:tcPr>
            <w:tcW w:w="1060" w:type="dxa"/>
            <w:tcBorders>
              <w:top w:val="nil"/>
              <w:left w:val="nil"/>
              <w:bottom w:val="single" w:sz="8" w:space="0" w:color="auto"/>
              <w:right w:val="nil"/>
            </w:tcBorders>
            <w:shd w:val="clear" w:color="auto" w:fill="auto"/>
            <w:noWrap/>
            <w:vAlign w:val="center"/>
            <w:hideMark/>
          </w:tcPr>
          <w:p w14:paraId="287E3E99"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C28B2">
              <w:rPr>
                <w:rFonts w:ascii="Arial" w:hAnsi="Arial" w:cs="Arial"/>
                <w:color w:val="000000"/>
                <w:sz w:val="18"/>
                <w:szCs w:val="18"/>
                <w:lang w:val="fr-FR" w:eastAsia="fr-FR"/>
              </w:rPr>
              <w:t>110%</w:t>
            </w:r>
          </w:p>
        </w:tc>
        <w:tc>
          <w:tcPr>
            <w:tcW w:w="1060" w:type="dxa"/>
            <w:tcBorders>
              <w:top w:val="nil"/>
              <w:left w:val="nil"/>
              <w:bottom w:val="single" w:sz="8" w:space="0" w:color="auto"/>
              <w:right w:val="single" w:sz="8" w:space="0" w:color="auto"/>
            </w:tcBorders>
            <w:shd w:val="clear" w:color="auto" w:fill="auto"/>
            <w:noWrap/>
            <w:vAlign w:val="center"/>
            <w:hideMark/>
          </w:tcPr>
          <w:p w14:paraId="0E343EBD" w14:textId="77777777" w:rsidR="00EC28B2" w:rsidRPr="00EC28B2" w:rsidRDefault="00EC28B2" w:rsidP="00EC2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C28B2">
              <w:rPr>
                <w:rFonts w:ascii="Arial" w:hAnsi="Arial" w:cs="Arial"/>
                <w:color w:val="000000"/>
                <w:sz w:val="18"/>
                <w:szCs w:val="18"/>
                <w:lang w:val="fr-FR" w:eastAsia="fr-FR"/>
              </w:rPr>
              <w:t>100%</w:t>
            </w:r>
          </w:p>
        </w:tc>
      </w:tr>
    </w:tbl>
    <w:p w14:paraId="0095EC46" w14:textId="77777777" w:rsidR="000254F6" w:rsidRPr="000254F6" w:rsidRDefault="000254F6" w:rsidP="000254F6">
      <w:pPr>
        <w:rPr>
          <w:lang w:val="en-CA"/>
        </w:rPr>
      </w:pPr>
      <w:bookmarkStart w:id="0" w:name="_GoBack"/>
      <w:bookmarkEnd w:id="0"/>
    </w:p>
    <w:p w14:paraId="6AE807E6" w14:textId="77777777" w:rsidR="001A6A42" w:rsidRDefault="001A6A42" w:rsidP="001A6A42">
      <w:pPr>
        <w:pStyle w:val="Titre1"/>
        <w:rPr>
          <w:rFonts w:eastAsia="SimSun"/>
          <w:lang w:val="en-CA"/>
        </w:rPr>
      </w:pPr>
      <w:r>
        <w:rPr>
          <w:rFonts w:eastAsia="SimSun"/>
          <w:lang w:val="en-CA"/>
        </w:rPr>
        <w:t>Patent rights declaration</w:t>
      </w:r>
    </w:p>
    <w:p w14:paraId="4D5CB18D" w14:textId="77777777" w:rsidR="00AE3D92" w:rsidRPr="005B217D" w:rsidRDefault="00AE3D92" w:rsidP="00AE3D92">
      <w:pPr>
        <w:rPr>
          <w:szCs w:val="22"/>
          <w:lang w:val="en-CA"/>
        </w:rPr>
      </w:pPr>
      <w:r>
        <w:rPr>
          <w:b/>
          <w:szCs w:val="22"/>
          <w:lang w:val="en-CA"/>
        </w:rPr>
        <w:t xml:space="preserve">Orange and b&lt;&gt;com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8144B21" w14:textId="77777777" w:rsidR="00AE3D92" w:rsidRPr="005B217D" w:rsidRDefault="00AE3D92" w:rsidP="00AE3D92">
      <w:pPr>
        <w:rPr>
          <w:szCs w:val="22"/>
          <w:lang w:val="en-CA"/>
        </w:rPr>
      </w:pPr>
    </w:p>
    <w:p w14:paraId="32EAF635" w14:textId="472ABB35" w:rsidR="007F1F8B" w:rsidRPr="001A6A42" w:rsidRDefault="007F1F8B" w:rsidP="009234A5">
      <w:pPr>
        <w:rPr>
          <w:rFonts w:eastAsia="SimSun"/>
          <w:szCs w:val="22"/>
          <w:lang w:val="en-CA"/>
        </w:rPr>
      </w:pPr>
    </w:p>
    <w:sectPr w:rsidR="007F1F8B" w:rsidRPr="001A6A42"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556A8D" w14:textId="77777777" w:rsidR="000F321E" w:rsidRDefault="000F321E">
      <w:r>
        <w:separator/>
      </w:r>
    </w:p>
  </w:endnote>
  <w:endnote w:type="continuationSeparator" w:id="0">
    <w:p w14:paraId="2C80318F" w14:textId="77777777" w:rsidR="000F321E" w:rsidRDefault="000F3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1A2BAF8" w:rsidR="000B4FF9" w:rsidRPr="00C00DDE" w:rsidRDefault="000B4FF9"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FD1309">
      <w:rPr>
        <w:rStyle w:val="Numrodepage"/>
        <w:noProof/>
      </w:rPr>
      <w:t>2</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EC28B2">
      <w:rPr>
        <w:rStyle w:val="Numrodepage"/>
        <w:noProof/>
      </w:rPr>
      <w:t>2019-03-18</w:t>
    </w:r>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AEA4F9" w14:textId="77777777" w:rsidR="000F321E" w:rsidRDefault="000F321E">
      <w:r>
        <w:separator/>
      </w:r>
    </w:p>
  </w:footnote>
  <w:footnote w:type="continuationSeparator" w:id="0">
    <w:p w14:paraId="7E646AED" w14:textId="77777777" w:rsidR="000F321E" w:rsidRDefault="000F32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3"/>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54F6"/>
    <w:rsid w:val="00025D8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0F321E"/>
    <w:rsid w:val="00102F3D"/>
    <w:rsid w:val="00124E38"/>
    <w:rsid w:val="0012580B"/>
    <w:rsid w:val="00131F90"/>
    <w:rsid w:val="0013458C"/>
    <w:rsid w:val="0013526E"/>
    <w:rsid w:val="00146152"/>
    <w:rsid w:val="00155526"/>
    <w:rsid w:val="0016127D"/>
    <w:rsid w:val="00171371"/>
    <w:rsid w:val="00175A24"/>
    <w:rsid w:val="00187E58"/>
    <w:rsid w:val="001A297E"/>
    <w:rsid w:val="001A368E"/>
    <w:rsid w:val="001A6A42"/>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6D0E"/>
    <w:rsid w:val="002375C1"/>
    <w:rsid w:val="00250AFC"/>
    <w:rsid w:val="00263398"/>
    <w:rsid w:val="00263B99"/>
    <w:rsid w:val="00266F06"/>
    <w:rsid w:val="00275BCF"/>
    <w:rsid w:val="00291E36"/>
    <w:rsid w:val="00292257"/>
    <w:rsid w:val="002A54E0"/>
    <w:rsid w:val="002B1595"/>
    <w:rsid w:val="002B191D"/>
    <w:rsid w:val="002B2E83"/>
    <w:rsid w:val="002D0AF6"/>
    <w:rsid w:val="002F164D"/>
    <w:rsid w:val="002F335D"/>
    <w:rsid w:val="003021BC"/>
    <w:rsid w:val="00306206"/>
    <w:rsid w:val="00317D85"/>
    <w:rsid w:val="00327C56"/>
    <w:rsid w:val="003315A1"/>
    <w:rsid w:val="003373EC"/>
    <w:rsid w:val="00342FF4"/>
    <w:rsid w:val="00344E5A"/>
    <w:rsid w:val="00346148"/>
    <w:rsid w:val="003669EA"/>
    <w:rsid w:val="003706CC"/>
    <w:rsid w:val="00377710"/>
    <w:rsid w:val="00391AED"/>
    <w:rsid w:val="003A2D8E"/>
    <w:rsid w:val="003A7CE6"/>
    <w:rsid w:val="003B66B6"/>
    <w:rsid w:val="003C20E4"/>
    <w:rsid w:val="003C3A6F"/>
    <w:rsid w:val="003D6342"/>
    <w:rsid w:val="003E6F90"/>
    <w:rsid w:val="003E73ED"/>
    <w:rsid w:val="003F31A1"/>
    <w:rsid w:val="003F5D0F"/>
    <w:rsid w:val="00403A26"/>
    <w:rsid w:val="00407D4F"/>
    <w:rsid w:val="00414101"/>
    <w:rsid w:val="004219CF"/>
    <w:rsid w:val="004234F0"/>
    <w:rsid w:val="00433DDB"/>
    <w:rsid w:val="00435A29"/>
    <w:rsid w:val="00436ADD"/>
    <w:rsid w:val="00437619"/>
    <w:rsid w:val="00465A1E"/>
    <w:rsid w:val="00472D8D"/>
    <w:rsid w:val="00480995"/>
    <w:rsid w:val="0049445A"/>
    <w:rsid w:val="004A2A63"/>
    <w:rsid w:val="004B210C"/>
    <w:rsid w:val="004B4100"/>
    <w:rsid w:val="004C67D2"/>
    <w:rsid w:val="004D405F"/>
    <w:rsid w:val="004E4F4F"/>
    <w:rsid w:val="004E6789"/>
    <w:rsid w:val="004F61E3"/>
    <w:rsid w:val="00502E10"/>
    <w:rsid w:val="0051015C"/>
    <w:rsid w:val="00516CF1"/>
    <w:rsid w:val="00522B19"/>
    <w:rsid w:val="005313E7"/>
    <w:rsid w:val="00531AE9"/>
    <w:rsid w:val="00550A66"/>
    <w:rsid w:val="00567EC7"/>
    <w:rsid w:val="00570013"/>
    <w:rsid w:val="005753EC"/>
    <w:rsid w:val="005801A2"/>
    <w:rsid w:val="005952A5"/>
    <w:rsid w:val="005A33A1"/>
    <w:rsid w:val="005B217D"/>
    <w:rsid w:val="005C385F"/>
    <w:rsid w:val="005E1AC6"/>
    <w:rsid w:val="005F5AFA"/>
    <w:rsid w:val="005F6F1B"/>
    <w:rsid w:val="00605D0A"/>
    <w:rsid w:val="00615995"/>
    <w:rsid w:val="00616155"/>
    <w:rsid w:val="00624B33"/>
    <w:rsid w:val="0063041A"/>
    <w:rsid w:val="00630AA2"/>
    <w:rsid w:val="00646707"/>
    <w:rsid w:val="00657F7E"/>
    <w:rsid w:val="00662E58"/>
    <w:rsid w:val="006637F2"/>
    <w:rsid w:val="006642A5"/>
    <w:rsid w:val="00664DCF"/>
    <w:rsid w:val="006B3DC0"/>
    <w:rsid w:val="006B5B24"/>
    <w:rsid w:val="006C5D39"/>
    <w:rsid w:val="006D1E23"/>
    <w:rsid w:val="006D6D9B"/>
    <w:rsid w:val="006E2810"/>
    <w:rsid w:val="006E41E7"/>
    <w:rsid w:val="006E5417"/>
    <w:rsid w:val="006F0794"/>
    <w:rsid w:val="006F7528"/>
    <w:rsid w:val="007023DE"/>
    <w:rsid w:val="00712F60"/>
    <w:rsid w:val="00720E3B"/>
    <w:rsid w:val="0074393F"/>
    <w:rsid w:val="00745F6B"/>
    <w:rsid w:val="0075479D"/>
    <w:rsid w:val="0075585E"/>
    <w:rsid w:val="007677D9"/>
    <w:rsid w:val="00770571"/>
    <w:rsid w:val="007768FF"/>
    <w:rsid w:val="007824D3"/>
    <w:rsid w:val="00796120"/>
    <w:rsid w:val="00796EE3"/>
    <w:rsid w:val="007A7D29"/>
    <w:rsid w:val="007B4AB8"/>
    <w:rsid w:val="007D1181"/>
    <w:rsid w:val="007E01A3"/>
    <w:rsid w:val="007F1F8B"/>
    <w:rsid w:val="007F4C3C"/>
    <w:rsid w:val="007F5968"/>
    <w:rsid w:val="007F67A1"/>
    <w:rsid w:val="00811C05"/>
    <w:rsid w:val="008206C8"/>
    <w:rsid w:val="0085466A"/>
    <w:rsid w:val="0086387C"/>
    <w:rsid w:val="00874A6C"/>
    <w:rsid w:val="00876C65"/>
    <w:rsid w:val="008A4B4C"/>
    <w:rsid w:val="008A5D05"/>
    <w:rsid w:val="008C239F"/>
    <w:rsid w:val="008E480C"/>
    <w:rsid w:val="0090286F"/>
    <w:rsid w:val="00903722"/>
    <w:rsid w:val="00907757"/>
    <w:rsid w:val="00912492"/>
    <w:rsid w:val="009212B0"/>
    <w:rsid w:val="00921FA1"/>
    <w:rsid w:val="009234A5"/>
    <w:rsid w:val="00933453"/>
    <w:rsid w:val="009336F7"/>
    <w:rsid w:val="0093636C"/>
    <w:rsid w:val="009374A7"/>
    <w:rsid w:val="009459D9"/>
    <w:rsid w:val="00955F6D"/>
    <w:rsid w:val="00967A11"/>
    <w:rsid w:val="00974EA7"/>
    <w:rsid w:val="00977C16"/>
    <w:rsid w:val="0098551D"/>
    <w:rsid w:val="0099518F"/>
    <w:rsid w:val="009978F9"/>
    <w:rsid w:val="009A523D"/>
    <w:rsid w:val="009B02A1"/>
    <w:rsid w:val="009B3361"/>
    <w:rsid w:val="009B4D9E"/>
    <w:rsid w:val="009D7CE6"/>
    <w:rsid w:val="009F496B"/>
    <w:rsid w:val="00A01439"/>
    <w:rsid w:val="00A02E61"/>
    <w:rsid w:val="00A05CFF"/>
    <w:rsid w:val="00A068D2"/>
    <w:rsid w:val="00A13048"/>
    <w:rsid w:val="00A14D98"/>
    <w:rsid w:val="00A46843"/>
    <w:rsid w:val="00A56B97"/>
    <w:rsid w:val="00A57166"/>
    <w:rsid w:val="00A6093D"/>
    <w:rsid w:val="00A621AC"/>
    <w:rsid w:val="00A767DC"/>
    <w:rsid w:val="00A76A6D"/>
    <w:rsid w:val="00A83253"/>
    <w:rsid w:val="00A93816"/>
    <w:rsid w:val="00A93DBD"/>
    <w:rsid w:val="00AA6E84"/>
    <w:rsid w:val="00AB01CF"/>
    <w:rsid w:val="00AB1A1C"/>
    <w:rsid w:val="00AD05A8"/>
    <w:rsid w:val="00AD2E77"/>
    <w:rsid w:val="00AD7DAC"/>
    <w:rsid w:val="00AE341B"/>
    <w:rsid w:val="00AE3D92"/>
    <w:rsid w:val="00B006FE"/>
    <w:rsid w:val="00B01905"/>
    <w:rsid w:val="00B07CA7"/>
    <w:rsid w:val="00B1067E"/>
    <w:rsid w:val="00B1279A"/>
    <w:rsid w:val="00B4194A"/>
    <w:rsid w:val="00B437E8"/>
    <w:rsid w:val="00B5222E"/>
    <w:rsid w:val="00B53179"/>
    <w:rsid w:val="00B57A23"/>
    <w:rsid w:val="00B57FA9"/>
    <w:rsid w:val="00B600CD"/>
    <w:rsid w:val="00B61C96"/>
    <w:rsid w:val="00B73A2A"/>
    <w:rsid w:val="00B75A51"/>
    <w:rsid w:val="00B827C6"/>
    <w:rsid w:val="00B94B06"/>
    <w:rsid w:val="00B94C28"/>
    <w:rsid w:val="00BA789A"/>
    <w:rsid w:val="00BC10BA"/>
    <w:rsid w:val="00BC5AFD"/>
    <w:rsid w:val="00BC63F8"/>
    <w:rsid w:val="00BE725E"/>
    <w:rsid w:val="00BF38FF"/>
    <w:rsid w:val="00BF7275"/>
    <w:rsid w:val="00C00DDE"/>
    <w:rsid w:val="00C04F43"/>
    <w:rsid w:val="00C0609D"/>
    <w:rsid w:val="00C06663"/>
    <w:rsid w:val="00C115AB"/>
    <w:rsid w:val="00C13B82"/>
    <w:rsid w:val="00C26CCB"/>
    <w:rsid w:val="00C27311"/>
    <w:rsid w:val="00C30249"/>
    <w:rsid w:val="00C3723B"/>
    <w:rsid w:val="00C42466"/>
    <w:rsid w:val="00C5169F"/>
    <w:rsid w:val="00C5476C"/>
    <w:rsid w:val="00C606C9"/>
    <w:rsid w:val="00C6451B"/>
    <w:rsid w:val="00C7047B"/>
    <w:rsid w:val="00C80288"/>
    <w:rsid w:val="00C84003"/>
    <w:rsid w:val="00C90650"/>
    <w:rsid w:val="00C97D78"/>
    <w:rsid w:val="00CC2AAE"/>
    <w:rsid w:val="00CC5A42"/>
    <w:rsid w:val="00CD0EAB"/>
    <w:rsid w:val="00CE12E9"/>
    <w:rsid w:val="00CE5E02"/>
    <w:rsid w:val="00CF34DB"/>
    <w:rsid w:val="00CF3917"/>
    <w:rsid w:val="00CF558F"/>
    <w:rsid w:val="00D010C0"/>
    <w:rsid w:val="00D073E2"/>
    <w:rsid w:val="00D2509E"/>
    <w:rsid w:val="00D446EC"/>
    <w:rsid w:val="00D51BF0"/>
    <w:rsid w:val="00D531DB"/>
    <w:rsid w:val="00D55942"/>
    <w:rsid w:val="00D645D0"/>
    <w:rsid w:val="00D807BF"/>
    <w:rsid w:val="00D82FCC"/>
    <w:rsid w:val="00D900ED"/>
    <w:rsid w:val="00DA17FC"/>
    <w:rsid w:val="00DA7887"/>
    <w:rsid w:val="00DB2C26"/>
    <w:rsid w:val="00DB5A93"/>
    <w:rsid w:val="00DC177D"/>
    <w:rsid w:val="00DC22F8"/>
    <w:rsid w:val="00DD02F4"/>
    <w:rsid w:val="00DD6622"/>
    <w:rsid w:val="00DE1C7C"/>
    <w:rsid w:val="00DE6B43"/>
    <w:rsid w:val="00E1147E"/>
    <w:rsid w:val="00E11923"/>
    <w:rsid w:val="00E12794"/>
    <w:rsid w:val="00E262D4"/>
    <w:rsid w:val="00E36250"/>
    <w:rsid w:val="00E37F82"/>
    <w:rsid w:val="00E47F2D"/>
    <w:rsid w:val="00E54511"/>
    <w:rsid w:val="00E61DAC"/>
    <w:rsid w:val="00E72B80"/>
    <w:rsid w:val="00E75FE3"/>
    <w:rsid w:val="00E86C4C"/>
    <w:rsid w:val="00E907A3"/>
    <w:rsid w:val="00EA5AE0"/>
    <w:rsid w:val="00EB56E1"/>
    <w:rsid w:val="00EB7AB1"/>
    <w:rsid w:val="00EC28B2"/>
    <w:rsid w:val="00ED3B52"/>
    <w:rsid w:val="00ED5F84"/>
    <w:rsid w:val="00EE2F5E"/>
    <w:rsid w:val="00EE48AE"/>
    <w:rsid w:val="00EE7CD8"/>
    <w:rsid w:val="00EF37F6"/>
    <w:rsid w:val="00EF48CC"/>
    <w:rsid w:val="00EF7B4C"/>
    <w:rsid w:val="00F00801"/>
    <w:rsid w:val="00F14B88"/>
    <w:rsid w:val="00F2488D"/>
    <w:rsid w:val="00F46586"/>
    <w:rsid w:val="00F601A0"/>
    <w:rsid w:val="00F631B4"/>
    <w:rsid w:val="00F712E9"/>
    <w:rsid w:val="00F73032"/>
    <w:rsid w:val="00F848FC"/>
    <w:rsid w:val="00F906F6"/>
    <w:rsid w:val="00F9282A"/>
    <w:rsid w:val="00F96BAD"/>
    <w:rsid w:val="00FA139D"/>
    <w:rsid w:val="00FA60F5"/>
    <w:rsid w:val="00FB0E84"/>
    <w:rsid w:val="00FC2405"/>
    <w:rsid w:val="00FD01C2"/>
    <w:rsid w:val="00FD1309"/>
    <w:rsid w:val="00FE184D"/>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character" w:styleId="Mentionnonrsolue">
    <w:name w:val="Unresolved Mention"/>
    <w:basedOn w:val="Policepardfaut"/>
    <w:uiPriority w:val="99"/>
    <w:semiHidden/>
    <w:unhideWhenUsed/>
    <w:rsid w:val="005313E7"/>
    <w:rPr>
      <w:color w:val="605E5C"/>
      <w:shd w:val="clear" w:color="auto" w:fill="E1DFDD"/>
    </w:rPr>
  </w:style>
  <w:style w:type="paragraph" w:styleId="NormalWeb">
    <w:name w:val="Normal (Web)"/>
    <w:basedOn w:val="Normal"/>
    <w:uiPriority w:val="99"/>
    <w:unhideWhenUsed/>
    <w:rsid w:val="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218663">
      <w:bodyDiv w:val="1"/>
      <w:marLeft w:val="0"/>
      <w:marRight w:val="0"/>
      <w:marTop w:val="0"/>
      <w:marBottom w:val="0"/>
      <w:divBdr>
        <w:top w:val="none" w:sz="0" w:space="0" w:color="auto"/>
        <w:left w:val="none" w:sz="0" w:space="0" w:color="auto"/>
        <w:bottom w:val="none" w:sz="0" w:space="0" w:color="auto"/>
        <w:right w:val="none" w:sz="0" w:space="0" w:color="auto"/>
      </w:divBdr>
    </w:div>
    <w:div w:id="122886492">
      <w:bodyDiv w:val="1"/>
      <w:marLeft w:val="0"/>
      <w:marRight w:val="0"/>
      <w:marTop w:val="0"/>
      <w:marBottom w:val="0"/>
      <w:divBdr>
        <w:top w:val="none" w:sz="0" w:space="0" w:color="auto"/>
        <w:left w:val="none" w:sz="0" w:space="0" w:color="auto"/>
        <w:bottom w:val="none" w:sz="0" w:space="0" w:color="auto"/>
        <w:right w:val="none" w:sz="0" w:space="0" w:color="auto"/>
      </w:divBdr>
    </w:div>
    <w:div w:id="554589247">
      <w:bodyDiv w:val="1"/>
      <w:marLeft w:val="0"/>
      <w:marRight w:val="0"/>
      <w:marTop w:val="0"/>
      <w:marBottom w:val="0"/>
      <w:divBdr>
        <w:top w:val="none" w:sz="0" w:space="0" w:color="auto"/>
        <w:left w:val="none" w:sz="0" w:space="0" w:color="auto"/>
        <w:bottom w:val="none" w:sz="0" w:space="0" w:color="auto"/>
        <w:right w:val="none" w:sz="0" w:space="0" w:color="auto"/>
      </w:divBdr>
    </w:div>
    <w:div w:id="587344950">
      <w:bodyDiv w:val="1"/>
      <w:marLeft w:val="0"/>
      <w:marRight w:val="0"/>
      <w:marTop w:val="0"/>
      <w:marBottom w:val="0"/>
      <w:divBdr>
        <w:top w:val="none" w:sz="0" w:space="0" w:color="auto"/>
        <w:left w:val="none" w:sz="0" w:space="0" w:color="auto"/>
        <w:bottom w:val="none" w:sz="0" w:space="0" w:color="auto"/>
        <w:right w:val="none" w:sz="0" w:space="0" w:color="auto"/>
      </w:divBdr>
    </w:div>
    <w:div w:id="767120257">
      <w:bodyDiv w:val="1"/>
      <w:marLeft w:val="0"/>
      <w:marRight w:val="0"/>
      <w:marTop w:val="0"/>
      <w:marBottom w:val="0"/>
      <w:divBdr>
        <w:top w:val="none" w:sz="0" w:space="0" w:color="auto"/>
        <w:left w:val="none" w:sz="0" w:space="0" w:color="auto"/>
        <w:bottom w:val="none" w:sz="0" w:space="0" w:color="auto"/>
        <w:right w:val="none" w:sz="0" w:space="0" w:color="auto"/>
      </w:divBdr>
    </w:div>
    <w:div w:id="1236357441">
      <w:bodyDiv w:val="1"/>
      <w:marLeft w:val="0"/>
      <w:marRight w:val="0"/>
      <w:marTop w:val="0"/>
      <w:marBottom w:val="0"/>
      <w:divBdr>
        <w:top w:val="none" w:sz="0" w:space="0" w:color="auto"/>
        <w:left w:val="none" w:sz="0" w:space="0" w:color="auto"/>
        <w:bottom w:val="none" w:sz="0" w:space="0" w:color="auto"/>
        <w:right w:val="none" w:sz="0" w:space="0" w:color="auto"/>
      </w:divBdr>
    </w:div>
    <w:div w:id="1464345407">
      <w:bodyDiv w:val="1"/>
      <w:marLeft w:val="0"/>
      <w:marRight w:val="0"/>
      <w:marTop w:val="0"/>
      <w:marBottom w:val="0"/>
      <w:divBdr>
        <w:top w:val="none" w:sz="0" w:space="0" w:color="auto"/>
        <w:left w:val="none" w:sz="0" w:space="0" w:color="auto"/>
        <w:bottom w:val="none" w:sz="0" w:space="0" w:color="auto"/>
        <w:right w:val="none" w:sz="0" w:space="0" w:color="auto"/>
      </w:divBdr>
    </w:div>
    <w:div w:id="155099808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41797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ierrick.philippe@oran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2</Pages>
  <Words>462</Words>
  <Characters>2543</Characters>
  <Application>Microsoft Office Word</Application>
  <DocSecurity>0</DocSecurity>
  <Lines>21</Lines>
  <Paragraphs>5</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3000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Pierrick PHILIPPE</cp:lastModifiedBy>
  <cp:revision>61</cp:revision>
  <cp:lastPrinted>1900-01-01T07:59:00Z</cp:lastPrinted>
  <dcterms:created xsi:type="dcterms:W3CDTF">2019-01-07T15:02:00Z</dcterms:created>
  <dcterms:modified xsi:type="dcterms:W3CDTF">2019-03-19T09:05:00Z</dcterms:modified>
</cp:coreProperties>
</file>