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AFB3C7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2739E">
              <w:rPr>
                <w:lang w:val="en-CA"/>
              </w:rPr>
              <w:t>0383</w:t>
            </w:r>
            <w:r w:rsidR="00E4454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392397" w:rsidR="00E61DAC" w:rsidRPr="005B217D" w:rsidRDefault="003B2753" w:rsidP="009D7CE6">
            <w:pPr>
              <w:spacing w:before="60" w:after="60"/>
              <w:rPr>
                <w:b/>
                <w:szCs w:val="22"/>
                <w:lang w:val="en-CA"/>
              </w:rPr>
            </w:pPr>
            <w:r>
              <w:rPr>
                <w:b/>
                <w:szCs w:val="22"/>
                <w:lang w:val="en-CA"/>
              </w:rPr>
              <w:t>Non-</w:t>
            </w:r>
            <w:r w:rsidR="00DE7E94">
              <w:rPr>
                <w:b/>
                <w:szCs w:val="22"/>
                <w:lang w:val="en-CA"/>
              </w:rPr>
              <w:t xml:space="preserve">CE8: </w:t>
            </w:r>
            <w:r w:rsidR="00B23539">
              <w:rPr>
                <w:b/>
                <w:szCs w:val="22"/>
                <w:lang w:val="en-CA"/>
              </w:rPr>
              <w:t xml:space="preserve">IBC search range </w:t>
            </w:r>
            <w:r w:rsidR="002706A6">
              <w:rPr>
                <w:b/>
                <w:szCs w:val="22"/>
                <w:lang w:val="en-CA"/>
              </w:rPr>
              <w:t>adjustment</w:t>
            </w:r>
            <w:r w:rsidR="00B23539">
              <w:rPr>
                <w:b/>
                <w:szCs w:val="22"/>
                <w:lang w:val="en-CA"/>
              </w:rPr>
              <w:t xml:space="preserve"> for </w:t>
            </w:r>
            <w:r w:rsidR="002706A6">
              <w:rPr>
                <w:b/>
                <w:szCs w:val="22"/>
                <w:lang w:val="en-CA"/>
              </w:rPr>
              <w:t>implementation consideration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CCB13D1" w:rsidR="00E61DAC" w:rsidRPr="002614EE" w:rsidRDefault="00E4454A" w:rsidP="00DE7E94">
            <w:pPr>
              <w:spacing w:before="60" w:after="60"/>
              <w:rPr>
                <w:szCs w:val="22"/>
                <w:lang w:eastAsia="zh-CN"/>
              </w:rPr>
            </w:pPr>
            <w:r>
              <w:rPr>
                <w:szCs w:val="22"/>
                <w:lang w:val="en-CA"/>
              </w:rPr>
              <w:t>X</w:t>
            </w:r>
            <w:r w:rsidR="00926757">
              <w:rPr>
                <w:szCs w:val="22"/>
                <w:lang w:val="en-CA"/>
              </w:rPr>
              <w:t>iaozhong Xu</w:t>
            </w:r>
            <w:r w:rsidR="00E61DAC" w:rsidRPr="005B217D">
              <w:rPr>
                <w:szCs w:val="22"/>
                <w:lang w:val="en-CA"/>
              </w:rPr>
              <w:br/>
            </w:r>
            <w:r w:rsidR="001C7300">
              <w:rPr>
                <w:szCs w:val="22"/>
                <w:lang w:val="en-CA"/>
              </w:rPr>
              <w:t>Xiang Li</w:t>
            </w:r>
            <w:r w:rsidR="001C7300" w:rsidRPr="005B217D">
              <w:rPr>
                <w:szCs w:val="22"/>
                <w:lang w:val="en-CA"/>
              </w:rPr>
              <w:br/>
            </w:r>
            <w:r w:rsidR="00A15080">
              <w:rPr>
                <w:szCs w:val="22"/>
                <w:lang w:val="en-CA"/>
              </w:rPr>
              <w:t>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9" w:history="1">
              <w:r w:rsidR="00926757" w:rsidRPr="00731545">
                <w:rPr>
                  <w:rStyle w:val="Hyperlink"/>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121AD70" w:rsidR="00263398" w:rsidRDefault="00926757" w:rsidP="009234A5">
      <w:pPr>
        <w:rPr>
          <w:noProof/>
          <w:lang w:val="en-CA" w:eastAsia="ko-KR"/>
        </w:rPr>
      </w:pPr>
      <w:r>
        <w:rPr>
          <w:lang w:val="en-CA"/>
        </w:rPr>
        <w:t xml:space="preserve">In this contribution, </w:t>
      </w:r>
      <w:r w:rsidR="00DE7E94">
        <w:rPr>
          <w:lang w:val="en-CA"/>
        </w:rPr>
        <w:t xml:space="preserve">a </w:t>
      </w:r>
      <w:r w:rsidR="00B23539">
        <w:rPr>
          <w:lang w:val="en-CA"/>
        </w:rPr>
        <w:t>modification is made on</w:t>
      </w:r>
      <w:r w:rsidR="00DE7E94">
        <w:rPr>
          <w:lang w:val="en-CA"/>
        </w:rPr>
        <w:t xml:space="preserve"> intra block copy</w:t>
      </w:r>
      <w:r w:rsidR="00B23539">
        <w:rPr>
          <w:lang w:val="en-CA"/>
        </w:rPr>
        <w:t xml:space="preserve"> search range</w:t>
      </w:r>
      <w:r w:rsidR="006B121F">
        <w:rPr>
          <w:lang w:val="en-CA"/>
        </w:rPr>
        <w:t xml:space="preserve"> </w:t>
      </w:r>
      <w:r w:rsidR="0016663C">
        <w:rPr>
          <w:lang w:val="en-CA"/>
        </w:rPr>
        <w:t>when the current CU is the first CU of each 64x64 region (VPDU)</w:t>
      </w:r>
      <w:r>
        <w:rPr>
          <w:noProof/>
          <w:lang w:val="en-CA" w:eastAsia="ko-KR"/>
        </w:rPr>
        <w:t>.</w:t>
      </w:r>
      <w:r w:rsidR="00DE7E94">
        <w:rPr>
          <w:noProof/>
          <w:lang w:val="en-CA" w:eastAsia="ko-KR"/>
        </w:rPr>
        <w:t xml:space="preserve"> </w:t>
      </w:r>
      <w:r w:rsidR="00401156">
        <w:rPr>
          <w:noProof/>
          <w:lang w:val="en-CA" w:eastAsia="ko-KR"/>
        </w:rPr>
        <w:t>T</w:t>
      </w:r>
      <w:r w:rsidR="006B121F">
        <w:rPr>
          <w:noProof/>
          <w:lang w:val="en-CA" w:eastAsia="ko-KR"/>
        </w:rPr>
        <w:t xml:space="preserve">he </w:t>
      </w:r>
      <w:r w:rsidR="0016663C">
        <w:rPr>
          <w:noProof/>
          <w:lang w:val="en-CA" w:eastAsia="ko-KR"/>
        </w:rPr>
        <w:t>current specification allows the reference block comes from the collocated 64x64 region in the left CTU</w:t>
      </w:r>
      <w:r w:rsidR="006379F1">
        <w:rPr>
          <w:noProof/>
          <w:lang w:val="en-CA" w:eastAsia="ko-KR"/>
        </w:rPr>
        <w:t xml:space="preserve"> for IBC prediction</w:t>
      </w:r>
      <w:r w:rsidR="00401156">
        <w:rPr>
          <w:noProof/>
          <w:lang w:val="en-CA" w:eastAsia="ko-KR"/>
        </w:rPr>
        <w:t>, only for the first CU of each VPDU, but not for all other subsequent CUs in the region</w:t>
      </w:r>
      <w:r w:rsidR="006B121F">
        <w:rPr>
          <w:noProof/>
          <w:lang w:val="en-CA" w:eastAsia="ko-KR"/>
        </w:rPr>
        <w:t xml:space="preserve">. </w:t>
      </w:r>
      <w:r w:rsidR="00DE7E94">
        <w:rPr>
          <w:noProof/>
          <w:lang w:val="en-CA" w:eastAsia="ko-KR"/>
        </w:rPr>
        <w:t>It is asserted t</w:t>
      </w:r>
      <w:r w:rsidR="006B121F">
        <w:rPr>
          <w:noProof/>
          <w:lang w:val="en-CA" w:eastAsia="ko-KR"/>
        </w:rPr>
        <w:t xml:space="preserve">hat </w:t>
      </w:r>
      <w:r w:rsidR="00DB35CE">
        <w:rPr>
          <w:noProof/>
          <w:lang w:val="en-CA" w:eastAsia="ko-KR"/>
        </w:rPr>
        <w:t>a</w:t>
      </w:r>
      <w:r w:rsidR="006B121F">
        <w:rPr>
          <w:noProof/>
          <w:lang w:val="en-CA" w:eastAsia="ko-KR"/>
        </w:rPr>
        <w:t xml:space="preserve">llowing </w:t>
      </w:r>
      <w:r w:rsidR="0016663C">
        <w:rPr>
          <w:noProof/>
          <w:lang w:val="en-CA" w:eastAsia="ko-KR"/>
        </w:rPr>
        <w:t>this corner case</w:t>
      </w:r>
      <w:r w:rsidR="00DB35CE">
        <w:rPr>
          <w:noProof/>
          <w:lang w:val="en-CA" w:eastAsia="ko-KR"/>
        </w:rPr>
        <w:t xml:space="preserve"> is not</w:t>
      </w:r>
      <w:r w:rsidR="008B436A">
        <w:rPr>
          <w:noProof/>
          <w:lang w:val="en-CA" w:eastAsia="ko-KR"/>
        </w:rPr>
        <w:t xml:space="preserve"> implementation friendly</w:t>
      </w:r>
      <w:r w:rsidR="0016663C">
        <w:rPr>
          <w:noProof/>
          <w:lang w:val="en-CA" w:eastAsia="ko-KR"/>
        </w:rPr>
        <w:t>. The proposal in this document is to disallow such</w:t>
      </w:r>
      <w:r w:rsidR="0074067D">
        <w:rPr>
          <w:noProof/>
          <w:lang w:val="en-CA" w:eastAsia="ko-KR"/>
        </w:rPr>
        <w:t xml:space="preserve"> a</w:t>
      </w:r>
      <w:r w:rsidR="0016663C">
        <w:rPr>
          <w:noProof/>
          <w:lang w:val="en-CA" w:eastAsia="ko-KR"/>
        </w:rPr>
        <w:t xml:space="preserve"> case by adding a bitstream conformance restriction.</w:t>
      </w:r>
      <w:r w:rsidR="006B121F">
        <w:rPr>
          <w:noProof/>
          <w:lang w:val="en-CA" w:eastAsia="ko-KR"/>
        </w:rPr>
        <w:t xml:space="preserve"> </w:t>
      </w:r>
    </w:p>
    <w:p w14:paraId="51A332A2" w14:textId="29605EE9" w:rsidR="00DE7E94" w:rsidRDefault="00926757" w:rsidP="009234A5">
      <w:pPr>
        <w:rPr>
          <w:noProof/>
          <w:lang w:val="en-CA" w:eastAsia="ko-KR"/>
        </w:rPr>
      </w:pPr>
      <w:r>
        <w:rPr>
          <w:noProof/>
          <w:lang w:val="en-CA" w:eastAsia="ko-KR"/>
        </w:rPr>
        <w:t xml:space="preserve">Simulation results </w:t>
      </w:r>
      <w:r w:rsidR="00EA2918">
        <w:rPr>
          <w:noProof/>
          <w:lang w:val="en-CA" w:eastAsia="ko-KR"/>
        </w:rPr>
        <w:t>report that</w:t>
      </w:r>
      <w:r w:rsidR="0016663C">
        <w:rPr>
          <w:noProof/>
          <w:lang w:val="en-CA" w:eastAsia="ko-KR"/>
        </w:rPr>
        <w:t xml:space="preserve"> by disallowing the first CU of each VPDU to refer to the collocated VPDU region in the left CTU</w:t>
      </w:r>
      <w:r w:rsidR="00DE7E94">
        <w:rPr>
          <w:noProof/>
          <w:lang w:val="en-CA" w:eastAsia="ko-KR"/>
        </w:rPr>
        <w:t>:</w:t>
      </w:r>
    </w:p>
    <w:p w14:paraId="245A331F" w14:textId="1D320B0C" w:rsidR="00926757" w:rsidRPr="000C56CA" w:rsidRDefault="00EA2918" w:rsidP="00DE7E94">
      <w:pPr>
        <w:pStyle w:val="ListParagraph"/>
        <w:numPr>
          <w:ilvl w:val="0"/>
          <w:numId w:val="31"/>
        </w:numPr>
        <w:rPr>
          <w:szCs w:val="22"/>
          <w:lang w:val="en-CA"/>
        </w:rPr>
      </w:pPr>
      <w:r w:rsidRPr="00DE7E94">
        <w:rPr>
          <w:noProof/>
          <w:lang w:val="en-CA" w:eastAsia="ko-KR"/>
        </w:rPr>
        <w:t>0.</w:t>
      </w:r>
      <w:r w:rsidR="00936604">
        <w:rPr>
          <w:noProof/>
          <w:lang w:val="en-CA" w:eastAsia="ko-KR"/>
        </w:rPr>
        <w:t>0</w:t>
      </w:r>
      <w:r w:rsidR="001574CD">
        <w:rPr>
          <w:noProof/>
          <w:lang w:val="en-CA" w:eastAsia="ko-KR"/>
        </w:rPr>
        <w:t>7</w:t>
      </w:r>
      <w:r w:rsidRPr="00DE7E94">
        <w:rPr>
          <w:noProof/>
          <w:lang w:val="en-CA" w:eastAsia="ko-KR"/>
        </w:rPr>
        <w:t>%/0.</w:t>
      </w:r>
      <w:r w:rsidR="001574CD">
        <w:rPr>
          <w:noProof/>
          <w:lang w:val="en-CA" w:eastAsia="ko-KR"/>
        </w:rPr>
        <w:t>0</w:t>
      </w:r>
      <w:r w:rsidR="004A3227">
        <w:rPr>
          <w:noProof/>
          <w:lang w:val="en-CA" w:eastAsia="ko-KR"/>
        </w:rPr>
        <w:t>3</w:t>
      </w:r>
      <w:r w:rsidRPr="00E90B8F">
        <w:rPr>
          <w:noProof/>
          <w:lang w:val="en-CA" w:eastAsia="ko-KR"/>
        </w:rPr>
        <w:t>%/</w:t>
      </w:r>
      <w:r w:rsidR="00E90B8F" w:rsidRPr="00E90B8F">
        <w:rPr>
          <w:noProof/>
          <w:lang w:val="en-CA" w:eastAsia="ko-KR"/>
        </w:rPr>
        <w:t>-0.15</w:t>
      </w:r>
      <w:r w:rsidRPr="00E90B8F">
        <w:rPr>
          <w:noProof/>
          <w:lang w:val="en-CA" w:eastAsia="ko-KR"/>
        </w:rPr>
        <w:t>% BD</w:t>
      </w:r>
      <w:bookmarkStart w:id="0" w:name="_GoBack"/>
      <w:bookmarkEnd w:id="0"/>
      <w:r w:rsidRPr="00DE7E94">
        <w:rPr>
          <w:noProof/>
          <w:lang w:val="en-CA" w:eastAsia="ko-KR"/>
        </w:rPr>
        <w:t xml:space="preserve"> rate changes are observed for AI/RA/LB configurations</w:t>
      </w:r>
      <w:r w:rsidR="00DE7E94" w:rsidRPr="00DE7E94">
        <w:rPr>
          <w:noProof/>
          <w:lang w:val="en-CA" w:eastAsia="ko-KR"/>
        </w:rPr>
        <w:t xml:space="preserve"> </w:t>
      </w:r>
      <w:r w:rsidR="00DE7E94">
        <w:rPr>
          <w:noProof/>
          <w:lang w:val="en-CA" w:eastAsia="ko-KR"/>
        </w:rPr>
        <w:t xml:space="preserve">for class F </w:t>
      </w:r>
      <w:r w:rsidR="00DE7E94" w:rsidRPr="00DE7E94">
        <w:rPr>
          <w:noProof/>
          <w:lang w:val="en-CA" w:eastAsia="ko-KR"/>
        </w:rPr>
        <w:t>when compared to VTM-4.0 anchor</w:t>
      </w:r>
      <w:r w:rsidRPr="00DE7E94">
        <w:rPr>
          <w:noProof/>
          <w:lang w:val="en-CA" w:eastAsia="ko-KR"/>
        </w:rPr>
        <w:t>.</w:t>
      </w:r>
    </w:p>
    <w:p w14:paraId="5550E337" w14:textId="3BA665A1" w:rsidR="00DE7E94" w:rsidRPr="009B7153" w:rsidRDefault="00DE7E94" w:rsidP="000C56CA">
      <w:pPr>
        <w:pStyle w:val="ListParagraph"/>
        <w:numPr>
          <w:ilvl w:val="0"/>
          <w:numId w:val="31"/>
        </w:numPr>
        <w:rPr>
          <w:szCs w:val="22"/>
          <w:lang w:val="en-CA"/>
        </w:rPr>
      </w:pPr>
      <w:r w:rsidRPr="00DE7E94">
        <w:rPr>
          <w:noProof/>
          <w:lang w:val="en-CA" w:eastAsia="ko-KR"/>
        </w:rPr>
        <w:t>0.</w:t>
      </w:r>
      <w:r w:rsidR="001574CD">
        <w:rPr>
          <w:noProof/>
          <w:lang w:val="en-CA" w:eastAsia="ko-KR"/>
        </w:rPr>
        <w:t>2</w:t>
      </w:r>
      <w:r w:rsidR="004A3227">
        <w:rPr>
          <w:noProof/>
          <w:lang w:val="en-CA" w:eastAsia="ko-KR"/>
        </w:rPr>
        <w:t>2</w:t>
      </w:r>
      <w:r w:rsidRPr="00DE7E94">
        <w:rPr>
          <w:noProof/>
          <w:lang w:val="en-CA" w:eastAsia="ko-KR"/>
        </w:rPr>
        <w:t>%/</w:t>
      </w:r>
      <w:r w:rsidR="004A3227">
        <w:rPr>
          <w:noProof/>
          <w:lang w:val="en-CA" w:eastAsia="ko-KR"/>
        </w:rPr>
        <w:t>0</w:t>
      </w:r>
      <w:r w:rsidRPr="00DE7E94">
        <w:rPr>
          <w:noProof/>
          <w:lang w:val="en-CA" w:eastAsia="ko-KR"/>
        </w:rPr>
        <w:t>.</w:t>
      </w:r>
      <w:r w:rsidR="001574CD" w:rsidRPr="004A3227">
        <w:rPr>
          <w:noProof/>
          <w:lang w:val="en-CA" w:eastAsia="ko-KR"/>
        </w:rPr>
        <w:t>0</w:t>
      </w:r>
      <w:r w:rsidR="004A3227" w:rsidRPr="004A3227">
        <w:rPr>
          <w:noProof/>
          <w:lang w:val="en-CA" w:eastAsia="ko-KR"/>
        </w:rPr>
        <w:t>7</w:t>
      </w:r>
      <w:r w:rsidRPr="004A3227">
        <w:rPr>
          <w:noProof/>
          <w:lang w:val="en-CA" w:eastAsia="ko-KR"/>
        </w:rPr>
        <w:t>%/0.</w:t>
      </w:r>
      <w:r w:rsidR="004A3227" w:rsidRPr="004A3227">
        <w:rPr>
          <w:noProof/>
          <w:lang w:val="en-CA" w:eastAsia="ko-KR"/>
        </w:rPr>
        <w:t>14</w:t>
      </w:r>
      <w:r w:rsidRPr="004A3227">
        <w:rPr>
          <w:noProof/>
          <w:lang w:val="en-CA" w:eastAsia="ko-KR"/>
        </w:rPr>
        <w:t>% BD</w:t>
      </w:r>
      <w:r w:rsidRPr="00DE7E94">
        <w:rPr>
          <w:noProof/>
          <w:lang w:val="en-CA" w:eastAsia="ko-KR"/>
        </w:rPr>
        <w:t xml:space="preserve"> rate changes are observed for AI/RA/LB configurations </w:t>
      </w:r>
      <w:r>
        <w:rPr>
          <w:noProof/>
          <w:lang w:val="en-CA" w:eastAsia="ko-KR"/>
        </w:rPr>
        <w:t xml:space="preserve">for class TGM </w:t>
      </w:r>
      <w:r w:rsidRPr="00DE7E94">
        <w:rPr>
          <w:noProof/>
          <w:lang w:val="en-CA" w:eastAsia="ko-KR"/>
        </w:rPr>
        <w:t>when com</w:t>
      </w:r>
      <w:r w:rsidRPr="000A278B">
        <w:rPr>
          <w:noProof/>
          <w:lang w:val="en-CA" w:eastAsia="ko-KR"/>
        </w:rPr>
        <w:t>pared to VTM-4.0 anchor.</w:t>
      </w:r>
    </w:p>
    <w:p w14:paraId="7D2AC1F0" w14:textId="3D9D58A1" w:rsidR="00745F6B" w:rsidRPr="005B217D" w:rsidRDefault="00745F6B" w:rsidP="00E11923">
      <w:pPr>
        <w:pStyle w:val="Heading1"/>
        <w:rPr>
          <w:lang w:val="en-CA"/>
        </w:rPr>
      </w:pPr>
      <w:r w:rsidRPr="005B217D">
        <w:rPr>
          <w:lang w:val="en-CA"/>
        </w:rPr>
        <w:t>Problem Statement</w:t>
      </w:r>
    </w:p>
    <w:p w14:paraId="092353D1" w14:textId="72BB739C" w:rsidR="00F66D25" w:rsidRDefault="00F66D25" w:rsidP="00F2224A">
      <w:pPr>
        <w:rPr>
          <w:noProof/>
          <w:lang w:val="en-CA" w:eastAsia="ko-KR"/>
        </w:rPr>
      </w:pPr>
      <w:r>
        <w:rPr>
          <w:szCs w:val="22"/>
          <w:lang w:val="en-CA"/>
        </w:rPr>
        <w:t>Currently,</w:t>
      </w:r>
      <w:r w:rsidR="009B60A6">
        <w:rPr>
          <w:szCs w:val="22"/>
          <w:lang w:val="en-CA"/>
        </w:rPr>
        <w:t xml:space="preserve"> </w:t>
      </w:r>
      <w:r w:rsidR="00F2224A">
        <w:rPr>
          <w:noProof/>
          <w:lang w:val="en-CA" w:eastAsia="ko-KR"/>
        </w:rPr>
        <w:t>the current specification allows the reference block comes from the collocated 64x64 region in the left CTU for IBC prediction, only for the first CU of each VPDU, but not for all other subsequent CUs in the region. It is asserted that allowing this corner case is not implementation friendly.</w:t>
      </w:r>
    </w:p>
    <w:p w14:paraId="4C11EAEA" w14:textId="297FB9DC" w:rsidR="0074067D" w:rsidRDefault="00F2224A" w:rsidP="00B35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In the example of Fig. 1, for all coding blocks in VPDU7, the reference block can be from areas of VPDU4, VPDU5, VPDU6 and recontructd part of VPDU7. In addition, if the block is the first coding block of VPDU7, reference area of VPDU3 can also be used.</w:t>
      </w:r>
    </w:p>
    <w:p w14:paraId="1BCD4FC6" w14:textId="77777777" w:rsidR="00B35113" w:rsidRPr="006403C2" w:rsidRDefault="00B35113" w:rsidP="00B35113">
      <w:pPr>
        <w:jc w:val="center"/>
        <w:rPr>
          <w:szCs w:val="22"/>
          <w:lang w:val="en-CA"/>
        </w:rPr>
      </w:pPr>
      <w:r>
        <w:rPr>
          <w:noProof/>
          <w:color w:val="1F497D"/>
        </w:rPr>
        <w:drawing>
          <wp:inline distT="0" distB="0" distL="0" distR="0" wp14:anchorId="1D154676" wp14:editId="543CF13C">
            <wp:extent cx="2402205" cy="1273810"/>
            <wp:effectExtent l="0" t="0" r="0" b="2540"/>
            <wp:docPr id="28" name="Picture 28" descr="cid:9e1e828ad699279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9e1e828ad699279_0.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402205" cy="1273810"/>
                    </a:xfrm>
                    <a:prstGeom prst="rect">
                      <a:avLst/>
                    </a:prstGeom>
                    <a:noFill/>
                    <a:ln>
                      <a:noFill/>
                    </a:ln>
                  </pic:spPr>
                </pic:pic>
              </a:graphicData>
            </a:graphic>
          </wp:inline>
        </w:drawing>
      </w:r>
    </w:p>
    <w:p w14:paraId="2E7A18C7" w14:textId="0902A54E" w:rsidR="00B35113" w:rsidRDefault="00B35113" w:rsidP="00B35113">
      <w:pPr>
        <w:jc w:val="center"/>
        <w:rPr>
          <w:szCs w:val="22"/>
          <w:lang w:val="en-CA"/>
        </w:rPr>
      </w:pPr>
      <w:r>
        <w:rPr>
          <w:szCs w:val="22"/>
          <w:lang w:val="en-CA"/>
        </w:rPr>
        <w:t>Fig. 1: Current VPDU (7) and its collocated VPDU (3) in the left CTU</w:t>
      </w:r>
    </w:p>
    <w:p w14:paraId="53F5E7E0" w14:textId="77777777" w:rsidR="00B35113" w:rsidRPr="00C64F69" w:rsidRDefault="00B35113" w:rsidP="00B35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p>
    <w:p w14:paraId="2C0C4CB5" w14:textId="1F409431" w:rsidR="00740578" w:rsidRDefault="00595DC6" w:rsidP="009234A5">
      <w:pPr>
        <w:rPr>
          <w:noProof/>
          <w:lang w:val="en-CA" w:eastAsia="ko-KR"/>
        </w:rPr>
      </w:pPr>
      <w:r>
        <w:rPr>
          <w:noProof/>
          <w:lang w:val="en-CA" w:eastAsia="ko-KR"/>
        </w:rPr>
        <w:t>For the first coding block</w:t>
      </w:r>
      <w:r w:rsidR="00AA79FE">
        <w:rPr>
          <w:noProof/>
          <w:lang w:val="en-CA" w:eastAsia="ko-KR"/>
        </w:rPr>
        <w:t xml:space="preserve"> of each 64x64 coding region (VPDU7 in Fig. 1 as example), if its reference block comes from the colocated 64x64 region of the left CTU (VPDU3 in Fig. 1 as example), it is asserted that </w:t>
      </w:r>
      <w:r w:rsidR="00AA79FE">
        <w:rPr>
          <w:noProof/>
          <w:lang w:val="en-CA" w:eastAsia="ko-KR"/>
        </w:rPr>
        <w:lastRenderedPageBreak/>
        <w:t xml:space="preserve">this could have implementation complications. The reason is that the memory used to store reference samples of the collocated 64x64 region will be at the same time the memory to store reconstucted samples of the current 64x64 coding region. Reading and writing on the same memory location is not preferable. </w:t>
      </w:r>
    </w:p>
    <w:p w14:paraId="41E1E23E" w14:textId="77777777" w:rsidR="00740578" w:rsidRDefault="00740578" w:rsidP="009234A5">
      <w:pPr>
        <w:rPr>
          <w:noProof/>
          <w:lang w:val="en-CA" w:eastAsia="ko-KR"/>
        </w:rPr>
      </w:pPr>
    </w:p>
    <w:p w14:paraId="3239B355" w14:textId="5FAA3F71" w:rsidR="00300AA8" w:rsidRPr="00093A6A" w:rsidRDefault="00093A6A" w:rsidP="00093A6A">
      <w:pPr>
        <w:pStyle w:val="Heading1"/>
        <w:ind w:left="360" w:hanging="360"/>
        <w:rPr>
          <w:lang w:val="en-CA"/>
        </w:rPr>
      </w:pPr>
      <w:r w:rsidRPr="00093A6A">
        <w:rPr>
          <w:lang w:val="en-CA"/>
        </w:rPr>
        <w:t>Proposed method</w:t>
      </w:r>
    </w:p>
    <w:p w14:paraId="427C4E49" w14:textId="6F5616D9" w:rsidR="00B35113" w:rsidRDefault="007E1807" w:rsidP="00B35113">
      <w:pPr>
        <w:rPr>
          <w:szCs w:val="22"/>
          <w:lang w:val="en-CA"/>
        </w:rPr>
      </w:pPr>
      <w:r>
        <w:rPr>
          <w:szCs w:val="22"/>
          <w:lang w:val="en-CA"/>
        </w:rPr>
        <w:t xml:space="preserve">In this proposal, </w:t>
      </w:r>
      <w:r w:rsidR="00B35113">
        <w:rPr>
          <w:szCs w:val="22"/>
          <w:lang w:val="en-CA"/>
        </w:rPr>
        <w:t>one additional conformance check is added such that for all CUs in the current VPDU, the collocated VPDU in the left CTU cannot be used for IBC reference purpose.</w:t>
      </w:r>
    </w:p>
    <w:p w14:paraId="6CAB8243" w14:textId="0E3FDA54" w:rsidR="004603C1" w:rsidRDefault="00B35113" w:rsidP="00B35113">
      <w:pPr>
        <w:rPr>
          <w:szCs w:val="22"/>
          <w:lang w:val="en-CA" w:eastAsia="zh-CN"/>
        </w:rPr>
      </w:pPr>
      <w:r>
        <w:rPr>
          <w:szCs w:val="22"/>
          <w:lang w:val="en-CA"/>
        </w:rPr>
        <w:t>Below is the specification change (highlighted in yellow)</w:t>
      </w:r>
      <w:r>
        <w:rPr>
          <w:szCs w:val="22"/>
          <w:lang w:val="en-CA" w:eastAsia="zh-CN"/>
        </w:rPr>
        <w:t>:</w:t>
      </w:r>
    </w:p>
    <w:p w14:paraId="6D886D94" w14:textId="77777777" w:rsidR="00B35113" w:rsidRPr="0074067D" w:rsidRDefault="00B35113" w:rsidP="00B35113">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C64F69">
        <w:rPr>
          <w:noProof/>
          <w:lang w:val="en-CA"/>
        </w:rPr>
        <w:t>When ( xCb + ( mvL[ 0 ] &gt;&gt; 4 ) ) &gt;&gt; CtbLog2SizeY is equal to ( xCb &gt;&gt; CtbLog2SizeY ) </w:t>
      </w:r>
      <w:r w:rsidRPr="00C64F69">
        <w:rPr>
          <w:noProof/>
          <w:lang w:val="en-CA" w:eastAsia="ko-KR"/>
        </w:rPr>
        <w:t>–</w:t>
      </w:r>
      <w:r w:rsidRPr="00C64F69">
        <w:rPr>
          <w:noProof/>
          <w:lang w:val="en-CA"/>
        </w:rPr>
        <w:t> 1</w:t>
      </w:r>
      <w:r w:rsidRPr="0074067D">
        <w:rPr>
          <w:noProof/>
          <w:highlight w:val="yellow"/>
          <w:lang w:val="en-CA"/>
        </w:rPr>
        <w:t>, the following conditions shall be true:</w:t>
      </w:r>
    </w:p>
    <w:p w14:paraId="25E0B789" w14:textId="77777777" w:rsidR="00B35113" w:rsidRDefault="00B35113" w:rsidP="00B35113">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lang w:val="en-CA" w:eastAsia="ko-KR"/>
        </w:rPr>
      </w:pPr>
      <w:r>
        <w:rPr>
          <w:noProof/>
          <w:lang w:val="en-CA"/>
        </w:rPr>
        <w:t>t</w:t>
      </w:r>
      <w:r w:rsidRPr="00C64F69">
        <w:rPr>
          <w:noProof/>
          <w:lang w:val="en-CA"/>
        </w:rPr>
        <w:t>he derivation process for block availability as specified in clause </w:t>
      </w:r>
      <w:r w:rsidRPr="00C64F69">
        <w:rPr>
          <w:rFonts w:eastAsia="Malgun Gothic"/>
          <w:noProof/>
          <w:lang w:val="en-CA" w:eastAsia="ko-KR"/>
        </w:rPr>
        <w:t xml:space="preserve">6.4.X [Neighbouring blocks availability checking process] </w:t>
      </w:r>
      <w:r w:rsidRPr="00C64F69">
        <w:rPr>
          <w:noProof/>
          <w:lang w:val="en-CA"/>
        </w:rPr>
        <w:t>is invoked with the current luma location</w:t>
      </w:r>
      <w:r w:rsidRPr="00C64F69">
        <w:rPr>
          <w:noProof/>
          <w:lang w:val="en-CA" w:eastAsia="ko-KR"/>
        </w:rPr>
        <w:t>(</w:t>
      </w:r>
      <w:r w:rsidRPr="00C64F69">
        <w:rPr>
          <w:noProof/>
          <w:lang w:val="en-CA"/>
        </w:rPr>
        <w:t> </w:t>
      </w:r>
      <w:r w:rsidRPr="00C64F69">
        <w:rPr>
          <w:noProof/>
          <w:lang w:val="en-CA" w:eastAsia="ko-KR"/>
        </w:rPr>
        <w:t>xCurr,</w:t>
      </w:r>
      <w:r w:rsidRPr="00C64F69">
        <w:rPr>
          <w:noProof/>
          <w:lang w:val="en-CA"/>
        </w:rPr>
        <w:t> </w:t>
      </w:r>
      <w:r w:rsidRPr="00C64F69">
        <w:rPr>
          <w:noProof/>
          <w:lang w:val="en-CA" w:eastAsia="ko-KR"/>
        </w:rPr>
        <w:t>yCurr</w:t>
      </w:r>
      <w:r w:rsidRPr="00C64F69">
        <w:rPr>
          <w:noProof/>
          <w:lang w:val="en-CA"/>
        </w:rPr>
        <w:t> </w:t>
      </w:r>
      <w:r w:rsidRPr="00C64F69">
        <w:rPr>
          <w:noProof/>
          <w:lang w:val="en-CA" w:eastAsia="ko-KR"/>
        </w:rPr>
        <w:t>) set equal to</w:t>
      </w:r>
      <w:r w:rsidRPr="00C64F69">
        <w:rPr>
          <w:noProof/>
          <w:lang w:val="en-CA"/>
        </w:rPr>
        <w:t xml:space="preserve"> ( xCb, yCb ) and the neighbouring luma location (</w:t>
      </w:r>
      <w:r w:rsidRPr="00C64F69">
        <w:rPr>
          <w:noProof/>
          <w:lang w:val="en-CA" w:eastAsia="ko-KR"/>
        </w:rPr>
        <w:t> </w:t>
      </w:r>
      <w:r w:rsidRPr="00C64F69">
        <w:rPr>
          <w:noProof/>
          <w:lang w:val="en-CA"/>
        </w:rPr>
        <w:t>( (</w:t>
      </w:r>
      <w:r w:rsidRPr="00C64F69">
        <w:rPr>
          <w:noProof/>
          <w:lang w:val="en-CA" w:eastAsia="ko-KR"/>
        </w:rPr>
        <w:t> </w:t>
      </w:r>
      <w:r w:rsidRPr="00C64F69">
        <w:rPr>
          <w:noProof/>
          <w:lang w:val="en-CA"/>
        </w:rPr>
        <w:t>xCb + ( mvL[ 0 ] &gt;&gt; 4</w:t>
      </w:r>
      <w:r w:rsidRPr="00C64F69">
        <w:rPr>
          <w:noProof/>
          <w:lang w:val="en-CA" w:eastAsia="ko-KR"/>
        </w:rPr>
        <w:t> </w:t>
      </w:r>
      <w:r w:rsidRPr="00C64F69">
        <w:rPr>
          <w:noProof/>
          <w:lang w:val="en-CA"/>
        </w:rPr>
        <w:t>) + CtbSizeY</w:t>
      </w:r>
      <w:r w:rsidRPr="00C64F69">
        <w:rPr>
          <w:noProof/>
          <w:lang w:val="en-CA" w:eastAsia="ko-KR"/>
        </w:rPr>
        <w:t> </w:t>
      </w:r>
      <w:r w:rsidRPr="00C64F69">
        <w:rPr>
          <w:noProof/>
          <w:lang w:val="en-CA"/>
        </w:rPr>
        <w:t>) &gt;&gt; (</w:t>
      </w:r>
      <w:r w:rsidRPr="00C64F69">
        <w:rPr>
          <w:noProof/>
          <w:lang w:val="en-CA" w:eastAsia="ko-KR"/>
        </w:rPr>
        <w:t> </w:t>
      </w:r>
      <w:r w:rsidRPr="00C64F69">
        <w:rPr>
          <w:noProof/>
          <w:lang w:val="en-CA"/>
        </w:rPr>
        <w:t>CtbLog2SizeY </w:t>
      </w:r>
      <w:r w:rsidRPr="00C64F69" w:rsidDel="003C51E6">
        <w:rPr>
          <w:noProof/>
          <w:lang w:val="en-CA" w:eastAsia="ko-KR"/>
        </w:rPr>
        <w:t>−</w:t>
      </w:r>
      <w:r w:rsidRPr="00C64F69">
        <w:rPr>
          <w:noProof/>
          <w:lang w:val="en-CA" w:eastAsia="ko-KR"/>
        </w:rPr>
        <w:t> </w:t>
      </w:r>
      <w:r w:rsidRPr="00C64F69">
        <w:rPr>
          <w:noProof/>
          <w:lang w:val="en-CA"/>
        </w:rPr>
        <w:t>1</w:t>
      </w:r>
      <w:r w:rsidRPr="00C64F69">
        <w:rPr>
          <w:noProof/>
          <w:lang w:val="en-CA" w:eastAsia="ko-KR"/>
        </w:rPr>
        <w:t> </w:t>
      </w:r>
      <w:r w:rsidRPr="00C64F69">
        <w:rPr>
          <w:noProof/>
          <w:lang w:val="en-CA"/>
        </w:rPr>
        <w:t>)</w:t>
      </w:r>
      <w:r w:rsidRPr="00C64F69">
        <w:rPr>
          <w:noProof/>
          <w:lang w:val="en-CA" w:eastAsia="ko-KR"/>
        </w:rPr>
        <w:t> </w:t>
      </w:r>
      <w:r w:rsidRPr="00C64F69">
        <w:rPr>
          <w:noProof/>
          <w:lang w:val="en-CA"/>
        </w:rPr>
        <w:t>) &lt;&lt; (</w:t>
      </w:r>
      <w:r w:rsidRPr="00C64F69">
        <w:rPr>
          <w:noProof/>
          <w:lang w:val="en-CA" w:eastAsia="ko-KR"/>
        </w:rPr>
        <w:t> </w:t>
      </w:r>
      <w:r w:rsidRPr="00C64F69">
        <w:rPr>
          <w:noProof/>
          <w:lang w:val="en-CA"/>
        </w:rPr>
        <w:t>CtbLog2SizeY </w:t>
      </w:r>
      <w:r w:rsidRPr="00C64F69" w:rsidDel="003C51E6">
        <w:rPr>
          <w:noProof/>
          <w:lang w:val="en-CA" w:eastAsia="ko-KR"/>
        </w:rPr>
        <w:t>−</w:t>
      </w:r>
      <w:r w:rsidRPr="00C64F69">
        <w:rPr>
          <w:noProof/>
          <w:lang w:val="en-CA" w:eastAsia="ko-KR"/>
        </w:rPr>
        <w:t> </w:t>
      </w:r>
      <w:r w:rsidRPr="00C64F69">
        <w:rPr>
          <w:noProof/>
          <w:lang w:val="en-CA"/>
        </w:rPr>
        <w:t>1</w:t>
      </w:r>
      <w:r w:rsidRPr="00C64F69">
        <w:rPr>
          <w:noProof/>
          <w:lang w:val="en-CA" w:eastAsia="ko-KR"/>
        </w:rPr>
        <w:t> </w:t>
      </w:r>
      <w:r w:rsidRPr="00C64F69">
        <w:rPr>
          <w:noProof/>
          <w:lang w:val="en-CA"/>
        </w:rPr>
        <w:t>), (</w:t>
      </w:r>
      <w:r w:rsidRPr="00C64F69">
        <w:rPr>
          <w:noProof/>
          <w:lang w:val="en-CA" w:eastAsia="ko-KR"/>
        </w:rPr>
        <w:t> </w:t>
      </w:r>
      <w:r w:rsidRPr="00C64F69">
        <w:rPr>
          <w:noProof/>
          <w:lang w:val="en-CA"/>
        </w:rPr>
        <w:t>(</w:t>
      </w:r>
      <w:r w:rsidRPr="00C64F69">
        <w:rPr>
          <w:noProof/>
          <w:lang w:val="en-CA" w:eastAsia="ko-KR"/>
        </w:rPr>
        <w:t> </w:t>
      </w:r>
      <w:r w:rsidRPr="00C64F69">
        <w:rPr>
          <w:noProof/>
          <w:lang w:val="en-CA"/>
        </w:rPr>
        <w:t>yCb + (</w:t>
      </w:r>
      <w:r w:rsidRPr="00C64F69">
        <w:rPr>
          <w:noProof/>
          <w:lang w:val="en-CA" w:eastAsia="ko-KR"/>
        </w:rPr>
        <w:t> </w:t>
      </w:r>
      <w:r w:rsidRPr="00C64F69">
        <w:rPr>
          <w:noProof/>
          <w:lang w:val="en-CA"/>
        </w:rPr>
        <w:t>mvL[ 1 ] &gt;&gt; 4</w:t>
      </w:r>
      <w:r w:rsidRPr="00C64F69">
        <w:rPr>
          <w:noProof/>
          <w:lang w:val="en-CA" w:eastAsia="ko-KR"/>
        </w:rPr>
        <w:t> </w:t>
      </w:r>
      <w:r w:rsidRPr="00C64F69">
        <w:rPr>
          <w:noProof/>
          <w:lang w:val="en-CA"/>
        </w:rPr>
        <w:t>)</w:t>
      </w:r>
      <w:r w:rsidRPr="00C64F69">
        <w:rPr>
          <w:noProof/>
          <w:lang w:val="en-CA" w:eastAsia="ko-KR"/>
        </w:rPr>
        <w:t> </w:t>
      </w:r>
      <w:r w:rsidRPr="00C64F69">
        <w:rPr>
          <w:noProof/>
          <w:lang w:val="en-CA"/>
        </w:rPr>
        <w:t>) &gt;&gt; (</w:t>
      </w:r>
      <w:r w:rsidRPr="00C64F69">
        <w:rPr>
          <w:noProof/>
          <w:lang w:val="en-CA" w:eastAsia="ko-KR"/>
        </w:rPr>
        <w:t> </w:t>
      </w:r>
      <w:r w:rsidRPr="00C64F69">
        <w:rPr>
          <w:noProof/>
          <w:lang w:val="en-CA"/>
        </w:rPr>
        <w:t>CtbLog2SizeY </w:t>
      </w:r>
      <w:r w:rsidRPr="00C64F69" w:rsidDel="003C51E6">
        <w:rPr>
          <w:noProof/>
          <w:lang w:val="en-CA" w:eastAsia="ko-KR"/>
        </w:rPr>
        <w:t>−</w:t>
      </w:r>
      <w:r w:rsidRPr="00C64F69">
        <w:rPr>
          <w:noProof/>
          <w:lang w:val="en-CA" w:eastAsia="ko-KR"/>
        </w:rPr>
        <w:t> </w:t>
      </w:r>
      <w:r w:rsidRPr="00C64F69">
        <w:rPr>
          <w:noProof/>
          <w:lang w:val="en-CA"/>
        </w:rPr>
        <w:t>1</w:t>
      </w:r>
      <w:r w:rsidRPr="00C64F69">
        <w:rPr>
          <w:noProof/>
          <w:lang w:val="en-CA" w:eastAsia="ko-KR"/>
        </w:rPr>
        <w:t> </w:t>
      </w:r>
      <w:r w:rsidRPr="00C64F69">
        <w:rPr>
          <w:noProof/>
          <w:lang w:val="en-CA"/>
        </w:rPr>
        <w:t>)</w:t>
      </w:r>
      <w:r w:rsidRPr="00C64F69">
        <w:rPr>
          <w:noProof/>
          <w:lang w:val="en-CA" w:eastAsia="ko-KR"/>
        </w:rPr>
        <w:t> </w:t>
      </w:r>
      <w:r w:rsidRPr="00C64F69">
        <w:rPr>
          <w:noProof/>
          <w:lang w:val="en-CA"/>
        </w:rPr>
        <w:t>) &lt;&lt; (</w:t>
      </w:r>
      <w:r w:rsidRPr="00C64F69">
        <w:rPr>
          <w:noProof/>
          <w:lang w:val="en-CA" w:eastAsia="ko-KR"/>
        </w:rPr>
        <w:t> </w:t>
      </w:r>
      <w:r w:rsidRPr="00C64F69">
        <w:rPr>
          <w:noProof/>
          <w:lang w:val="en-CA"/>
        </w:rPr>
        <w:t>CtbLog2SizeY </w:t>
      </w:r>
      <w:r w:rsidRPr="00C64F69" w:rsidDel="003C51E6">
        <w:rPr>
          <w:noProof/>
          <w:lang w:val="en-CA" w:eastAsia="ko-KR"/>
        </w:rPr>
        <w:t>−</w:t>
      </w:r>
      <w:r w:rsidRPr="00C64F69">
        <w:rPr>
          <w:noProof/>
          <w:lang w:val="en-CA" w:eastAsia="ko-KR"/>
        </w:rPr>
        <w:t> </w:t>
      </w:r>
      <w:r w:rsidRPr="00C64F69">
        <w:rPr>
          <w:noProof/>
          <w:lang w:val="en-CA"/>
        </w:rPr>
        <w:t>1</w:t>
      </w:r>
      <w:r w:rsidRPr="00C64F69">
        <w:rPr>
          <w:noProof/>
          <w:lang w:val="en-CA" w:eastAsia="ko-KR"/>
        </w:rPr>
        <w:t> </w:t>
      </w:r>
      <w:r w:rsidRPr="00C64F69">
        <w:rPr>
          <w:noProof/>
          <w:lang w:val="en-CA"/>
        </w:rPr>
        <w:t>)</w:t>
      </w:r>
      <w:r w:rsidRPr="00C64F69">
        <w:rPr>
          <w:noProof/>
          <w:lang w:val="en-CA" w:eastAsia="ko-KR"/>
        </w:rPr>
        <w:t> </w:t>
      </w:r>
      <w:r w:rsidRPr="00C64F69">
        <w:rPr>
          <w:noProof/>
          <w:lang w:val="en-CA"/>
        </w:rPr>
        <w:t>) as inputs, and the output shall be equal to FALSE.</w:t>
      </w:r>
    </w:p>
    <w:p w14:paraId="38EDC47B" w14:textId="10201543" w:rsidR="00B35113" w:rsidRPr="0074067D" w:rsidRDefault="00B35113" w:rsidP="00B35113">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highlight w:val="yellow"/>
          <w:lang w:val="en-CA"/>
        </w:rPr>
      </w:pPr>
      <w:r w:rsidRPr="0074067D">
        <w:rPr>
          <w:noProof/>
          <w:highlight w:val="yellow"/>
          <w:lang w:val="en-CA" w:eastAsia="ko-KR"/>
        </w:rPr>
        <w:t>The luma location ( ( ( xCb + ( mvL[ 0 ] &gt;&gt; 4 ) + CtbSizeY ) &gt;&gt; ( CtbLog2SizeY − 1 ) ) &lt;&lt; ( CtbLog2SizeY − 1 ), ( ( yCb + ( mvL[ 1 ] &gt;&gt; 4 ) ) &gt;&gt; ( CtbLog2SizeY − 1 ) ) &lt;&lt; ( CtbLog2SizeY − 1 ) ) shall not be equal to ( xCb, yCb ).</w:t>
      </w:r>
    </w:p>
    <w:p w14:paraId="45862BC3" w14:textId="2E6EA6C7" w:rsidR="00093A6A" w:rsidRPr="00093A6A" w:rsidRDefault="00093A6A" w:rsidP="00093A6A">
      <w:pPr>
        <w:pStyle w:val="Heading1"/>
        <w:ind w:left="360" w:hanging="360"/>
        <w:rPr>
          <w:lang w:val="en-CA"/>
        </w:rPr>
      </w:pPr>
      <w:r w:rsidRPr="00093A6A">
        <w:rPr>
          <w:lang w:val="en-CA"/>
        </w:rPr>
        <w:t>Simulation results</w:t>
      </w:r>
    </w:p>
    <w:p w14:paraId="4EEB2C45" w14:textId="3C69D93E" w:rsidR="007F1B87" w:rsidRDefault="007F1B87" w:rsidP="00E9522F">
      <w:pPr>
        <w:rPr>
          <w:szCs w:val="22"/>
          <w:lang w:val="en-CA"/>
        </w:rPr>
      </w:pPr>
      <w:r>
        <w:rPr>
          <w:szCs w:val="22"/>
          <w:lang w:val="en-CA"/>
        </w:rPr>
        <w:t>The proposed method is implemented on top of VTM-4.0. Simulation is performed using the common test condition as defined in JVET-M1010.</w:t>
      </w:r>
    </w:p>
    <w:p w14:paraId="70EA76AC" w14:textId="47EB11DC" w:rsidR="00EB6708" w:rsidRDefault="007F1B87" w:rsidP="007F1B87">
      <w:pPr>
        <w:jc w:val="center"/>
        <w:rPr>
          <w:szCs w:val="22"/>
          <w:lang w:val="en-CA"/>
        </w:rPr>
      </w:pPr>
      <w:r>
        <w:rPr>
          <w:szCs w:val="22"/>
          <w:lang w:val="en-CA"/>
        </w:rPr>
        <w:t xml:space="preserve">Table I: </w:t>
      </w:r>
      <w:r w:rsidR="002614EE">
        <w:rPr>
          <w:rFonts w:hint="eastAsia"/>
          <w:szCs w:val="22"/>
          <w:lang w:val="en-CA" w:eastAsia="zh-CN"/>
        </w:rPr>
        <w:t>P</w:t>
      </w:r>
      <w:r w:rsidR="005A020C">
        <w:rPr>
          <w:szCs w:val="22"/>
          <w:lang w:val="en-CA"/>
        </w:rPr>
        <w:t xml:space="preserve">roposed </w:t>
      </w:r>
      <w:r w:rsidR="002614EE">
        <w:rPr>
          <w:szCs w:val="22"/>
          <w:lang w:val="en-CA"/>
        </w:rPr>
        <w:t>restriction</w:t>
      </w:r>
      <w:r w:rsidR="005A020C">
        <w:rPr>
          <w:szCs w:val="22"/>
          <w:lang w:val="en-CA"/>
        </w:rPr>
        <w:t xml:space="preserve"> vs </w:t>
      </w:r>
      <w:r w:rsidR="002614EE">
        <w:rPr>
          <w:szCs w:val="22"/>
          <w:lang w:val="en-CA"/>
        </w:rPr>
        <w:t>VTM-4.0 anchor</w:t>
      </w:r>
    </w:p>
    <w:tbl>
      <w:tblPr>
        <w:tblW w:w="7020" w:type="dxa"/>
        <w:jc w:val="center"/>
        <w:tblLook w:val="04A0" w:firstRow="1" w:lastRow="0" w:firstColumn="1" w:lastColumn="0" w:noHBand="0" w:noVBand="1"/>
      </w:tblPr>
      <w:tblGrid>
        <w:gridCol w:w="1620"/>
        <w:gridCol w:w="1191"/>
        <w:gridCol w:w="1072"/>
        <w:gridCol w:w="1191"/>
        <w:gridCol w:w="973"/>
        <w:gridCol w:w="973"/>
      </w:tblGrid>
      <w:tr w:rsidR="00E90B8F" w:rsidRPr="00E90B8F" w14:paraId="0BD3FB74"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07A64490"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10A101F0"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90B8F">
              <w:rPr>
                <w:rFonts w:ascii="Arial" w:eastAsia="Times New Roman" w:hAnsi="Arial" w:cs="Arial"/>
                <w:b/>
                <w:bCs/>
                <w:color w:val="000000"/>
                <w:sz w:val="18"/>
                <w:szCs w:val="18"/>
                <w:lang w:eastAsia="zh-CN"/>
              </w:rPr>
              <w:t xml:space="preserve">All Intra Main10 </w:t>
            </w:r>
          </w:p>
        </w:tc>
      </w:tr>
      <w:tr w:rsidR="00E90B8F" w:rsidRPr="00E90B8F" w14:paraId="66D520DE"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5E624B82"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7BF7A72B"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90B8F">
              <w:rPr>
                <w:rFonts w:ascii="Arial" w:eastAsia="Times New Roman" w:hAnsi="Arial" w:cs="Arial"/>
                <w:b/>
                <w:bCs/>
                <w:color w:val="000000"/>
                <w:sz w:val="18"/>
                <w:szCs w:val="18"/>
                <w:lang w:eastAsia="zh-CN"/>
              </w:rPr>
              <w:t>Over VTM4-IBC-on</w:t>
            </w:r>
          </w:p>
        </w:tc>
      </w:tr>
      <w:tr w:rsidR="00E90B8F" w:rsidRPr="00E90B8F" w14:paraId="1233E1B8"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195AD56B"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91" w:type="dxa"/>
            <w:tcBorders>
              <w:top w:val="nil"/>
              <w:left w:val="single" w:sz="8" w:space="0" w:color="auto"/>
              <w:bottom w:val="single" w:sz="8" w:space="0" w:color="auto"/>
              <w:right w:val="nil"/>
            </w:tcBorders>
            <w:shd w:val="clear" w:color="auto" w:fill="auto"/>
            <w:noWrap/>
            <w:vAlign w:val="center"/>
            <w:hideMark/>
          </w:tcPr>
          <w:p w14:paraId="4CBA2B82"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Y</w:t>
            </w:r>
          </w:p>
        </w:tc>
        <w:tc>
          <w:tcPr>
            <w:tcW w:w="1072" w:type="dxa"/>
            <w:tcBorders>
              <w:top w:val="nil"/>
              <w:left w:val="nil"/>
              <w:bottom w:val="single" w:sz="8" w:space="0" w:color="auto"/>
              <w:right w:val="nil"/>
            </w:tcBorders>
            <w:shd w:val="clear" w:color="auto" w:fill="auto"/>
            <w:noWrap/>
            <w:vAlign w:val="center"/>
            <w:hideMark/>
          </w:tcPr>
          <w:p w14:paraId="1D23F890"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08037A18"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V</w:t>
            </w:r>
          </w:p>
        </w:tc>
        <w:tc>
          <w:tcPr>
            <w:tcW w:w="973" w:type="dxa"/>
            <w:tcBorders>
              <w:top w:val="nil"/>
              <w:left w:val="nil"/>
              <w:bottom w:val="single" w:sz="8" w:space="0" w:color="auto"/>
              <w:right w:val="nil"/>
            </w:tcBorders>
            <w:shd w:val="clear" w:color="auto" w:fill="auto"/>
            <w:noWrap/>
            <w:vAlign w:val="center"/>
            <w:hideMark/>
          </w:tcPr>
          <w:p w14:paraId="086F8CAA"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90B8F">
              <w:rPr>
                <w:rFonts w:ascii="Arial" w:eastAsia="Times New Roman" w:hAnsi="Arial" w:cs="Arial"/>
                <w:color w:val="000000"/>
                <w:sz w:val="18"/>
                <w:szCs w:val="18"/>
                <w:lang w:eastAsia="zh-CN"/>
              </w:rPr>
              <w:t>EncT</w:t>
            </w:r>
            <w:proofErr w:type="spellEnd"/>
          </w:p>
        </w:tc>
        <w:tc>
          <w:tcPr>
            <w:tcW w:w="973" w:type="dxa"/>
            <w:tcBorders>
              <w:top w:val="nil"/>
              <w:left w:val="nil"/>
              <w:bottom w:val="single" w:sz="8" w:space="0" w:color="auto"/>
              <w:right w:val="single" w:sz="8" w:space="0" w:color="auto"/>
            </w:tcBorders>
            <w:shd w:val="clear" w:color="auto" w:fill="auto"/>
            <w:noWrap/>
            <w:vAlign w:val="center"/>
            <w:hideMark/>
          </w:tcPr>
          <w:p w14:paraId="3A741419"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90B8F">
              <w:rPr>
                <w:rFonts w:ascii="Arial" w:eastAsia="Times New Roman" w:hAnsi="Arial" w:cs="Arial"/>
                <w:color w:val="000000"/>
                <w:sz w:val="18"/>
                <w:szCs w:val="18"/>
                <w:lang w:eastAsia="zh-CN"/>
              </w:rPr>
              <w:t>DecT</w:t>
            </w:r>
            <w:proofErr w:type="spellEnd"/>
          </w:p>
        </w:tc>
      </w:tr>
      <w:tr w:rsidR="00E90B8F" w:rsidRPr="00E90B8F" w14:paraId="6936836A" w14:textId="77777777" w:rsidTr="00E90B8F">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6B671321"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Class F</w:t>
            </w:r>
          </w:p>
        </w:tc>
        <w:tc>
          <w:tcPr>
            <w:tcW w:w="1191" w:type="dxa"/>
            <w:tcBorders>
              <w:top w:val="nil"/>
              <w:left w:val="single" w:sz="8" w:space="0" w:color="auto"/>
              <w:bottom w:val="single" w:sz="8" w:space="0" w:color="auto"/>
              <w:right w:val="nil"/>
            </w:tcBorders>
            <w:shd w:val="clear" w:color="auto" w:fill="auto"/>
            <w:noWrap/>
            <w:vAlign w:val="center"/>
            <w:hideMark/>
          </w:tcPr>
          <w:p w14:paraId="6C55B72C"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0.07%</w:t>
            </w:r>
          </w:p>
        </w:tc>
        <w:tc>
          <w:tcPr>
            <w:tcW w:w="1072" w:type="dxa"/>
            <w:tcBorders>
              <w:top w:val="nil"/>
              <w:left w:val="nil"/>
              <w:bottom w:val="single" w:sz="8" w:space="0" w:color="auto"/>
              <w:right w:val="nil"/>
            </w:tcBorders>
            <w:shd w:val="clear" w:color="auto" w:fill="auto"/>
            <w:noWrap/>
            <w:vAlign w:val="center"/>
            <w:hideMark/>
          </w:tcPr>
          <w:p w14:paraId="2F60F943"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0.08%</w:t>
            </w:r>
          </w:p>
        </w:tc>
        <w:tc>
          <w:tcPr>
            <w:tcW w:w="1191" w:type="dxa"/>
            <w:tcBorders>
              <w:top w:val="nil"/>
              <w:left w:val="nil"/>
              <w:bottom w:val="single" w:sz="8" w:space="0" w:color="auto"/>
              <w:right w:val="single" w:sz="4" w:space="0" w:color="auto"/>
            </w:tcBorders>
            <w:shd w:val="clear" w:color="auto" w:fill="auto"/>
            <w:noWrap/>
            <w:vAlign w:val="center"/>
            <w:hideMark/>
          </w:tcPr>
          <w:p w14:paraId="364756EF"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-0.01%</w:t>
            </w:r>
          </w:p>
        </w:tc>
        <w:tc>
          <w:tcPr>
            <w:tcW w:w="973" w:type="dxa"/>
            <w:tcBorders>
              <w:top w:val="nil"/>
              <w:left w:val="nil"/>
              <w:bottom w:val="single" w:sz="8" w:space="0" w:color="auto"/>
              <w:right w:val="nil"/>
            </w:tcBorders>
            <w:shd w:val="clear" w:color="auto" w:fill="auto"/>
            <w:noWrap/>
            <w:vAlign w:val="center"/>
            <w:hideMark/>
          </w:tcPr>
          <w:p w14:paraId="69DECF43"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100%</w:t>
            </w:r>
          </w:p>
        </w:tc>
        <w:tc>
          <w:tcPr>
            <w:tcW w:w="973" w:type="dxa"/>
            <w:tcBorders>
              <w:top w:val="nil"/>
              <w:left w:val="nil"/>
              <w:bottom w:val="single" w:sz="8" w:space="0" w:color="auto"/>
              <w:right w:val="single" w:sz="8" w:space="0" w:color="auto"/>
            </w:tcBorders>
            <w:shd w:val="clear" w:color="auto" w:fill="auto"/>
            <w:noWrap/>
            <w:vAlign w:val="center"/>
            <w:hideMark/>
          </w:tcPr>
          <w:p w14:paraId="23C21F46"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101%</w:t>
            </w:r>
          </w:p>
        </w:tc>
      </w:tr>
      <w:tr w:rsidR="00E90B8F" w:rsidRPr="00E90B8F" w14:paraId="1A4B92E5" w14:textId="77777777" w:rsidTr="00E90B8F">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6B5C622E"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Class SCC 1080p</w:t>
            </w:r>
          </w:p>
        </w:tc>
        <w:tc>
          <w:tcPr>
            <w:tcW w:w="1191" w:type="dxa"/>
            <w:tcBorders>
              <w:top w:val="nil"/>
              <w:left w:val="single" w:sz="8" w:space="0" w:color="auto"/>
              <w:bottom w:val="single" w:sz="8" w:space="0" w:color="auto"/>
              <w:right w:val="nil"/>
            </w:tcBorders>
            <w:shd w:val="clear" w:color="auto" w:fill="auto"/>
            <w:noWrap/>
            <w:vAlign w:val="center"/>
            <w:hideMark/>
          </w:tcPr>
          <w:p w14:paraId="522F7566"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0.22%</w:t>
            </w:r>
          </w:p>
        </w:tc>
        <w:tc>
          <w:tcPr>
            <w:tcW w:w="1072" w:type="dxa"/>
            <w:tcBorders>
              <w:top w:val="nil"/>
              <w:left w:val="nil"/>
              <w:bottom w:val="single" w:sz="8" w:space="0" w:color="auto"/>
              <w:right w:val="nil"/>
            </w:tcBorders>
            <w:shd w:val="clear" w:color="auto" w:fill="auto"/>
            <w:noWrap/>
            <w:vAlign w:val="center"/>
            <w:hideMark/>
          </w:tcPr>
          <w:p w14:paraId="01B7991C"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0.22%</w:t>
            </w:r>
          </w:p>
        </w:tc>
        <w:tc>
          <w:tcPr>
            <w:tcW w:w="1191" w:type="dxa"/>
            <w:tcBorders>
              <w:top w:val="nil"/>
              <w:left w:val="nil"/>
              <w:bottom w:val="single" w:sz="8" w:space="0" w:color="auto"/>
              <w:right w:val="single" w:sz="4" w:space="0" w:color="auto"/>
            </w:tcBorders>
            <w:shd w:val="clear" w:color="auto" w:fill="auto"/>
            <w:noWrap/>
            <w:vAlign w:val="center"/>
            <w:hideMark/>
          </w:tcPr>
          <w:p w14:paraId="7B796C7C"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0.20%</w:t>
            </w:r>
          </w:p>
        </w:tc>
        <w:tc>
          <w:tcPr>
            <w:tcW w:w="973" w:type="dxa"/>
            <w:tcBorders>
              <w:top w:val="nil"/>
              <w:left w:val="nil"/>
              <w:bottom w:val="single" w:sz="8" w:space="0" w:color="auto"/>
              <w:right w:val="nil"/>
            </w:tcBorders>
            <w:shd w:val="clear" w:color="auto" w:fill="auto"/>
            <w:noWrap/>
            <w:vAlign w:val="center"/>
            <w:hideMark/>
          </w:tcPr>
          <w:p w14:paraId="7C43BC6B"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103%</w:t>
            </w:r>
          </w:p>
        </w:tc>
        <w:tc>
          <w:tcPr>
            <w:tcW w:w="973" w:type="dxa"/>
            <w:tcBorders>
              <w:top w:val="nil"/>
              <w:left w:val="nil"/>
              <w:bottom w:val="single" w:sz="8" w:space="0" w:color="auto"/>
              <w:right w:val="single" w:sz="8" w:space="0" w:color="auto"/>
            </w:tcBorders>
            <w:shd w:val="clear" w:color="auto" w:fill="auto"/>
            <w:noWrap/>
            <w:vAlign w:val="center"/>
            <w:hideMark/>
          </w:tcPr>
          <w:p w14:paraId="4DA050E0"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101%</w:t>
            </w:r>
          </w:p>
        </w:tc>
      </w:tr>
      <w:tr w:rsidR="00E90B8F" w:rsidRPr="00E90B8F" w14:paraId="5F00B59E"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604F15C9"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1" w:type="dxa"/>
            <w:tcBorders>
              <w:top w:val="nil"/>
              <w:left w:val="nil"/>
              <w:bottom w:val="nil"/>
              <w:right w:val="nil"/>
            </w:tcBorders>
            <w:shd w:val="clear" w:color="auto" w:fill="auto"/>
            <w:noWrap/>
            <w:vAlign w:val="center"/>
            <w:hideMark/>
          </w:tcPr>
          <w:p w14:paraId="55039B82"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72" w:type="dxa"/>
            <w:tcBorders>
              <w:top w:val="nil"/>
              <w:left w:val="nil"/>
              <w:bottom w:val="nil"/>
              <w:right w:val="nil"/>
            </w:tcBorders>
            <w:shd w:val="clear" w:color="auto" w:fill="auto"/>
            <w:noWrap/>
            <w:vAlign w:val="center"/>
            <w:hideMark/>
          </w:tcPr>
          <w:p w14:paraId="06719BC1"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1" w:type="dxa"/>
            <w:tcBorders>
              <w:top w:val="nil"/>
              <w:left w:val="nil"/>
              <w:bottom w:val="nil"/>
              <w:right w:val="nil"/>
            </w:tcBorders>
            <w:shd w:val="clear" w:color="auto" w:fill="auto"/>
            <w:noWrap/>
            <w:vAlign w:val="center"/>
            <w:hideMark/>
          </w:tcPr>
          <w:p w14:paraId="4F70E034"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3" w:type="dxa"/>
            <w:tcBorders>
              <w:top w:val="nil"/>
              <w:left w:val="nil"/>
              <w:bottom w:val="nil"/>
              <w:right w:val="nil"/>
            </w:tcBorders>
            <w:shd w:val="clear" w:color="auto" w:fill="auto"/>
            <w:noWrap/>
            <w:vAlign w:val="center"/>
            <w:hideMark/>
          </w:tcPr>
          <w:p w14:paraId="3856015C"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3" w:type="dxa"/>
            <w:tcBorders>
              <w:top w:val="nil"/>
              <w:left w:val="nil"/>
              <w:bottom w:val="nil"/>
              <w:right w:val="nil"/>
            </w:tcBorders>
            <w:shd w:val="clear" w:color="auto" w:fill="auto"/>
            <w:noWrap/>
            <w:vAlign w:val="center"/>
            <w:hideMark/>
          </w:tcPr>
          <w:p w14:paraId="567EF16D"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90B8F" w:rsidRPr="00E90B8F" w14:paraId="2897E756"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39445221"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0D0F8CC4"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90B8F">
              <w:rPr>
                <w:rFonts w:ascii="Arial" w:eastAsia="Times New Roman" w:hAnsi="Arial" w:cs="Arial"/>
                <w:b/>
                <w:bCs/>
                <w:color w:val="000000"/>
                <w:sz w:val="18"/>
                <w:szCs w:val="18"/>
                <w:lang w:eastAsia="zh-CN"/>
              </w:rPr>
              <w:t>Random Access Main 10</w:t>
            </w:r>
          </w:p>
        </w:tc>
      </w:tr>
      <w:tr w:rsidR="00E90B8F" w:rsidRPr="00E90B8F" w14:paraId="71D02120"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6692A78E"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32E035"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90B8F">
              <w:rPr>
                <w:rFonts w:ascii="Arial" w:eastAsia="Times New Roman" w:hAnsi="Arial" w:cs="Arial"/>
                <w:b/>
                <w:bCs/>
                <w:color w:val="000000"/>
                <w:sz w:val="18"/>
                <w:szCs w:val="18"/>
                <w:lang w:eastAsia="zh-CN"/>
              </w:rPr>
              <w:t>Over VTM4-IBC-on</w:t>
            </w:r>
          </w:p>
        </w:tc>
      </w:tr>
      <w:tr w:rsidR="00E90B8F" w:rsidRPr="00E90B8F" w14:paraId="1A974A41"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5893BA97"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91" w:type="dxa"/>
            <w:tcBorders>
              <w:top w:val="nil"/>
              <w:left w:val="single" w:sz="8" w:space="0" w:color="auto"/>
              <w:bottom w:val="single" w:sz="8" w:space="0" w:color="auto"/>
              <w:right w:val="nil"/>
            </w:tcBorders>
            <w:shd w:val="clear" w:color="auto" w:fill="auto"/>
            <w:noWrap/>
            <w:vAlign w:val="center"/>
            <w:hideMark/>
          </w:tcPr>
          <w:p w14:paraId="366A1756"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Y</w:t>
            </w:r>
          </w:p>
        </w:tc>
        <w:tc>
          <w:tcPr>
            <w:tcW w:w="1072" w:type="dxa"/>
            <w:tcBorders>
              <w:top w:val="nil"/>
              <w:left w:val="nil"/>
              <w:bottom w:val="single" w:sz="8" w:space="0" w:color="auto"/>
              <w:right w:val="nil"/>
            </w:tcBorders>
            <w:shd w:val="clear" w:color="auto" w:fill="auto"/>
            <w:noWrap/>
            <w:vAlign w:val="center"/>
            <w:hideMark/>
          </w:tcPr>
          <w:p w14:paraId="1F0E07F9"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7854AB1A"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V</w:t>
            </w:r>
          </w:p>
        </w:tc>
        <w:tc>
          <w:tcPr>
            <w:tcW w:w="973" w:type="dxa"/>
            <w:tcBorders>
              <w:top w:val="nil"/>
              <w:left w:val="nil"/>
              <w:bottom w:val="single" w:sz="8" w:space="0" w:color="auto"/>
              <w:right w:val="nil"/>
            </w:tcBorders>
            <w:shd w:val="clear" w:color="auto" w:fill="auto"/>
            <w:noWrap/>
            <w:vAlign w:val="center"/>
            <w:hideMark/>
          </w:tcPr>
          <w:p w14:paraId="633507DE"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90B8F">
              <w:rPr>
                <w:rFonts w:ascii="Arial" w:eastAsia="Times New Roman" w:hAnsi="Arial" w:cs="Arial"/>
                <w:color w:val="000000"/>
                <w:sz w:val="18"/>
                <w:szCs w:val="18"/>
                <w:lang w:eastAsia="zh-CN"/>
              </w:rPr>
              <w:t>EncT</w:t>
            </w:r>
            <w:proofErr w:type="spellEnd"/>
          </w:p>
        </w:tc>
        <w:tc>
          <w:tcPr>
            <w:tcW w:w="973" w:type="dxa"/>
            <w:tcBorders>
              <w:top w:val="nil"/>
              <w:left w:val="nil"/>
              <w:bottom w:val="single" w:sz="8" w:space="0" w:color="auto"/>
              <w:right w:val="single" w:sz="8" w:space="0" w:color="auto"/>
            </w:tcBorders>
            <w:shd w:val="clear" w:color="auto" w:fill="auto"/>
            <w:noWrap/>
            <w:vAlign w:val="center"/>
            <w:hideMark/>
          </w:tcPr>
          <w:p w14:paraId="047BC092"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90B8F">
              <w:rPr>
                <w:rFonts w:ascii="Arial" w:eastAsia="Times New Roman" w:hAnsi="Arial" w:cs="Arial"/>
                <w:color w:val="000000"/>
                <w:sz w:val="18"/>
                <w:szCs w:val="18"/>
                <w:lang w:eastAsia="zh-CN"/>
              </w:rPr>
              <w:t>DecT</w:t>
            </w:r>
            <w:proofErr w:type="spellEnd"/>
          </w:p>
        </w:tc>
      </w:tr>
      <w:tr w:rsidR="00E90B8F" w:rsidRPr="00E90B8F" w14:paraId="760B4DC4" w14:textId="77777777" w:rsidTr="00E90B8F">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39084F58"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Class F</w:t>
            </w:r>
          </w:p>
        </w:tc>
        <w:tc>
          <w:tcPr>
            <w:tcW w:w="1191" w:type="dxa"/>
            <w:tcBorders>
              <w:top w:val="nil"/>
              <w:left w:val="nil"/>
              <w:bottom w:val="single" w:sz="8" w:space="0" w:color="auto"/>
              <w:right w:val="nil"/>
            </w:tcBorders>
            <w:shd w:val="clear" w:color="auto" w:fill="auto"/>
            <w:noWrap/>
            <w:vAlign w:val="center"/>
            <w:hideMark/>
          </w:tcPr>
          <w:p w14:paraId="0ED8B17F"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0.03%</w:t>
            </w:r>
          </w:p>
        </w:tc>
        <w:tc>
          <w:tcPr>
            <w:tcW w:w="1072" w:type="dxa"/>
            <w:tcBorders>
              <w:top w:val="nil"/>
              <w:left w:val="nil"/>
              <w:bottom w:val="single" w:sz="8" w:space="0" w:color="auto"/>
              <w:right w:val="nil"/>
            </w:tcBorders>
            <w:shd w:val="clear" w:color="auto" w:fill="auto"/>
            <w:noWrap/>
            <w:vAlign w:val="center"/>
            <w:hideMark/>
          </w:tcPr>
          <w:p w14:paraId="2A1E1667"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0.13%</w:t>
            </w:r>
          </w:p>
        </w:tc>
        <w:tc>
          <w:tcPr>
            <w:tcW w:w="1191" w:type="dxa"/>
            <w:tcBorders>
              <w:top w:val="nil"/>
              <w:left w:val="nil"/>
              <w:bottom w:val="single" w:sz="8" w:space="0" w:color="auto"/>
              <w:right w:val="single" w:sz="4" w:space="0" w:color="auto"/>
            </w:tcBorders>
            <w:shd w:val="clear" w:color="auto" w:fill="auto"/>
            <w:noWrap/>
            <w:vAlign w:val="center"/>
            <w:hideMark/>
          </w:tcPr>
          <w:p w14:paraId="5F4E28E9"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-0.03%</w:t>
            </w:r>
          </w:p>
        </w:tc>
        <w:tc>
          <w:tcPr>
            <w:tcW w:w="973" w:type="dxa"/>
            <w:tcBorders>
              <w:top w:val="nil"/>
              <w:left w:val="nil"/>
              <w:bottom w:val="single" w:sz="8" w:space="0" w:color="auto"/>
              <w:right w:val="nil"/>
            </w:tcBorders>
            <w:shd w:val="clear" w:color="auto" w:fill="auto"/>
            <w:noWrap/>
            <w:vAlign w:val="center"/>
            <w:hideMark/>
          </w:tcPr>
          <w:p w14:paraId="54845506"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100%</w:t>
            </w:r>
          </w:p>
        </w:tc>
        <w:tc>
          <w:tcPr>
            <w:tcW w:w="973" w:type="dxa"/>
            <w:tcBorders>
              <w:top w:val="nil"/>
              <w:left w:val="nil"/>
              <w:bottom w:val="single" w:sz="8" w:space="0" w:color="auto"/>
              <w:right w:val="single" w:sz="8" w:space="0" w:color="auto"/>
            </w:tcBorders>
            <w:shd w:val="clear" w:color="auto" w:fill="auto"/>
            <w:noWrap/>
            <w:vAlign w:val="center"/>
            <w:hideMark/>
          </w:tcPr>
          <w:p w14:paraId="73BEB3F9"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101%</w:t>
            </w:r>
          </w:p>
        </w:tc>
      </w:tr>
      <w:tr w:rsidR="00E90B8F" w:rsidRPr="00E90B8F" w14:paraId="7DD15E7A" w14:textId="77777777" w:rsidTr="00E90B8F">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2AB35137"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Class SCC 1080p</w:t>
            </w:r>
          </w:p>
        </w:tc>
        <w:tc>
          <w:tcPr>
            <w:tcW w:w="1191" w:type="dxa"/>
            <w:tcBorders>
              <w:top w:val="nil"/>
              <w:left w:val="nil"/>
              <w:bottom w:val="single" w:sz="8" w:space="0" w:color="auto"/>
              <w:right w:val="nil"/>
            </w:tcBorders>
            <w:shd w:val="clear" w:color="auto" w:fill="auto"/>
            <w:noWrap/>
            <w:vAlign w:val="center"/>
            <w:hideMark/>
          </w:tcPr>
          <w:p w14:paraId="3C3F6BF2"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0.07%</w:t>
            </w:r>
          </w:p>
        </w:tc>
        <w:tc>
          <w:tcPr>
            <w:tcW w:w="1072" w:type="dxa"/>
            <w:tcBorders>
              <w:top w:val="nil"/>
              <w:left w:val="nil"/>
              <w:bottom w:val="single" w:sz="8" w:space="0" w:color="auto"/>
              <w:right w:val="nil"/>
            </w:tcBorders>
            <w:shd w:val="clear" w:color="auto" w:fill="auto"/>
            <w:noWrap/>
            <w:vAlign w:val="center"/>
            <w:hideMark/>
          </w:tcPr>
          <w:p w14:paraId="681CE8E5"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0.09%</w:t>
            </w:r>
          </w:p>
        </w:tc>
        <w:tc>
          <w:tcPr>
            <w:tcW w:w="1191" w:type="dxa"/>
            <w:tcBorders>
              <w:top w:val="nil"/>
              <w:left w:val="nil"/>
              <w:bottom w:val="single" w:sz="8" w:space="0" w:color="auto"/>
              <w:right w:val="single" w:sz="4" w:space="0" w:color="auto"/>
            </w:tcBorders>
            <w:shd w:val="clear" w:color="auto" w:fill="auto"/>
            <w:noWrap/>
            <w:vAlign w:val="center"/>
            <w:hideMark/>
          </w:tcPr>
          <w:p w14:paraId="381F8C0F"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0.06%</w:t>
            </w:r>
          </w:p>
        </w:tc>
        <w:tc>
          <w:tcPr>
            <w:tcW w:w="973" w:type="dxa"/>
            <w:tcBorders>
              <w:top w:val="nil"/>
              <w:left w:val="nil"/>
              <w:bottom w:val="single" w:sz="8" w:space="0" w:color="auto"/>
              <w:right w:val="nil"/>
            </w:tcBorders>
            <w:shd w:val="clear" w:color="auto" w:fill="auto"/>
            <w:noWrap/>
            <w:vAlign w:val="center"/>
            <w:hideMark/>
          </w:tcPr>
          <w:p w14:paraId="2D4CE062"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100%</w:t>
            </w:r>
          </w:p>
        </w:tc>
        <w:tc>
          <w:tcPr>
            <w:tcW w:w="973" w:type="dxa"/>
            <w:tcBorders>
              <w:top w:val="nil"/>
              <w:left w:val="nil"/>
              <w:bottom w:val="single" w:sz="8" w:space="0" w:color="auto"/>
              <w:right w:val="single" w:sz="8" w:space="0" w:color="auto"/>
            </w:tcBorders>
            <w:shd w:val="clear" w:color="auto" w:fill="auto"/>
            <w:noWrap/>
            <w:vAlign w:val="center"/>
            <w:hideMark/>
          </w:tcPr>
          <w:p w14:paraId="7948EDA2"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100%</w:t>
            </w:r>
          </w:p>
        </w:tc>
      </w:tr>
      <w:tr w:rsidR="00E90B8F" w:rsidRPr="00E90B8F" w14:paraId="2407F463"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64226D9F"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1" w:type="dxa"/>
            <w:tcBorders>
              <w:top w:val="nil"/>
              <w:left w:val="nil"/>
              <w:bottom w:val="nil"/>
              <w:right w:val="nil"/>
            </w:tcBorders>
            <w:shd w:val="clear" w:color="auto" w:fill="auto"/>
            <w:noWrap/>
            <w:vAlign w:val="bottom"/>
            <w:hideMark/>
          </w:tcPr>
          <w:p w14:paraId="17D45DFB"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72" w:type="dxa"/>
            <w:tcBorders>
              <w:top w:val="nil"/>
              <w:left w:val="nil"/>
              <w:bottom w:val="nil"/>
              <w:right w:val="nil"/>
            </w:tcBorders>
            <w:shd w:val="clear" w:color="auto" w:fill="auto"/>
            <w:noWrap/>
            <w:vAlign w:val="bottom"/>
            <w:hideMark/>
          </w:tcPr>
          <w:p w14:paraId="49262B44"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5856BBAC"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126AABE0"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3" w:type="dxa"/>
            <w:tcBorders>
              <w:top w:val="nil"/>
              <w:left w:val="nil"/>
              <w:bottom w:val="nil"/>
              <w:right w:val="nil"/>
            </w:tcBorders>
            <w:shd w:val="clear" w:color="auto" w:fill="auto"/>
            <w:noWrap/>
            <w:vAlign w:val="bottom"/>
            <w:hideMark/>
          </w:tcPr>
          <w:p w14:paraId="2150638E"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90B8F" w:rsidRPr="00E90B8F" w14:paraId="68DF2C32"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60373D79"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423E3E0C"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90B8F">
              <w:rPr>
                <w:rFonts w:ascii="Arial" w:eastAsia="Times New Roman" w:hAnsi="Arial" w:cs="Arial"/>
                <w:b/>
                <w:bCs/>
                <w:color w:val="000000"/>
                <w:sz w:val="18"/>
                <w:szCs w:val="18"/>
                <w:lang w:eastAsia="zh-CN"/>
              </w:rPr>
              <w:t xml:space="preserve">Low delay B Main10 </w:t>
            </w:r>
          </w:p>
        </w:tc>
      </w:tr>
      <w:tr w:rsidR="00E90B8F" w:rsidRPr="00E90B8F" w14:paraId="0F19F099"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54AF7233"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BCE7EA"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90B8F">
              <w:rPr>
                <w:rFonts w:ascii="Arial" w:eastAsia="Times New Roman" w:hAnsi="Arial" w:cs="Arial"/>
                <w:b/>
                <w:bCs/>
                <w:color w:val="000000"/>
                <w:sz w:val="18"/>
                <w:szCs w:val="18"/>
                <w:lang w:eastAsia="zh-CN"/>
              </w:rPr>
              <w:t>Over VTM4-IBC-on</w:t>
            </w:r>
          </w:p>
        </w:tc>
      </w:tr>
      <w:tr w:rsidR="00E90B8F" w:rsidRPr="00E90B8F" w14:paraId="77AA837D" w14:textId="77777777" w:rsidTr="00E90B8F">
        <w:trPr>
          <w:trHeight w:val="255"/>
          <w:jc w:val="center"/>
        </w:trPr>
        <w:tc>
          <w:tcPr>
            <w:tcW w:w="1620" w:type="dxa"/>
            <w:tcBorders>
              <w:top w:val="nil"/>
              <w:left w:val="nil"/>
              <w:bottom w:val="nil"/>
              <w:right w:val="nil"/>
            </w:tcBorders>
            <w:shd w:val="clear" w:color="auto" w:fill="auto"/>
            <w:noWrap/>
            <w:vAlign w:val="center"/>
            <w:hideMark/>
          </w:tcPr>
          <w:p w14:paraId="712FE955"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91" w:type="dxa"/>
            <w:tcBorders>
              <w:top w:val="nil"/>
              <w:left w:val="single" w:sz="8" w:space="0" w:color="auto"/>
              <w:bottom w:val="single" w:sz="8" w:space="0" w:color="auto"/>
              <w:right w:val="nil"/>
            </w:tcBorders>
            <w:shd w:val="clear" w:color="auto" w:fill="auto"/>
            <w:noWrap/>
            <w:vAlign w:val="center"/>
            <w:hideMark/>
          </w:tcPr>
          <w:p w14:paraId="56175438"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Y</w:t>
            </w:r>
          </w:p>
        </w:tc>
        <w:tc>
          <w:tcPr>
            <w:tcW w:w="1072" w:type="dxa"/>
            <w:tcBorders>
              <w:top w:val="nil"/>
              <w:left w:val="nil"/>
              <w:bottom w:val="single" w:sz="8" w:space="0" w:color="auto"/>
              <w:right w:val="nil"/>
            </w:tcBorders>
            <w:shd w:val="clear" w:color="auto" w:fill="auto"/>
            <w:noWrap/>
            <w:vAlign w:val="center"/>
            <w:hideMark/>
          </w:tcPr>
          <w:p w14:paraId="5806C960"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17684A55"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V</w:t>
            </w:r>
          </w:p>
        </w:tc>
        <w:tc>
          <w:tcPr>
            <w:tcW w:w="973" w:type="dxa"/>
            <w:tcBorders>
              <w:top w:val="nil"/>
              <w:left w:val="nil"/>
              <w:bottom w:val="single" w:sz="8" w:space="0" w:color="auto"/>
              <w:right w:val="nil"/>
            </w:tcBorders>
            <w:shd w:val="clear" w:color="auto" w:fill="auto"/>
            <w:noWrap/>
            <w:vAlign w:val="center"/>
            <w:hideMark/>
          </w:tcPr>
          <w:p w14:paraId="16F86C48"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90B8F">
              <w:rPr>
                <w:rFonts w:ascii="Arial" w:eastAsia="Times New Roman" w:hAnsi="Arial" w:cs="Arial"/>
                <w:color w:val="000000"/>
                <w:sz w:val="18"/>
                <w:szCs w:val="18"/>
                <w:lang w:eastAsia="zh-CN"/>
              </w:rPr>
              <w:t>EncT</w:t>
            </w:r>
            <w:proofErr w:type="spellEnd"/>
          </w:p>
        </w:tc>
        <w:tc>
          <w:tcPr>
            <w:tcW w:w="973" w:type="dxa"/>
            <w:tcBorders>
              <w:top w:val="nil"/>
              <w:left w:val="nil"/>
              <w:bottom w:val="single" w:sz="8" w:space="0" w:color="auto"/>
              <w:right w:val="single" w:sz="8" w:space="0" w:color="auto"/>
            </w:tcBorders>
            <w:shd w:val="clear" w:color="auto" w:fill="auto"/>
            <w:noWrap/>
            <w:vAlign w:val="center"/>
            <w:hideMark/>
          </w:tcPr>
          <w:p w14:paraId="535ED1FC"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90B8F">
              <w:rPr>
                <w:rFonts w:ascii="Arial" w:eastAsia="Times New Roman" w:hAnsi="Arial" w:cs="Arial"/>
                <w:color w:val="000000"/>
                <w:sz w:val="18"/>
                <w:szCs w:val="18"/>
                <w:lang w:eastAsia="zh-CN"/>
              </w:rPr>
              <w:t>DecT</w:t>
            </w:r>
            <w:proofErr w:type="spellEnd"/>
          </w:p>
        </w:tc>
      </w:tr>
      <w:tr w:rsidR="00E90B8F" w:rsidRPr="00E90B8F" w14:paraId="5D92DF4E" w14:textId="77777777" w:rsidTr="00E90B8F">
        <w:trPr>
          <w:trHeight w:val="255"/>
          <w:jc w:val="center"/>
        </w:trPr>
        <w:tc>
          <w:tcPr>
            <w:tcW w:w="1620" w:type="dxa"/>
            <w:tcBorders>
              <w:top w:val="nil"/>
              <w:left w:val="single" w:sz="8" w:space="0" w:color="auto"/>
              <w:bottom w:val="single" w:sz="8" w:space="0" w:color="auto"/>
              <w:right w:val="nil"/>
            </w:tcBorders>
            <w:shd w:val="clear" w:color="auto" w:fill="auto"/>
            <w:noWrap/>
            <w:vAlign w:val="center"/>
            <w:hideMark/>
          </w:tcPr>
          <w:p w14:paraId="63835588"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Class F</w:t>
            </w:r>
          </w:p>
        </w:tc>
        <w:tc>
          <w:tcPr>
            <w:tcW w:w="1191" w:type="dxa"/>
            <w:tcBorders>
              <w:top w:val="nil"/>
              <w:left w:val="single" w:sz="8" w:space="0" w:color="auto"/>
              <w:bottom w:val="single" w:sz="8" w:space="0" w:color="auto"/>
              <w:right w:val="nil"/>
            </w:tcBorders>
            <w:shd w:val="clear" w:color="auto" w:fill="auto"/>
            <w:noWrap/>
            <w:vAlign w:val="center"/>
            <w:hideMark/>
          </w:tcPr>
          <w:p w14:paraId="40753DD0"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-0.15%</w:t>
            </w:r>
          </w:p>
        </w:tc>
        <w:tc>
          <w:tcPr>
            <w:tcW w:w="1072" w:type="dxa"/>
            <w:tcBorders>
              <w:top w:val="nil"/>
              <w:left w:val="nil"/>
              <w:bottom w:val="single" w:sz="8" w:space="0" w:color="auto"/>
              <w:right w:val="nil"/>
            </w:tcBorders>
            <w:shd w:val="clear" w:color="auto" w:fill="auto"/>
            <w:noWrap/>
            <w:vAlign w:val="center"/>
            <w:hideMark/>
          </w:tcPr>
          <w:p w14:paraId="6CD1349E"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0.20%</w:t>
            </w:r>
          </w:p>
        </w:tc>
        <w:tc>
          <w:tcPr>
            <w:tcW w:w="1191" w:type="dxa"/>
            <w:tcBorders>
              <w:top w:val="nil"/>
              <w:left w:val="nil"/>
              <w:bottom w:val="single" w:sz="8" w:space="0" w:color="auto"/>
              <w:right w:val="single" w:sz="4" w:space="0" w:color="auto"/>
            </w:tcBorders>
            <w:shd w:val="clear" w:color="auto" w:fill="auto"/>
            <w:noWrap/>
            <w:vAlign w:val="center"/>
            <w:hideMark/>
          </w:tcPr>
          <w:p w14:paraId="30DC8C5B"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-0.16%</w:t>
            </w:r>
          </w:p>
        </w:tc>
        <w:tc>
          <w:tcPr>
            <w:tcW w:w="973" w:type="dxa"/>
            <w:tcBorders>
              <w:top w:val="nil"/>
              <w:left w:val="nil"/>
              <w:bottom w:val="single" w:sz="8" w:space="0" w:color="auto"/>
              <w:right w:val="nil"/>
            </w:tcBorders>
            <w:shd w:val="clear" w:color="auto" w:fill="auto"/>
            <w:noWrap/>
            <w:vAlign w:val="center"/>
            <w:hideMark/>
          </w:tcPr>
          <w:p w14:paraId="18015BBF"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98%</w:t>
            </w:r>
          </w:p>
        </w:tc>
        <w:tc>
          <w:tcPr>
            <w:tcW w:w="973" w:type="dxa"/>
            <w:tcBorders>
              <w:top w:val="nil"/>
              <w:left w:val="nil"/>
              <w:bottom w:val="single" w:sz="8" w:space="0" w:color="auto"/>
              <w:right w:val="single" w:sz="8" w:space="0" w:color="auto"/>
            </w:tcBorders>
            <w:shd w:val="clear" w:color="auto" w:fill="auto"/>
            <w:noWrap/>
            <w:vAlign w:val="center"/>
            <w:hideMark/>
          </w:tcPr>
          <w:p w14:paraId="07297C51"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99%</w:t>
            </w:r>
          </w:p>
        </w:tc>
      </w:tr>
      <w:tr w:rsidR="00E90B8F" w:rsidRPr="00E90B8F" w14:paraId="3A91A70C" w14:textId="77777777" w:rsidTr="00E90B8F">
        <w:trPr>
          <w:trHeight w:val="255"/>
          <w:jc w:val="center"/>
        </w:trPr>
        <w:tc>
          <w:tcPr>
            <w:tcW w:w="1620" w:type="dxa"/>
            <w:tcBorders>
              <w:top w:val="nil"/>
              <w:left w:val="single" w:sz="8" w:space="0" w:color="auto"/>
              <w:bottom w:val="single" w:sz="8" w:space="0" w:color="auto"/>
              <w:right w:val="nil"/>
            </w:tcBorders>
            <w:shd w:val="clear" w:color="auto" w:fill="auto"/>
            <w:noWrap/>
            <w:vAlign w:val="center"/>
            <w:hideMark/>
          </w:tcPr>
          <w:p w14:paraId="668D8FCC"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Class SCC 1080p</w:t>
            </w:r>
          </w:p>
        </w:tc>
        <w:tc>
          <w:tcPr>
            <w:tcW w:w="1191" w:type="dxa"/>
            <w:tcBorders>
              <w:top w:val="nil"/>
              <w:left w:val="single" w:sz="8" w:space="0" w:color="auto"/>
              <w:bottom w:val="single" w:sz="8" w:space="0" w:color="auto"/>
              <w:right w:val="nil"/>
            </w:tcBorders>
            <w:shd w:val="clear" w:color="auto" w:fill="auto"/>
            <w:noWrap/>
            <w:vAlign w:val="center"/>
            <w:hideMark/>
          </w:tcPr>
          <w:p w14:paraId="5FD2647E"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0.14%</w:t>
            </w:r>
          </w:p>
        </w:tc>
        <w:tc>
          <w:tcPr>
            <w:tcW w:w="1072" w:type="dxa"/>
            <w:tcBorders>
              <w:top w:val="nil"/>
              <w:left w:val="nil"/>
              <w:bottom w:val="single" w:sz="8" w:space="0" w:color="auto"/>
              <w:right w:val="nil"/>
            </w:tcBorders>
            <w:shd w:val="clear" w:color="auto" w:fill="auto"/>
            <w:noWrap/>
            <w:vAlign w:val="center"/>
            <w:hideMark/>
          </w:tcPr>
          <w:p w14:paraId="25661862"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0.21%</w:t>
            </w:r>
          </w:p>
        </w:tc>
        <w:tc>
          <w:tcPr>
            <w:tcW w:w="1191" w:type="dxa"/>
            <w:tcBorders>
              <w:top w:val="nil"/>
              <w:left w:val="nil"/>
              <w:bottom w:val="single" w:sz="8" w:space="0" w:color="auto"/>
              <w:right w:val="single" w:sz="4" w:space="0" w:color="auto"/>
            </w:tcBorders>
            <w:shd w:val="clear" w:color="auto" w:fill="auto"/>
            <w:noWrap/>
            <w:vAlign w:val="center"/>
            <w:hideMark/>
          </w:tcPr>
          <w:p w14:paraId="58C21C93"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0.24%</w:t>
            </w:r>
          </w:p>
        </w:tc>
        <w:tc>
          <w:tcPr>
            <w:tcW w:w="973" w:type="dxa"/>
            <w:tcBorders>
              <w:top w:val="nil"/>
              <w:left w:val="nil"/>
              <w:bottom w:val="single" w:sz="8" w:space="0" w:color="auto"/>
              <w:right w:val="nil"/>
            </w:tcBorders>
            <w:shd w:val="clear" w:color="auto" w:fill="auto"/>
            <w:noWrap/>
            <w:vAlign w:val="center"/>
            <w:hideMark/>
          </w:tcPr>
          <w:p w14:paraId="29CF1D5A"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101%</w:t>
            </w:r>
          </w:p>
        </w:tc>
        <w:tc>
          <w:tcPr>
            <w:tcW w:w="973" w:type="dxa"/>
            <w:tcBorders>
              <w:top w:val="nil"/>
              <w:left w:val="nil"/>
              <w:bottom w:val="single" w:sz="8" w:space="0" w:color="auto"/>
              <w:right w:val="single" w:sz="8" w:space="0" w:color="auto"/>
            </w:tcBorders>
            <w:shd w:val="clear" w:color="auto" w:fill="auto"/>
            <w:noWrap/>
            <w:vAlign w:val="center"/>
            <w:hideMark/>
          </w:tcPr>
          <w:p w14:paraId="09A5D965" w14:textId="77777777" w:rsidR="00E90B8F" w:rsidRPr="00E90B8F" w:rsidRDefault="00E90B8F" w:rsidP="00E90B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90B8F">
              <w:rPr>
                <w:rFonts w:ascii="Arial" w:eastAsia="Times New Roman" w:hAnsi="Arial" w:cs="Arial"/>
                <w:color w:val="000000"/>
                <w:sz w:val="18"/>
                <w:szCs w:val="18"/>
                <w:lang w:eastAsia="zh-CN"/>
              </w:rPr>
              <w:t>101%</w:t>
            </w:r>
          </w:p>
        </w:tc>
      </w:tr>
    </w:tbl>
    <w:p w14:paraId="146ABBD5" w14:textId="5DB4A010" w:rsidR="00961210" w:rsidRDefault="00961210" w:rsidP="007F1B87">
      <w:pPr>
        <w:jc w:val="center"/>
        <w:rPr>
          <w:szCs w:val="22"/>
          <w:lang w:val="en-CA"/>
        </w:rPr>
      </w:pPr>
    </w:p>
    <w:p w14:paraId="2F134276" w14:textId="77777777" w:rsidR="007F1B87" w:rsidRDefault="007F1B87" w:rsidP="009234A5">
      <w:pPr>
        <w:rPr>
          <w:szCs w:val="22"/>
          <w:lang w:val="en-CA"/>
        </w:rPr>
      </w:pPr>
    </w:p>
    <w:p w14:paraId="3237104F" w14:textId="6884693E" w:rsidR="00093A6A" w:rsidRPr="00093A6A" w:rsidRDefault="00093A6A" w:rsidP="00093A6A">
      <w:pPr>
        <w:pStyle w:val="Heading1"/>
        <w:ind w:left="360" w:hanging="360"/>
        <w:rPr>
          <w:lang w:val="en-CA"/>
        </w:rPr>
      </w:pPr>
      <w:r w:rsidRPr="00093A6A">
        <w:rPr>
          <w:lang w:val="en-CA"/>
        </w:rPr>
        <w:lastRenderedPageBreak/>
        <w:t>Conclusion</w:t>
      </w:r>
    </w:p>
    <w:p w14:paraId="3AC65427" w14:textId="05C6474F" w:rsidR="00093A6A" w:rsidRDefault="007F1B87" w:rsidP="009234A5">
      <w:pPr>
        <w:rPr>
          <w:szCs w:val="22"/>
          <w:lang w:val="en-CA"/>
        </w:rPr>
      </w:pPr>
      <w:r>
        <w:rPr>
          <w:szCs w:val="22"/>
          <w:lang w:val="en-CA"/>
        </w:rPr>
        <w:t>In this proposal,</w:t>
      </w:r>
      <w:r w:rsidR="004C6C49">
        <w:rPr>
          <w:szCs w:val="22"/>
          <w:lang w:val="en-CA"/>
        </w:rPr>
        <w:t xml:space="preserve"> </w:t>
      </w:r>
      <w:r w:rsidR="00D9389B">
        <w:rPr>
          <w:szCs w:val="22"/>
          <w:lang w:val="en-CA"/>
        </w:rPr>
        <w:t>a corner case is restricted in IBC’s reference area availability</w:t>
      </w:r>
      <w:r>
        <w:rPr>
          <w:szCs w:val="22"/>
          <w:lang w:val="en-CA"/>
        </w:rPr>
        <w:t>.</w:t>
      </w:r>
      <w:r w:rsidR="00D9389B">
        <w:rPr>
          <w:szCs w:val="22"/>
          <w:lang w:val="en-CA"/>
        </w:rPr>
        <w:t xml:space="preserve"> It is asserted that by disallowing the first CU of each 64x64 region to access its collocated 64x64 region in the left CTU, </w:t>
      </w:r>
      <w:r w:rsidR="00595DC6">
        <w:rPr>
          <w:szCs w:val="22"/>
          <w:lang w:val="en-CA"/>
        </w:rPr>
        <w:t xml:space="preserve">reading from and writing to the same memory can be avoid for </w:t>
      </w:r>
      <w:r w:rsidR="00D9389B">
        <w:rPr>
          <w:szCs w:val="22"/>
          <w:lang w:val="en-CA"/>
        </w:rPr>
        <w:t>the implementation of IBC</w:t>
      </w:r>
      <w:r w:rsidR="004C6C49">
        <w:rPr>
          <w:szCs w:val="22"/>
          <w:lang w:val="en-CA"/>
        </w:rPr>
        <w:t>. It is proposed to</w:t>
      </w:r>
      <w:r>
        <w:rPr>
          <w:szCs w:val="22"/>
          <w:lang w:val="en-CA"/>
        </w:rPr>
        <w:t xml:space="preserve"> </w:t>
      </w:r>
      <w:r w:rsidR="004C6C49">
        <w:rPr>
          <w:szCs w:val="22"/>
          <w:lang w:val="en-CA"/>
        </w:rPr>
        <w:t>include this modification to the next VVC specification and VTM release.</w:t>
      </w:r>
    </w:p>
    <w:p w14:paraId="5A425824" w14:textId="0B7E877A" w:rsidR="00A220FB" w:rsidRDefault="0004297C" w:rsidP="0004297C">
      <w:pPr>
        <w:pStyle w:val="Heading1"/>
        <w:ind w:left="360" w:hanging="360"/>
        <w:rPr>
          <w:szCs w:val="22"/>
          <w:lang w:val="en-CA"/>
        </w:rPr>
      </w:pPr>
      <w:r>
        <w:rPr>
          <w:lang w:val="en-CA"/>
        </w:rPr>
        <w:t>References</w:t>
      </w:r>
    </w:p>
    <w:p w14:paraId="6CC30FB7" w14:textId="72278B99" w:rsidR="002638A9" w:rsidRDefault="001A2F1B" w:rsidP="009234A5">
      <w:pPr>
        <w:rPr>
          <w:szCs w:val="22"/>
          <w:lang w:val="en-CA"/>
        </w:rPr>
      </w:pPr>
      <w:r w:rsidRPr="001A2F1B">
        <w:rPr>
          <w:szCs w:val="22"/>
          <w:lang w:val="en-CA"/>
        </w:rPr>
        <w:t>[1] J. Boyce, K. Suehring, X. Li and V. Seregin, “JVET common test conditions and software reference configurations for SDR video”, JVET-M1010, the 13th JVET meeting, Jan. 2019, Marrakesh, MA</w:t>
      </w:r>
    </w:p>
    <w:p w14:paraId="72236A16" w14:textId="3A52E08B" w:rsidR="001A2F1B" w:rsidRPr="005B217D" w:rsidRDefault="001A2F1B" w:rsidP="001A2F1B">
      <w:pPr>
        <w:rPr>
          <w:szCs w:val="22"/>
          <w:lang w:val="en-CA"/>
        </w:rPr>
      </w:pPr>
      <w:r>
        <w:rPr>
          <w:szCs w:val="22"/>
          <w:lang w:val="en-CA"/>
        </w:rPr>
        <w:t xml:space="preserve">[2] </w:t>
      </w:r>
      <w:r w:rsidRPr="001A2F1B">
        <w:rPr>
          <w:szCs w:val="22"/>
          <w:lang w:val="en-CA"/>
        </w:rPr>
        <w:t>X. Xu, X. Li, S. Liu, E. Chai</w:t>
      </w:r>
      <w:r>
        <w:rPr>
          <w:szCs w:val="22"/>
          <w:lang w:val="en-CA"/>
        </w:rPr>
        <w:t>, “</w:t>
      </w:r>
      <w:r w:rsidRPr="001A2F1B">
        <w:rPr>
          <w:szCs w:val="22"/>
          <w:lang w:val="en-CA"/>
        </w:rPr>
        <w:t>CE8: CPR reference memory reuse without increasing memory requirement (CE8.1.2a and CE8.1.2d)</w:t>
      </w:r>
      <w:r>
        <w:rPr>
          <w:szCs w:val="22"/>
          <w:lang w:val="en-CA"/>
        </w:rPr>
        <w:t xml:space="preserve">”, </w:t>
      </w:r>
      <w:r w:rsidRPr="001A2F1B">
        <w:rPr>
          <w:szCs w:val="22"/>
          <w:lang w:val="en-CA"/>
        </w:rPr>
        <w:t>JVET-M0407</w:t>
      </w:r>
      <w:r>
        <w:rPr>
          <w:szCs w:val="22"/>
          <w:lang w:val="en-CA"/>
        </w:rPr>
        <w:t xml:space="preserve">, </w:t>
      </w:r>
      <w:r w:rsidRPr="001A2F1B">
        <w:rPr>
          <w:szCs w:val="22"/>
          <w:lang w:val="en-CA"/>
        </w:rPr>
        <w:t>the 13th JVET meeting, Jan. 2019, Marrakesh, MA</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4863E" w14:textId="77777777" w:rsidR="00863555" w:rsidRDefault="00863555">
      <w:r>
        <w:separator/>
      </w:r>
    </w:p>
  </w:endnote>
  <w:endnote w:type="continuationSeparator" w:id="0">
    <w:p w14:paraId="38D95C54" w14:textId="77777777" w:rsidR="00863555" w:rsidRDefault="0086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83967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0B8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5E326" w14:textId="77777777" w:rsidR="00863555" w:rsidRDefault="00863555">
      <w:r>
        <w:separator/>
      </w:r>
    </w:p>
  </w:footnote>
  <w:footnote w:type="continuationSeparator" w:id="0">
    <w:p w14:paraId="7947E21E" w14:textId="77777777" w:rsidR="00863555" w:rsidRDefault="00863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6" w15:restartNumberingAfterBreak="0">
    <w:nsid w:val="0FCE06EB"/>
    <w:multiLevelType w:val="hybridMultilevel"/>
    <w:tmpl w:val="1494CF12"/>
    <w:lvl w:ilvl="0" w:tplc="47C26954">
      <w:start w:val="5"/>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82898"/>
    <w:multiLevelType w:val="hybridMultilevel"/>
    <w:tmpl w:val="2988B9E8"/>
    <w:lvl w:ilvl="0" w:tplc="6B7E4E82">
      <w:start w:val="7"/>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646" w:hanging="360"/>
      </w:pPr>
    </w:lvl>
    <w:lvl w:ilvl="2" w:tplc="0409001B" w:tentative="1">
      <w:start w:val="1"/>
      <w:numFmt w:val="lowerRoman"/>
      <w:lvlText w:val="%3."/>
      <w:lvlJc w:val="right"/>
      <w:pPr>
        <w:ind w:left="1366" w:hanging="180"/>
      </w:pPr>
    </w:lvl>
    <w:lvl w:ilvl="3" w:tplc="0409000F" w:tentative="1">
      <w:start w:val="1"/>
      <w:numFmt w:val="decimal"/>
      <w:lvlText w:val="%4."/>
      <w:lvlJc w:val="left"/>
      <w:pPr>
        <w:ind w:left="2086" w:hanging="360"/>
      </w:pPr>
    </w:lvl>
    <w:lvl w:ilvl="4" w:tplc="04090019" w:tentative="1">
      <w:start w:val="1"/>
      <w:numFmt w:val="lowerLetter"/>
      <w:lvlText w:val="%5."/>
      <w:lvlJc w:val="left"/>
      <w:pPr>
        <w:ind w:left="2806" w:hanging="360"/>
      </w:pPr>
    </w:lvl>
    <w:lvl w:ilvl="5" w:tplc="0409001B" w:tentative="1">
      <w:start w:val="1"/>
      <w:numFmt w:val="lowerRoman"/>
      <w:lvlText w:val="%6."/>
      <w:lvlJc w:val="right"/>
      <w:pPr>
        <w:ind w:left="3526" w:hanging="180"/>
      </w:pPr>
    </w:lvl>
    <w:lvl w:ilvl="6" w:tplc="0409000F" w:tentative="1">
      <w:start w:val="1"/>
      <w:numFmt w:val="decimal"/>
      <w:lvlText w:val="%7."/>
      <w:lvlJc w:val="left"/>
      <w:pPr>
        <w:ind w:left="4246" w:hanging="360"/>
      </w:pPr>
    </w:lvl>
    <w:lvl w:ilvl="7" w:tplc="04090019" w:tentative="1">
      <w:start w:val="1"/>
      <w:numFmt w:val="lowerLetter"/>
      <w:lvlText w:val="%8."/>
      <w:lvlJc w:val="left"/>
      <w:pPr>
        <w:ind w:left="4966" w:hanging="360"/>
      </w:pPr>
    </w:lvl>
    <w:lvl w:ilvl="8" w:tplc="0409001B" w:tentative="1">
      <w:start w:val="1"/>
      <w:numFmt w:val="lowerRoman"/>
      <w:lvlText w:val="%9."/>
      <w:lvlJc w:val="right"/>
      <w:pPr>
        <w:ind w:left="5686" w:hanging="180"/>
      </w:pPr>
    </w:lvl>
  </w:abstractNum>
  <w:abstractNum w:abstractNumId="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DD6BBE"/>
    <w:multiLevelType w:val="hybridMultilevel"/>
    <w:tmpl w:val="C388D12A"/>
    <w:lvl w:ilvl="0" w:tplc="0DF614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65655"/>
    <w:multiLevelType w:val="hybridMultilevel"/>
    <w:tmpl w:val="A03E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6905B8"/>
    <w:multiLevelType w:val="hybridMultilevel"/>
    <w:tmpl w:val="1132FD5C"/>
    <w:lvl w:ilvl="0" w:tplc="AC7448AE">
      <w:start w:val="4"/>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10"/>
  </w:num>
  <w:num w:numId="7">
    <w:abstractNumId w:val="13"/>
  </w:num>
  <w:num w:numId="8">
    <w:abstractNumId w:val="10"/>
  </w:num>
  <w:num w:numId="9">
    <w:abstractNumId w:val="1"/>
  </w:num>
  <w:num w:numId="10">
    <w:abstractNumId w:val="9"/>
  </w:num>
  <w:num w:numId="11">
    <w:abstractNumId w:val="4"/>
  </w:num>
  <w:num w:numId="12">
    <w:abstractNumId w:val="19"/>
  </w:num>
  <w:num w:numId="13">
    <w:abstractNumId w:val="23"/>
  </w:num>
  <w:num w:numId="14">
    <w:abstractNumId w:val="10"/>
  </w:num>
  <w:num w:numId="15">
    <w:abstractNumId w:val="10"/>
  </w:num>
  <w:num w:numId="16">
    <w:abstractNumId w:val="10"/>
  </w:num>
  <w:num w:numId="17">
    <w:abstractNumId w:val="10"/>
  </w:num>
  <w:num w:numId="18">
    <w:abstractNumId w:val="5"/>
  </w:num>
  <w:num w:numId="19">
    <w:abstractNumId w:val="10"/>
  </w:num>
  <w:num w:numId="20">
    <w:abstractNumId w:val="10"/>
    <w:lvlOverride w:ilvl="0">
      <w:startOverride w:val="8"/>
    </w:lvlOverride>
    <w:lvlOverride w:ilvl="1">
      <w:startOverride w:val="5"/>
    </w:lvlOverride>
    <w:lvlOverride w:ilvl="2">
      <w:startOverride w:val="2"/>
    </w:lvlOverride>
  </w:num>
  <w:num w:numId="21">
    <w:abstractNumId w:val="2"/>
  </w:num>
  <w:num w:numId="22">
    <w:abstractNumId w:val="7"/>
  </w:num>
  <w:num w:numId="23">
    <w:abstractNumId w:val="24"/>
  </w:num>
  <w:num w:numId="24">
    <w:abstractNumId w:val="8"/>
  </w:num>
  <w:num w:numId="25">
    <w:abstractNumId w:val="10"/>
    <w:lvlOverride w:ilvl="0">
      <w:startOverride w:val="8"/>
    </w:lvlOverride>
    <w:lvlOverride w:ilvl="1">
      <w:startOverride w:val="6"/>
    </w:lvlOverride>
    <w:lvlOverride w:ilvl="2">
      <w:startOverride w:val="2"/>
    </w:lvlOverride>
    <w:lvlOverride w:ilvl="3">
      <w:startOverride w:val="2"/>
    </w:lvlOverride>
  </w:num>
  <w:num w:numId="26">
    <w:abstractNumId w:val="10"/>
    <w:lvlOverride w:ilvl="0">
      <w:startOverride w:val="8"/>
    </w:lvlOverride>
    <w:lvlOverride w:ilvl="1">
      <w:startOverride w:val="6"/>
    </w:lvlOverride>
    <w:lvlOverride w:ilvl="2">
      <w:startOverride w:val="2"/>
    </w:lvlOverride>
  </w:num>
  <w:num w:numId="27">
    <w:abstractNumId w:val="3"/>
  </w:num>
  <w:num w:numId="28">
    <w:abstractNumId w:val="6"/>
  </w:num>
  <w:num w:numId="29">
    <w:abstractNumId w:val="18"/>
  </w:num>
  <w:num w:numId="30">
    <w:abstractNumId w:val="12"/>
  </w:num>
  <w:num w:numId="31">
    <w:abstractNumId w:val="21"/>
  </w:num>
  <w:num w:numId="32">
    <w:abstractNumId w:val="20"/>
  </w:num>
  <w:num w:numId="33">
    <w:abstractNumId w:val="14"/>
  </w:num>
  <w:num w:numId="34">
    <w:abstractNumId w:val="11"/>
  </w:num>
  <w:num w:numId="35">
    <w:abstractNumId w:val="10"/>
    <w:lvlOverride w:ilvl="0">
      <w:startOverride w:val="8"/>
    </w:lvlOverride>
    <w:lvlOverride w:ilvl="1">
      <w:startOverride w:val="6"/>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B3"/>
    <w:rsid w:val="0002743E"/>
    <w:rsid w:val="000308A3"/>
    <w:rsid w:val="0004297C"/>
    <w:rsid w:val="000458BC"/>
    <w:rsid w:val="00045C41"/>
    <w:rsid w:val="00046C03"/>
    <w:rsid w:val="00065039"/>
    <w:rsid w:val="0007614F"/>
    <w:rsid w:val="00081398"/>
    <w:rsid w:val="00092F1F"/>
    <w:rsid w:val="00093A6A"/>
    <w:rsid w:val="00094479"/>
    <w:rsid w:val="000962AC"/>
    <w:rsid w:val="000B0C0F"/>
    <w:rsid w:val="000B1C6B"/>
    <w:rsid w:val="000B4FF9"/>
    <w:rsid w:val="000C09AC"/>
    <w:rsid w:val="000C56CA"/>
    <w:rsid w:val="000D4EE5"/>
    <w:rsid w:val="000E00F3"/>
    <w:rsid w:val="000E1301"/>
    <w:rsid w:val="000E5181"/>
    <w:rsid w:val="000F158C"/>
    <w:rsid w:val="00102F3D"/>
    <w:rsid w:val="00124E38"/>
    <w:rsid w:val="0012580B"/>
    <w:rsid w:val="00131F90"/>
    <w:rsid w:val="0013458C"/>
    <w:rsid w:val="0013526E"/>
    <w:rsid w:val="001410A2"/>
    <w:rsid w:val="00144AED"/>
    <w:rsid w:val="00146152"/>
    <w:rsid w:val="00155526"/>
    <w:rsid w:val="001574CD"/>
    <w:rsid w:val="0016663C"/>
    <w:rsid w:val="00171371"/>
    <w:rsid w:val="00175A24"/>
    <w:rsid w:val="00187E58"/>
    <w:rsid w:val="001A297E"/>
    <w:rsid w:val="001A2F1B"/>
    <w:rsid w:val="001A368E"/>
    <w:rsid w:val="001A7329"/>
    <w:rsid w:val="001A792F"/>
    <w:rsid w:val="001B4E28"/>
    <w:rsid w:val="001C3525"/>
    <w:rsid w:val="001C3AFB"/>
    <w:rsid w:val="001C7300"/>
    <w:rsid w:val="001D1BD2"/>
    <w:rsid w:val="001E0248"/>
    <w:rsid w:val="001E02BE"/>
    <w:rsid w:val="001E3B37"/>
    <w:rsid w:val="001F2594"/>
    <w:rsid w:val="002055A6"/>
    <w:rsid w:val="00206460"/>
    <w:rsid w:val="002069B4"/>
    <w:rsid w:val="00215DFC"/>
    <w:rsid w:val="002212DF"/>
    <w:rsid w:val="00222CD4"/>
    <w:rsid w:val="00225016"/>
    <w:rsid w:val="002253CA"/>
    <w:rsid w:val="00225E46"/>
    <w:rsid w:val="002263E5"/>
    <w:rsid w:val="002264A6"/>
    <w:rsid w:val="00227BA7"/>
    <w:rsid w:val="0023011C"/>
    <w:rsid w:val="002375C1"/>
    <w:rsid w:val="00260C5F"/>
    <w:rsid w:val="002614EE"/>
    <w:rsid w:val="00263398"/>
    <w:rsid w:val="002638A9"/>
    <w:rsid w:val="00263B99"/>
    <w:rsid w:val="002659D5"/>
    <w:rsid w:val="00266F06"/>
    <w:rsid w:val="002706A6"/>
    <w:rsid w:val="00275BCF"/>
    <w:rsid w:val="00291E36"/>
    <w:rsid w:val="00292257"/>
    <w:rsid w:val="002A54E0"/>
    <w:rsid w:val="002B1595"/>
    <w:rsid w:val="002B191D"/>
    <w:rsid w:val="002B2E83"/>
    <w:rsid w:val="002D0AF6"/>
    <w:rsid w:val="002D6C55"/>
    <w:rsid w:val="002E7C2F"/>
    <w:rsid w:val="002F164D"/>
    <w:rsid w:val="00300AA8"/>
    <w:rsid w:val="003021BC"/>
    <w:rsid w:val="00306206"/>
    <w:rsid w:val="00317D85"/>
    <w:rsid w:val="0032739E"/>
    <w:rsid w:val="00327C56"/>
    <w:rsid w:val="003315A1"/>
    <w:rsid w:val="003373EC"/>
    <w:rsid w:val="00342FF4"/>
    <w:rsid w:val="00344E5A"/>
    <w:rsid w:val="00346148"/>
    <w:rsid w:val="003669EA"/>
    <w:rsid w:val="003706CC"/>
    <w:rsid w:val="00377710"/>
    <w:rsid w:val="00386DB1"/>
    <w:rsid w:val="003A2D8E"/>
    <w:rsid w:val="003A7CE6"/>
    <w:rsid w:val="003B2753"/>
    <w:rsid w:val="003C20E4"/>
    <w:rsid w:val="003D6342"/>
    <w:rsid w:val="003E6F90"/>
    <w:rsid w:val="003E73ED"/>
    <w:rsid w:val="003F04FE"/>
    <w:rsid w:val="003F0AA9"/>
    <w:rsid w:val="003F5D0F"/>
    <w:rsid w:val="00401156"/>
    <w:rsid w:val="00414101"/>
    <w:rsid w:val="00417111"/>
    <w:rsid w:val="004219CF"/>
    <w:rsid w:val="004234F0"/>
    <w:rsid w:val="00430341"/>
    <w:rsid w:val="00433DDB"/>
    <w:rsid w:val="00435A29"/>
    <w:rsid w:val="00437619"/>
    <w:rsid w:val="004410BF"/>
    <w:rsid w:val="004603C1"/>
    <w:rsid w:val="00465A1E"/>
    <w:rsid w:val="00480CDD"/>
    <w:rsid w:val="00486438"/>
    <w:rsid w:val="0049445A"/>
    <w:rsid w:val="004A2A63"/>
    <w:rsid w:val="004A3227"/>
    <w:rsid w:val="004B210C"/>
    <w:rsid w:val="004C6C49"/>
    <w:rsid w:val="004D405F"/>
    <w:rsid w:val="004E4F4F"/>
    <w:rsid w:val="004E6789"/>
    <w:rsid w:val="004F61E3"/>
    <w:rsid w:val="00502E10"/>
    <w:rsid w:val="0051015C"/>
    <w:rsid w:val="0051577C"/>
    <w:rsid w:val="00516CF1"/>
    <w:rsid w:val="00531AE9"/>
    <w:rsid w:val="00550A66"/>
    <w:rsid w:val="00567EC7"/>
    <w:rsid w:val="00570013"/>
    <w:rsid w:val="005753EC"/>
    <w:rsid w:val="005801A2"/>
    <w:rsid w:val="005952A5"/>
    <w:rsid w:val="00595DC6"/>
    <w:rsid w:val="005A020C"/>
    <w:rsid w:val="005A33A1"/>
    <w:rsid w:val="005A7ABC"/>
    <w:rsid w:val="005B217D"/>
    <w:rsid w:val="005C385F"/>
    <w:rsid w:val="005D1183"/>
    <w:rsid w:val="005E1AC6"/>
    <w:rsid w:val="005F6B3E"/>
    <w:rsid w:val="005F6F1B"/>
    <w:rsid w:val="00604C43"/>
    <w:rsid w:val="00615995"/>
    <w:rsid w:val="00616155"/>
    <w:rsid w:val="00624B33"/>
    <w:rsid w:val="0063041A"/>
    <w:rsid w:val="00630AA2"/>
    <w:rsid w:val="006341DF"/>
    <w:rsid w:val="006379F1"/>
    <w:rsid w:val="006403C2"/>
    <w:rsid w:val="00646707"/>
    <w:rsid w:val="0064796E"/>
    <w:rsid w:val="00657F7E"/>
    <w:rsid w:val="00661398"/>
    <w:rsid w:val="00662E58"/>
    <w:rsid w:val="006637F2"/>
    <w:rsid w:val="006642A5"/>
    <w:rsid w:val="00664DCF"/>
    <w:rsid w:val="00680A7B"/>
    <w:rsid w:val="006910CD"/>
    <w:rsid w:val="006B121F"/>
    <w:rsid w:val="006B4B1A"/>
    <w:rsid w:val="006C5D39"/>
    <w:rsid w:val="006D6D9B"/>
    <w:rsid w:val="006E2810"/>
    <w:rsid w:val="006E5417"/>
    <w:rsid w:val="006F0794"/>
    <w:rsid w:val="006F7528"/>
    <w:rsid w:val="007023DE"/>
    <w:rsid w:val="007071D8"/>
    <w:rsid w:val="00712F60"/>
    <w:rsid w:val="00720E3B"/>
    <w:rsid w:val="00721725"/>
    <w:rsid w:val="0072633E"/>
    <w:rsid w:val="00735ED6"/>
    <w:rsid w:val="00740578"/>
    <w:rsid w:val="0074067D"/>
    <w:rsid w:val="007417B5"/>
    <w:rsid w:val="0074393F"/>
    <w:rsid w:val="00745F6B"/>
    <w:rsid w:val="00747C98"/>
    <w:rsid w:val="0075175B"/>
    <w:rsid w:val="0075437D"/>
    <w:rsid w:val="0075585E"/>
    <w:rsid w:val="00770571"/>
    <w:rsid w:val="007768FF"/>
    <w:rsid w:val="007824D3"/>
    <w:rsid w:val="00796EE3"/>
    <w:rsid w:val="007A658C"/>
    <w:rsid w:val="007A7D29"/>
    <w:rsid w:val="007B345C"/>
    <w:rsid w:val="007B4AB8"/>
    <w:rsid w:val="007D1181"/>
    <w:rsid w:val="007E01A3"/>
    <w:rsid w:val="007E1807"/>
    <w:rsid w:val="007F1B87"/>
    <w:rsid w:val="007F1F8B"/>
    <w:rsid w:val="007F67A1"/>
    <w:rsid w:val="00811C05"/>
    <w:rsid w:val="008206C8"/>
    <w:rsid w:val="0083739E"/>
    <w:rsid w:val="00844214"/>
    <w:rsid w:val="008629DC"/>
    <w:rsid w:val="00863555"/>
    <w:rsid w:val="0086387C"/>
    <w:rsid w:val="00874A6C"/>
    <w:rsid w:val="00875467"/>
    <w:rsid w:val="00876C65"/>
    <w:rsid w:val="00884FB2"/>
    <w:rsid w:val="008A4B4C"/>
    <w:rsid w:val="008B436A"/>
    <w:rsid w:val="008B782C"/>
    <w:rsid w:val="008C239F"/>
    <w:rsid w:val="008C66A2"/>
    <w:rsid w:val="008D59B9"/>
    <w:rsid w:val="008E480C"/>
    <w:rsid w:val="0090027C"/>
    <w:rsid w:val="00907757"/>
    <w:rsid w:val="009212B0"/>
    <w:rsid w:val="00921FA1"/>
    <w:rsid w:val="009234A5"/>
    <w:rsid w:val="00926757"/>
    <w:rsid w:val="00933346"/>
    <w:rsid w:val="00933453"/>
    <w:rsid w:val="009336F7"/>
    <w:rsid w:val="0093636C"/>
    <w:rsid w:val="00936604"/>
    <w:rsid w:val="009374A7"/>
    <w:rsid w:val="00944400"/>
    <w:rsid w:val="009505A3"/>
    <w:rsid w:val="00952DF8"/>
    <w:rsid w:val="00955F6D"/>
    <w:rsid w:val="00961210"/>
    <w:rsid w:val="00977C16"/>
    <w:rsid w:val="0098551D"/>
    <w:rsid w:val="00985DCB"/>
    <w:rsid w:val="0099518F"/>
    <w:rsid w:val="009A523D"/>
    <w:rsid w:val="009A6640"/>
    <w:rsid w:val="009B02A1"/>
    <w:rsid w:val="009B1543"/>
    <w:rsid w:val="009B3361"/>
    <w:rsid w:val="009B60A6"/>
    <w:rsid w:val="009B7153"/>
    <w:rsid w:val="009B7F3F"/>
    <w:rsid w:val="009D7CE6"/>
    <w:rsid w:val="009F496B"/>
    <w:rsid w:val="00A01439"/>
    <w:rsid w:val="00A02E61"/>
    <w:rsid w:val="00A05CFF"/>
    <w:rsid w:val="00A13048"/>
    <w:rsid w:val="00A15080"/>
    <w:rsid w:val="00A220FB"/>
    <w:rsid w:val="00A46843"/>
    <w:rsid w:val="00A56B97"/>
    <w:rsid w:val="00A6093D"/>
    <w:rsid w:val="00A701C1"/>
    <w:rsid w:val="00A767DC"/>
    <w:rsid w:val="00A76A6D"/>
    <w:rsid w:val="00A83253"/>
    <w:rsid w:val="00A86F37"/>
    <w:rsid w:val="00AA03B1"/>
    <w:rsid w:val="00AA1910"/>
    <w:rsid w:val="00AA6E84"/>
    <w:rsid w:val="00AA79FE"/>
    <w:rsid w:val="00AB1A1C"/>
    <w:rsid w:val="00AD05A8"/>
    <w:rsid w:val="00AE341B"/>
    <w:rsid w:val="00B01905"/>
    <w:rsid w:val="00B02C03"/>
    <w:rsid w:val="00B07CA7"/>
    <w:rsid w:val="00B1279A"/>
    <w:rsid w:val="00B23539"/>
    <w:rsid w:val="00B35113"/>
    <w:rsid w:val="00B3640F"/>
    <w:rsid w:val="00B4194A"/>
    <w:rsid w:val="00B437E8"/>
    <w:rsid w:val="00B5222E"/>
    <w:rsid w:val="00B53179"/>
    <w:rsid w:val="00B57A23"/>
    <w:rsid w:val="00B600CD"/>
    <w:rsid w:val="00B61C96"/>
    <w:rsid w:val="00B73A2A"/>
    <w:rsid w:val="00B75A51"/>
    <w:rsid w:val="00B827C6"/>
    <w:rsid w:val="00B85438"/>
    <w:rsid w:val="00B94B06"/>
    <w:rsid w:val="00B94C28"/>
    <w:rsid w:val="00B9636D"/>
    <w:rsid w:val="00BC10BA"/>
    <w:rsid w:val="00BC1A38"/>
    <w:rsid w:val="00BC5AFD"/>
    <w:rsid w:val="00BC5C12"/>
    <w:rsid w:val="00C00DDE"/>
    <w:rsid w:val="00C04F43"/>
    <w:rsid w:val="00C0609D"/>
    <w:rsid w:val="00C115AB"/>
    <w:rsid w:val="00C26CCB"/>
    <w:rsid w:val="00C271B1"/>
    <w:rsid w:val="00C30249"/>
    <w:rsid w:val="00C3723B"/>
    <w:rsid w:val="00C42466"/>
    <w:rsid w:val="00C42E11"/>
    <w:rsid w:val="00C606C9"/>
    <w:rsid w:val="00C80288"/>
    <w:rsid w:val="00C84003"/>
    <w:rsid w:val="00C90650"/>
    <w:rsid w:val="00C97D78"/>
    <w:rsid w:val="00CB1996"/>
    <w:rsid w:val="00CB7BAD"/>
    <w:rsid w:val="00CC2AAE"/>
    <w:rsid w:val="00CC5A42"/>
    <w:rsid w:val="00CD0EAB"/>
    <w:rsid w:val="00CE5E02"/>
    <w:rsid w:val="00CF0906"/>
    <w:rsid w:val="00CF34DB"/>
    <w:rsid w:val="00CF3917"/>
    <w:rsid w:val="00CF558F"/>
    <w:rsid w:val="00D010C0"/>
    <w:rsid w:val="00D073E2"/>
    <w:rsid w:val="00D446EC"/>
    <w:rsid w:val="00D51BF0"/>
    <w:rsid w:val="00D531DB"/>
    <w:rsid w:val="00D55942"/>
    <w:rsid w:val="00D66BC7"/>
    <w:rsid w:val="00D807BF"/>
    <w:rsid w:val="00D82FCC"/>
    <w:rsid w:val="00D9389B"/>
    <w:rsid w:val="00DA17FC"/>
    <w:rsid w:val="00DA53ED"/>
    <w:rsid w:val="00DA7887"/>
    <w:rsid w:val="00DB2C26"/>
    <w:rsid w:val="00DB35CE"/>
    <w:rsid w:val="00DD02F4"/>
    <w:rsid w:val="00DD6622"/>
    <w:rsid w:val="00DE1C7C"/>
    <w:rsid w:val="00DE6B43"/>
    <w:rsid w:val="00DE7E94"/>
    <w:rsid w:val="00E11923"/>
    <w:rsid w:val="00E262D4"/>
    <w:rsid w:val="00E36250"/>
    <w:rsid w:val="00E4454A"/>
    <w:rsid w:val="00E47F2D"/>
    <w:rsid w:val="00E54511"/>
    <w:rsid w:val="00E60EDC"/>
    <w:rsid w:val="00E61DAC"/>
    <w:rsid w:val="00E708B9"/>
    <w:rsid w:val="00E72B80"/>
    <w:rsid w:val="00E75FE3"/>
    <w:rsid w:val="00E84AAF"/>
    <w:rsid w:val="00E86C4C"/>
    <w:rsid w:val="00E907A3"/>
    <w:rsid w:val="00E90B8F"/>
    <w:rsid w:val="00E9522F"/>
    <w:rsid w:val="00EA2918"/>
    <w:rsid w:val="00EA5AE0"/>
    <w:rsid w:val="00EB56E1"/>
    <w:rsid w:val="00EB6708"/>
    <w:rsid w:val="00EB7AB1"/>
    <w:rsid w:val="00EC77B6"/>
    <w:rsid w:val="00EE7CD8"/>
    <w:rsid w:val="00EF37F6"/>
    <w:rsid w:val="00EF3FF9"/>
    <w:rsid w:val="00EF48CC"/>
    <w:rsid w:val="00F00801"/>
    <w:rsid w:val="00F2224A"/>
    <w:rsid w:val="00F2488D"/>
    <w:rsid w:val="00F601A0"/>
    <w:rsid w:val="00F66D25"/>
    <w:rsid w:val="00F66DBD"/>
    <w:rsid w:val="00F712E9"/>
    <w:rsid w:val="00F73032"/>
    <w:rsid w:val="00F848FC"/>
    <w:rsid w:val="00F906F6"/>
    <w:rsid w:val="00F9282A"/>
    <w:rsid w:val="00F94742"/>
    <w:rsid w:val="00F96BAD"/>
    <w:rsid w:val="00FA139D"/>
    <w:rsid w:val="00FA60F5"/>
    <w:rsid w:val="00FB0366"/>
    <w:rsid w:val="00FB0E84"/>
    <w:rsid w:val="00FC2405"/>
    <w:rsid w:val="00FD01C2"/>
    <w:rsid w:val="00FE0E90"/>
    <w:rsid w:val="00FE595C"/>
    <w:rsid w:val="00FF0CE3"/>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26757"/>
    <w:rPr>
      <w:color w:val="605E5C"/>
      <w:shd w:val="clear" w:color="auto" w:fill="E1DFDD"/>
    </w:rPr>
  </w:style>
  <w:style w:type="paragraph" w:customStyle="1" w:styleId="Equation">
    <w:name w:val="Equation"/>
    <w:basedOn w:val="Normal"/>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E84AAF"/>
    <w:rPr>
      <w:rFonts w:eastAsia="宋体"/>
      <w:sz w:val="18"/>
      <w:lang w:val="en-GB"/>
    </w:rPr>
  </w:style>
  <w:style w:type="paragraph" w:styleId="ListParagraph">
    <w:name w:val="List Paragraph"/>
    <w:basedOn w:val="Normal"/>
    <w:uiPriority w:val="34"/>
    <w:qFormat/>
    <w:rsid w:val="00DE7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37978">
      <w:bodyDiv w:val="1"/>
      <w:marLeft w:val="0"/>
      <w:marRight w:val="0"/>
      <w:marTop w:val="0"/>
      <w:marBottom w:val="0"/>
      <w:divBdr>
        <w:top w:val="none" w:sz="0" w:space="0" w:color="auto"/>
        <w:left w:val="none" w:sz="0" w:space="0" w:color="auto"/>
        <w:bottom w:val="none" w:sz="0" w:space="0" w:color="auto"/>
        <w:right w:val="none" w:sz="0" w:space="0" w:color="auto"/>
      </w:divBdr>
    </w:div>
    <w:div w:id="774206001">
      <w:bodyDiv w:val="1"/>
      <w:marLeft w:val="0"/>
      <w:marRight w:val="0"/>
      <w:marTop w:val="0"/>
      <w:marBottom w:val="0"/>
      <w:divBdr>
        <w:top w:val="none" w:sz="0" w:space="0" w:color="auto"/>
        <w:left w:val="none" w:sz="0" w:space="0" w:color="auto"/>
        <w:bottom w:val="none" w:sz="0" w:space="0" w:color="auto"/>
        <w:right w:val="none" w:sz="0" w:space="0" w:color="auto"/>
      </w:divBdr>
    </w:div>
    <w:div w:id="1111120820">
      <w:bodyDiv w:val="1"/>
      <w:marLeft w:val="0"/>
      <w:marRight w:val="0"/>
      <w:marTop w:val="0"/>
      <w:marBottom w:val="0"/>
      <w:divBdr>
        <w:top w:val="none" w:sz="0" w:space="0" w:color="auto"/>
        <w:left w:val="none" w:sz="0" w:space="0" w:color="auto"/>
        <w:bottom w:val="none" w:sz="0" w:space="0" w:color="auto"/>
        <w:right w:val="none" w:sz="0" w:space="0" w:color="auto"/>
      </w:divBdr>
    </w:div>
    <w:div w:id="15129122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953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4D5B4.5628A1C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1015</TotalTime>
  <Pages>3</Pages>
  <Words>825</Words>
  <Characters>4705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63</cp:revision>
  <cp:lastPrinted>1900-01-01T08:00:00Z</cp:lastPrinted>
  <dcterms:created xsi:type="dcterms:W3CDTF">2019-03-09T03:44:00Z</dcterms:created>
  <dcterms:modified xsi:type="dcterms:W3CDTF">2019-03-13T03:49:00Z</dcterms:modified>
</cp:coreProperties>
</file>