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AB42D0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3800">
              <w:rPr>
                <w:lang w:val="en-CA"/>
              </w:rPr>
              <w:t>N0372</w:t>
            </w:r>
            <w:r w:rsidR="00E47F2D" w:rsidRPr="00E47F2D">
              <w:rPr>
                <w:lang w:val="en-CA"/>
              </w:rPr>
              <w:t>-v</w:t>
            </w:r>
            <w:r w:rsidR="00971F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6B6AF1" w:rsidR="00E61DAC" w:rsidRPr="005B217D" w:rsidRDefault="002D3800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ISP with independent sub-partitions for certain block sizes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2446F6A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003BB" w:rsidRPr="001C0AB8">
              <w:rPr>
                <w:szCs w:val="22"/>
                <w:lang w:val="en-CA"/>
              </w:rPr>
              <w:t>Benjamin Bross,</w:t>
            </w:r>
            <w:r w:rsidR="002003BB" w:rsidRPr="001C0AB8">
              <w:rPr>
                <w:szCs w:val="22"/>
                <w:lang w:val="en-CA"/>
              </w:rPr>
              <w:br/>
            </w:r>
            <w:r w:rsidR="001C0AB8" w:rsidRPr="001C0AB8">
              <w:rPr>
                <w:szCs w:val="22"/>
                <w:lang w:val="en-CA"/>
              </w:rPr>
              <w:t>Tung Nguyen,</w:t>
            </w:r>
            <w:r w:rsidR="001C0AB8" w:rsidRPr="001C0AB8">
              <w:rPr>
                <w:szCs w:val="22"/>
                <w:lang w:val="en-CA"/>
              </w:rPr>
              <w:br/>
              <w:t>Valeri George,</w:t>
            </w:r>
            <w:r w:rsidR="001C0AB8">
              <w:rPr>
                <w:szCs w:val="22"/>
                <w:lang w:val="en-CA"/>
              </w:rPr>
              <w:br/>
              <w:t>Benno Stabernack,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ECE8AB" w14:textId="77777777" w:rsidR="002D3800" w:rsidRDefault="002D3800" w:rsidP="002D380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simulation results of an extension of the Intra Sub-Partitions (ISP) </w:t>
      </w:r>
      <w:r w:rsidRPr="007C1E6F">
        <w:rPr>
          <w:szCs w:val="22"/>
          <w:lang w:val="en-CA"/>
        </w:rPr>
        <w:t>coding mode</w:t>
      </w:r>
      <w:r>
        <w:rPr>
          <w:szCs w:val="22"/>
          <w:lang w:val="en-CA"/>
        </w:rPr>
        <w:t xml:space="preserve"> to </w:t>
      </w:r>
      <m:oMath>
        <m:r>
          <w:rPr>
            <w:rFonts w:ascii="Cambria Math" w:hAnsi="Cambria Math"/>
            <w:szCs w:val="22"/>
            <w:lang w:val="en-CA"/>
          </w:rPr>
          <m:t>4×4</m:t>
        </m:r>
      </m:oMath>
      <w:r>
        <w:rPr>
          <w:szCs w:val="22"/>
          <w:lang w:val="en-CA"/>
        </w:rPr>
        <w:t xml:space="preserve"> blocks and a modification in the number of sub-partitions of </w:t>
      </w:r>
      <m:oMath>
        <m:r>
          <w:rPr>
            <w:rFonts w:ascii="Cambria Math" w:hAnsi="Cambria Math"/>
            <w:szCs w:val="22"/>
            <w:lang w:val="en-CA"/>
          </w:rPr>
          <m:t>4×8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8×4</m:t>
        </m:r>
      </m:oMath>
      <w:r>
        <w:rPr>
          <w:szCs w:val="22"/>
          <w:lang w:val="en-CA"/>
        </w:rPr>
        <w:t xml:space="preserve"> blocks. In order to keep the worst-case scenario throughput of 16 samples/cycle, the new sub-partitions are independent from each other. The experimental results show a gain of 0</w:t>
      </w:r>
      <w:proofErr w:type="gramStart"/>
      <w:r>
        <w:rPr>
          <w:szCs w:val="22"/>
          <w:lang w:val="en-CA"/>
        </w:rPr>
        <w:t>,10</w:t>
      </w:r>
      <w:proofErr w:type="gramEnd"/>
      <w:r>
        <w:rPr>
          <w:szCs w:val="22"/>
          <w:lang w:val="en-CA"/>
        </w:rPr>
        <w:t>% and 0.47% for CTC and class F respectively for the AI configuration and a gain of 0,01% and 0.25% for CTC and class F respectively in the RA case. The impact on the encoding run-time is 102% in the AI case and 100% in the RA one.</w:t>
      </w:r>
    </w:p>
    <w:p w14:paraId="1AA69BF9" w14:textId="77777777" w:rsidR="002D3800" w:rsidRDefault="002D3800" w:rsidP="002D3800">
      <w:pPr>
        <w:rPr>
          <w:szCs w:val="22"/>
          <w:lang w:val="en-CA"/>
        </w:rPr>
      </w:pPr>
      <w:r>
        <w:rPr>
          <w:szCs w:val="22"/>
          <w:lang w:val="en-CA"/>
        </w:rPr>
        <w:t xml:space="preserve">Additional test results are provided on the effect of extending the proposed concept to all ISP blocks that produce sub-partitions with a width smaller than 4 on the current ISP design. The experimental results show a gain of 0.05% and 0.44% for CTC and class F respectively for the AI configuration and a gain of 0.24% on class F (no changes on CTC) in the RA case. </w:t>
      </w:r>
    </w:p>
    <w:p w14:paraId="04BA6D9C" w14:textId="77777777" w:rsidR="002D3800" w:rsidRDefault="002D3800" w:rsidP="002D3800">
      <w:pPr>
        <w:rPr>
          <w:szCs w:val="22"/>
          <w:lang w:val="en-CA"/>
        </w:rPr>
      </w:pPr>
      <w:r>
        <w:rPr>
          <w:szCs w:val="22"/>
          <w:lang w:val="en-CA"/>
        </w:rPr>
        <w:t>On the other hand, the impact of the complete removal of sub-partitions with a width smaller than 4 of the current ISP design has also been tested for comparison reasons. This additional information shows a loss of 0.14% and 0.31% for CTC and class F respectively for the AI configuration and a loss of 0.04% and 0.23% for CTC and class F respectively in the RA case.</w:t>
      </w:r>
    </w:p>
    <w:p w14:paraId="7F0BBE74" w14:textId="77777777" w:rsidR="002D3800" w:rsidRDefault="002D3800" w:rsidP="002D3800">
      <w:pPr>
        <w:rPr>
          <w:szCs w:val="22"/>
          <w:lang w:val="en-CA"/>
        </w:rPr>
      </w:pPr>
      <w:r>
        <w:rPr>
          <w:szCs w:val="22"/>
          <w:lang w:val="en-CA"/>
        </w:rPr>
        <w:t>All simulations have been run on top of VTM-4.0.1.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1AF2720" w14:textId="2127BF33" w:rsidR="002D3800" w:rsidRDefault="002D3800" w:rsidP="002D3800">
      <w:pPr>
        <w:rPr>
          <w:lang w:val="en-CA"/>
        </w:rPr>
      </w:pPr>
      <w:r>
        <w:rPr>
          <w:lang w:val="en-CA"/>
        </w:rPr>
        <w:t xml:space="preserve">As presented in </w:t>
      </w:r>
      <w:sdt>
        <w:sdtPr>
          <w:rPr>
            <w:lang w:val="en-CA"/>
          </w:rPr>
          <w:id w:val="-1619978399"/>
          <w:citation/>
        </w:sdtPr>
        <w:sdtEndPr/>
        <w:sdtContent>
          <w:r>
            <w:rPr>
              <w:lang w:val="en-CA"/>
            </w:rPr>
            <w:fldChar w:fldCharType="begin"/>
          </w:r>
          <w:r w:rsidRPr="00705772">
            <w:instrText xml:space="preserve"> CITATION DeL19 \l 3082 </w:instrText>
          </w:r>
          <w:r>
            <w:rPr>
              <w:lang w:val="en-CA"/>
            </w:rPr>
            <w:fldChar w:fldCharType="separate"/>
          </w:r>
          <w:r>
            <w:rPr>
              <w:noProof/>
            </w:rPr>
            <w:t>[1]</w:t>
          </w:r>
          <w:r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, the Intra Sub-Partitions (ISP) coding mode divides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intra-predicted blocks vertically or horizontally into 2 or 4 equal-size sub-partitions according to the CU dimensions. </w:t>
      </w:r>
      <w:r>
        <w:t xml:space="preserve">Table </w:t>
      </w:r>
      <w:r>
        <w:rPr>
          <w:noProof/>
        </w:rPr>
        <w:t>I</w:t>
      </w:r>
      <w:r>
        <w:rPr>
          <w:lang w:val="en-CA"/>
        </w:rPr>
        <w:t xml:space="preserve"> shows the different possibilities.</w:t>
      </w:r>
    </w:p>
    <w:p w14:paraId="76C9CE39" w14:textId="77777777" w:rsidR="002D3800" w:rsidRDefault="002D3800" w:rsidP="002D3800">
      <w:pPr>
        <w:rPr>
          <w:lang w:val="en-CA"/>
        </w:rPr>
      </w:pPr>
    </w:p>
    <w:p w14:paraId="017A0BA1" w14:textId="77777777" w:rsidR="002D3800" w:rsidRDefault="002D3800" w:rsidP="002D3800">
      <w:pPr>
        <w:pStyle w:val="Caption"/>
        <w:keepNext/>
        <w:jc w:val="center"/>
      </w:pPr>
      <w:bookmarkStart w:id="1" w:name="_Ref2957730"/>
      <w:r>
        <w:lastRenderedPageBreak/>
        <w:t xml:space="preserve">Table </w:t>
      </w:r>
      <w:bookmarkEnd w:id="1"/>
      <w:r>
        <w:t>1: Number of sub-partitions created by ISP according to the CU dimensions in the current VVC Draft</w:t>
      </w:r>
    </w:p>
    <w:tbl>
      <w:tblPr>
        <w:tblStyle w:val="ListTable3-Accent3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675"/>
      </w:tblGrid>
      <w:tr w:rsidR="002D3800" w14:paraId="394E76A7" w14:textId="77777777" w:rsidTr="00B933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75" w:type="dxa"/>
          </w:tcPr>
          <w:p w14:paraId="421CDE5A" w14:textId="77777777" w:rsidR="002D3800" w:rsidRDefault="002D3800" w:rsidP="00671E0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Block size</w:t>
            </w:r>
          </w:p>
        </w:tc>
        <w:tc>
          <w:tcPr>
            <w:tcW w:w="4675" w:type="dxa"/>
          </w:tcPr>
          <w:p w14:paraId="688B0BBE" w14:textId="77777777" w:rsidR="002D3800" w:rsidRDefault="002D3800" w:rsidP="00671E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Number of sub-partitions</w:t>
            </w:r>
          </w:p>
        </w:tc>
      </w:tr>
      <w:tr w:rsidR="002D3800" w14:paraId="4D2E5079" w14:textId="77777777" w:rsidTr="00B93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22ABD76" w14:textId="77777777" w:rsidR="002D3800" w:rsidRDefault="002D3800" w:rsidP="00671E04">
            <w:pPr>
              <w:jc w:val="center"/>
              <w:rPr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  <w:tc>
          <w:tcPr>
            <w:tcW w:w="4675" w:type="dxa"/>
          </w:tcPr>
          <w:p w14:paraId="0CB314B6" w14:textId="77777777" w:rsidR="002D3800" w:rsidRDefault="002D3800" w:rsidP="00671E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Not divided</w:t>
            </w:r>
          </w:p>
        </w:tc>
      </w:tr>
      <w:tr w:rsidR="002D3800" w14:paraId="1B9A22AB" w14:textId="77777777" w:rsidTr="00B933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4D2214E" w14:textId="77777777" w:rsidR="002D3800" w:rsidRDefault="002D3800" w:rsidP="00671E04">
            <w:pPr>
              <w:jc w:val="center"/>
              <w:rPr>
                <w:lang w:val="en-C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4×8</m:t>
              </m:r>
            </m:oMath>
            <w:r>
              <w:rPr>
                <w:lang w:val="en-CA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CA"/>
                </w:rPr>
                <m:t>8×4</m:t>
              </m:r>
            </m:oMath>
          </w:p>
        </w:tc>
        <w:tc>
          <w:tcPr>
            <w:tcW w:w="4675" w:type="dxa"/>
          </w:tcPr>
          <w:p w14:paraId="0C545DAB" w14:textId="77777777" w:rsidR="002D3800" w:rsidRDefault="002D3800" w:rsidP="00671E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2D3800" w14:paraId="0FC7B305" w14:textId="77777777" w:rsidTr="00B93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0330C0C8" w14:textId="77777777" w:rsidR="002D3800" w:rsidRDefault="002D3800" w:rsidP="00671E0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All other cases</w:t>
            </w:r>
          </w:p>
        </w:tc>
        <w:tc>
          <w:tcPr>
            <w:tcW w:w="4675" w:type="dxa"/>
          </w:tcPr>
          <w:p w14:paraId="00607727" w14:textId="77777777" w:rsidR="002D3800" w:rsidRDefault="002D3800" w:rsidP="00671E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</w:tbl>
    <w:p w14:paraId="7B2B727E" w14:textId="77777777" w:rsidR="002D3800" w:rsidRDefault="002D3800" w:rsidP="002D3800">
      <w:pPr>
        <w:rPr>
          <w:lang w:val="en-CA"/>
        </w:rPr>
      </w:pPr>
      <w:r>
        <w:rPr>
          <w:lang w:val="en-CA"/>
        </w:rPr>
        <w:t xml:space="preserve"> </w:t>
      </w:r>
    </w:p>
    <w:p w14:paraId="4CD437BF" w14:textId="77777777" w:rsidR="002D3800" w:rsidRDefault="002D3800" w:rsidP="002D3800">
      <w:pPr>
        <w:rPr>
          <w:lang w:val="en-CA"/>
        </w:rPr>
      </w:pPr>
      <w:r>
        <w:rPr>
          <w:lang w:val="en-CA"/>
        </w:rPr>
        <w:t xml:space="preserve">Each sub-partition is predicted, transformed, quantized and the entropy coded coefficients are sent to the decoder. Then, the reconstructed samples of a sub-partition are used to generate the prediction of the next sub-partition, but the intra mode used is shared among all sub-partitions. </w:t>
      </w:r>
    </w:p>
    <w:p w14:paraId="046B6A7D" w14:textId="77777777" w:rsidR="002D3800" w:rsidRDefault="002D3800" w:rsidP="002D3800">
      <w:pPr>
        <w:rPr>
          <w:lang w:val="en-CA"/>
        </w:rPr>
      </w:pPr>
      <w:r>
        <w:rPr>
          <w:lang w:val="en-CA"/>
        </w:rPr>
        <w:t xml:space="preserve">Since this process lies in the intra-prediction critical path (in the general case a sub-partition cannot be decoded until the previous sub-partition reconstructed samples have been obtained), it is necessary to enforce a minimum of 16 samples in each sub-partition, which guarantees a worst-case scenario throughput of 16 samples/cycle. This is, in fact, the reason why </w:t>
      </w:r>
      <m:oMath>
        <m:r>
          <w:rPr>
            <w:rFonts w:ascii="Cambria Math" w:hAnsi="Cambria Math"/>
            <w:lang w:val="en-CA"/>
          </w:rPr>
          <m:t>4×8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8×4</m:t>
        </m:r>
      </m:oMath>
      <w:r>
        <w:rPr>
          <w:lang w:val="en-CA"/>
        </w:rPr>
        <w:t xml:space="preserve"> blocks have 2 sub-partitions (instead of 4) and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blocks cannot be sub-divided.</w:t>
      </w:r>
    </w:p>
    <w:p w14:paraId="27E0F78E" w14:textId="77777777" w:rsidR="002D3800" w:rsidRDefault="002D3800" w:rsidP="002D3800">
      <w:pPr>
        <w:rPr>
          <w:lang w:val="en-CA"/>
        </w:rPr>
      </w:pPr>
      <w:r>
        <w:rPr>
          <w:lang w:val="en-CA"/>
        </w:rPr>
        <w:t xml:space="preserve">This contribution presents an expansion of ISP that allows its usage on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blocks and modifies the number of sub-partitions in the case of </w:t>
      </w:r>
      <m:oMath>
        <m:r>
          <w:rPr>
            <w:rFonts w:ascii="Cambria Math" w:hAnsi="Cambria Math"/>
            <w:lang w:val="en-CA"/>
          </w:rPr>
          <m:t>4×8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8×4</m:t>
        </m:r>
      </m:oMath>
      <w:r>
        <w:rPr>
          <w:lang w:val="en-CA"/>
        </w:rPr>
        <w:t xml:space="preserve"> blocks, while keeping the 16 samples/cycle throughput constraint. This goal can be achieved by producing sub-partitions that are independent from each other, that is, by not using the reconstructed samples of a sub-partition to </w:t>
      </w:r>
      <w:proofErr w:type="gramStart"/>
      <w:r>
        <w:rPr>
          <w:lang w:val="en-CA"/>
        </w:rPr>
        <w:t>the predict</w:t>
      </w:r>
      <w:proofErr w:type="gramEnd"/>
      <w:r>
        <w:rPr>
          <w:lang w:val="en-CA"/>
        </w:rPr>
        <w:t xml:space="preserve"> the next one. </w:t>
      </w:r>
    </w:p>
    <w:p w14:paraId="2B9C73E6" w14:textId="77777777" w:rsidR="002D3800" w:rsidRPr="00D34935" w:rsidRDefault="002D3800" w:rsidP="002D3800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>
        <w:rPr>
          <w:lang w:val="en-CA"/>
        </w:rPr>
        <w:t>SP extension to new block sizes</w:t>
      </w:r>
    </w:p>
    <w:p w14:paraId="7DFA06EC" w14:textId="77777777" w:rsidR="002D3800" w:rsidRDefault="002D3800" w:rsidP="002D3800">
      <w:pPr>
        <w:rPr>
          <w:lang w:val="en-CA"/>
        </w:rPr>
      </w:pPr>
      <w:r>
        <w:rPr>
          <w:lang w:val="en-CA"/>
        </w:rPr>
        <w:t xml:space="preserve">The modifications of ISP introduced in this contribution </w:t>
      </w:r>
      <w:proofErr w:type="gramStart"/>
      <w:r>
        <w:rPr>
          <w:lang w:val="en-CA"/>
        </w:rPr>
        <w:t xml:space="preserve">affect </w:t>
      </w:r>
      <w:proofErr w:type="gramEnd"/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8×4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4×8</m:t>
        </m:r>
      </m:oMath>
      <w:r>
        <w:rPr>
          <w:lang w:val="en-CA"/>
        </w:rPr>
        <w:t xml:space="preserve"> blocks.</w:t>
      </w:r>
    </w:p>
    <w:p w14:paraId="7BE88F74" w14:textId="77777777" w:rsidR="002D3800" w:rsidRDefault="002D3800" w:rsidP="002D3800">
      <w:pPr>
        <w:pStyle w:val="Heading2"/>
        <w:rPr>
          <w:lang w:val="en-CA"/>
        </w:rPr>
      </w:pPr>
      <w:bookmarkStart w:id="2" w:name="_Ref3140371"/>
      <m:oMath>
        <m:r>
          <m:rPr>
            <m:sty m:val="bi"/>
          </m:rP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blocks</w:t>
      </w:r>
      <w:bookmarkEnd w:id="2"/>
      <w:proofErr w:type="gramEnd"/>
    </w:p>
    <w:p w14:paraId="23D461EF" w14:textId="1F7F2019" w:rsidR="002D3800" w:rsidRDefault="002D3800" w:rsidP="002D3800">
      <w:pPr>
        <w:rPr>
          <w:lang w:val="en-CA"/>
        </w:rPr>
      </w:pPr>
      <w:r>
        <w:rPr>
          <w:lang w:val="en-CA"/>
        </w:rPr>
        <w:t>T</w:t>
      </w:r>
      <w:r w:rsidRPr="00F14FF2">
        <w:rPr>
          <w:lang w:val="en-CA"/>
        </w:rPr>
        <w:t xml:space="preserve">he block is divided into four </w:t>
      </w:r>
      <m:oMath>
        <m:r>
          <w:rPr>
            <w:rFonts w:ascii="Cambria Math" w:hAnsi="Cambria Math"/>
            <w:lang w:val="en-CA"/>
          </w:rPr>
          <m:t>4×1</m:t>
        </m:r>
      </m:oMath>
      <w:r w:rsidRPr="00F14FF2">
        <w:rPr>
          <w:lang w:val="en-CA"/>
        </w:rPr>
        <w:t xml:space="preserve"> (hor. split) or </w:t>
      </w:r>
      <m:oMath>
        <m:r>
          <w:rPr>
            <w:rFonts w:ascii="Cambria Math" w:hAnsi="Cambria Math"/>
            <w:lang w:val="en-CA"/>
          </w:rPr>
          <m:t>1×4</m:t>
        </m:r>
      </m:oMath>
      <w:r w:rsidRPr="00F14FF2">
        <w:rPr>
          <w:lang w:val="en-CA"/>
        </w:rPr>
        <w:t xml:space="preserve"> (ver. split) sub-partitions. However, the prediction signal of each of them is generated using the neighbour samples of the CU boundaries as reference samples</w:t>
      </w:r>
      <w:r>
        <w:rPr>
          <w:lang w:val="en-CA"/>
        </w:rPr>
        <w:t xml:space="preserve">, as shown in </w:t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t>.</w:t>
      </w:r>
      <w:r w:rsidRPr="00F14FF2">
        <w:rPr>
          <w:lang w:val="en-CA"/>
        </w:rPr>
        <w:t xml:space="preserve"> Consequently, each sub-partition is independent from each other and all of them can be processed in parallel in single step.</w:t>
      </w:r>
    </w:p>
    <w:p w14:paraId="25BDCCFE" w14:textId="77777777" w:rsidR="002D3800" w:rsidRDefault="002D3800" w:rsidP="002D3800">
      <w:pPr>
        <w:keepNext/>
        <w:jc w:val="center"/>
      </w:pPr>
      <w:r>
        <w:rPr>
          <w:noProof/>
        </w:rPr>
        <w:drawing>
          <wp:inline distT="0" distB="0" distL="0" distR="0" wp14:anchorId="3D26CAB2" wp14:editId="143ADF84">
            <wp:extent cx="5693664" cy="1194816"/>
            <wp:effectExtent l="0" t="0" r="2540" b="5715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example4x4Blocks.t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3664" cy="119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DE477" w14:textId="77777777" w:rsidR="002D3800" w:rsidRDefault="002D3800" w:rsidP="002D3800">
      <w:pPr>
        <w:pStyle w:val="Caption"/>
        <w:jc w:val="center"/>
        <w:rPr>
          <w:lang w:val="en-CA"/>
        </w:rPr>
      </w:pPr>
      <w:bookmarkStart w:id="3" w:name="_Ref313284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"/>
      <w:r>
        <w:t xml:space="preserve">: Example of the vertical split of a </w:t>
      </w:r>
      <m:oMath>
        <m:r>
          <w:rPr>
            <w:rFonts w:ascii="Cambria Math" w:hAnsi="Cambria Math"/>
          </w:rPr>
          <m:t>4×4</m:t>
        </m:r>
      </m:oMath>
      <w:r>
        <w:t xml:space="preserve"> block. The reference samples used to generate each </w:t>
      </w:r>
      <m:oMath>
        <m:r>
          <w:rPr>
            <w:rFonts w:ascii="Cambria Math" w:hAnsi="Cambria Math"/>
          </w:rPr>
          <m:t>1×4</m:t>
        </m:r>
      </m:oMath>
      <w:r>
        <w:t xml:space="preserve"> prediction are only CU boundary samples. Note that the prediction is the same as for a non-ISP case.</w:t>
      </w:r>
    </w:p>
    <w:p w14:paraId="7BE2B245" w14:textId="77777777" w:rsidR="002D3800" w:rsidRDefault="002D3800" w:rsidP="002D3800">
      <w:pPr>
        <w:rPr>
          <w:lang w:val="en-CA"/>
        </w:rPr>
      </w:pPr>
      <w:r>
        <w:rPr>
          <w:lang w:val="en-CA"/>
        </w:rPr>
        <w:t>Note that</w:t>
      </w:r>
      <w:r w:rsidRPr="00F14FF2">
        <w:rPr>
          <w:lang w:val="en-CA"/>
        </w:rPr>
        <w:t xml:space="preserve"> the prediction samples of all sub-partitions are the same as the ones that would be generated for a block not using ISP (excluding the reference samples and PDPC filtering operations</w:t>
      </w:r>
      <w:r>
        <w:rPr>
          <w:lang w:val="en-CA"/>
        </w:rPr>
        <w:t xml:space="preserve"> that are disabled for all ISP blocks</w:t>
      </w:r>
      <w:r w:rsidRPr="00F14FF2">
        <w:rPr>
          <w:lang w:val="en-CA"/>
        </w:rPr>
        <w:t xml:space="preserve">). </w:t>
      </w:r>
      <w:r>
        <w:rPr>
          <w:lang w:val="en-CA"/>
        </w:rPr>
        <w:t>The</w:t>
      </w:r>
      <w:r w:rsidRPr="00F14FF2">
        <w:rPr>
          <w:lang w:val="en-CA"/>
        </w:rPr>
        <w:t xml:space="preserve"> difference</w:t>
      </w:r>
      <w:r>
        <w:rPr>
          <w:lang w:val="en-CA"/>
        </w:rPr>
        <w:t xml:space="preserve"> between a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block using ISP and one not using it</w:t>
      </w:r>
      <w:r w:rsidRPr="00F14FF2">
        <w:rPr>
          <w:lang w:val="en-CA"/>
        </w:rPr>
        <w:t xml:space="preserve"> lies in the transform (in the ISP case there are four 1-D transforms and in the non-ISP case there is a single </w:t>
      </w:r>
      <m:oMath>
        <m:r>
          <w:rPr>
            <w:rFonts w:ascii="Cambria Math" w:hAnsi="Cambria Math"/>
            <w:lang w:val="en-CA"/>
          </w:rPr>
          <m:t>4×4</m:t>
        </m:r>
      </m:oMath>
      <w:r w:rsidRPr="00F14FF2">
        <w:rPr>
          <w:lang w:val="en-CA"/>
        </w:rPr>
        <w:t xml:space="preserve"> transform) and the entropy coding of the coefficients.</w:t>
      </w:r>
    </w:p>
    <w:p w14:paraId="42DE09D0" w14:textId="77777777" w:rsidR="002D3800" w:rsidRDefault="002D3800" w:rsidP="002D3800">
      <w:pPr>
        <w:rPr>
          <w:lang w:val="en-CA"/>
        </w:rPr>
      </w:pPr>
    </w:p>
    <w:p w14:paraId="5B2B3712" w14:textId="77777777" w:rsidR="002D3800" w:rsidRDefault="002D3800" w:rsidP="002D3800">
      <w:pPr>
        <w:pStyle w:val="Heading2"/>
        <w:rPr>
          <w:lang w:val="en-CA"/>
        </w:rPr>
      </w:pPr>
      <w:bookmarkStart w:id="4" w:name="_Ref3140568"/>
      <m:oMath>
        <m:r>
          <m:rPr>
            <m:sty m:val="bi"/>
          </m:rPr>
          <w:rPr>
            <w:rFonts w:ascii="Cambria Math" w:hAnsi="Cambria Math"/>
            <w:lang w:val="en-CA"/>
          </w:rPr>
          <w:lastRenderedPageBreak/>
          <m:t>8×4</m:t>
        </m:r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and</w:t>
      </w:r>
      <w:proofErr w:type="gramEnd"/>
      <w:r>
        <w:rPr>
          <w:lang w:val="en-CA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CA"/>
          </w:rPr>
          <m:t>4×8</m:t>
        </m:r>
      </m:oMath>
      <w:r>
        <w:rPr>
          <w:lang w:val="en-CA"/>
        </w:rPr>
        <w:t xml:space="preserve"> blocks</w:t>
      </w:r>
      <w:bookmarkEnd w:id="4"/>
    </w:p>
    <w:p w14:paraId="23EC8475" w14:textId="4778EA1D" w:rsidR="002D3800" w:rsidRDefault="002D3800" w:rsidP="002D3800">
      <w:pPr>
        <w:rPr>
          <w:lang w:val="en-CA"/>
        </w:rPr>
      </w:pPr>
      <w:r>
        <w:rPr>
          <w:lang w:val="en-CA"/>
        </w:rPr>
        <w:t xml:space="preserve">In the new ISP design the number of sub-partitions will be 4 instead of 2. However, the prediction signals of sub-partitions 2 and 4 cannot be generated using the reconstructed samples of sub-partitions 1 and 3 respectively, as shown in the examples of </w:t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t xml:space="preserve"> and </w:t>
      </w:r>
      <w:r>
        <w:t xml:space="preserve">Figure </w:t>
      </w:r>
      <w:r>
        <w:rPr>
          <w:noProof/>
        </w:rPr>
        <w:t>3</w:t>
      </w:r>
      <w:r>
        <w:rPr>
          <w:lang w:val="en-CA"/>
        </w:rPr>
        <w:t xml:space="preserve">. Consequently, sub-partition 2 is independent from sub-partition 1 and analogously sub-partition 4 is independent from 3. Hence, a </w:t>
      </w:r>
      <m:oMath>
        <m:r>
          <w:rPr>
            <w:rFonts w:ascii="Cambria Math" w:hAnsi="Cambria Math"/>
            <w:lang w:val="en-CA"/>
          </w:rPr>
          <m:t>4×8</m:t>
        </m:r>
      </m:oMath>
      <w:r>
        <w:rPr>
          <w:lang w:val="en-CA"/>
        </w:rPr>
        <w:t xml:space="preserve"> or </w:t>
      </w:r>
      <w:proofErr w:type="gramStart"/>
      <w:r>
        <w:rPr>
          <w:lang w:val="en-CA"/>
        </w:rPr>
        <w:t>an</w:t>
      </w:r>
      <w:proofErr w:type="gramEnd"/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8×4</m:t>
        </m:r>
      </m:oMath>
      <w:r>
        <w:rPr>
          <w:lang w:val="en-CA"/>
        </w:rPr>
        <w:t xml:space="preserve"> block could be processed in 2 cycles, which is equivalent to a throughout of 16 samples/cycle.</w:t>
      </w:r>
    </w:p>
    <w:p w14:paraId="43A24AF4" w14:textId="77777777" w:rsidR="002D3800" w:rsidRDefault="002D3800" w:rsidP="002D3800">
      <w:pPr>
        <w:rPr>
          <w:lang w:val="en-CA"/>
        </w:rPr>
      </w:pPr>
    </w:p>
    <w:p w14:paraId="4422534C" w14:textId="77777777" w:rsidR="002D3800" w:rsidRDefault="002D3800" w:rsidP="002D3800">
      <w:pPr>
        <w:keepNext/>
        <w:jc w:val="center"/>
      </w:pPr>
      <w:r>
        <w:rPr>
          <w:noProof/>
        </w:rPr>
        <w:drawing>
          <wp:inline distT="0" distB="0" distL="0" distR="0" wp14:anchorId="319D7E0E" wp14:editId="01F9B449">
            <wp:extent cx="5688061" cy="2280102"/>
            <wp:effectExtent l="0" t="0" r="8255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noRecoSamples4x8block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8061" cy="228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27095" w14:textId="77777777" w:rsidR="002D3800" w:rsidRDefault="002D3800" w:rsidP="002D3800">
      <w:pPr>
        <w:pStyle w:val="Caption"/>
        <w:jc w:val="center"/>
      </w:pPr>
      <w:bookmarkStart w:id="5" w:name="_Ref313452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r>
        <w:t xml:space="preserve">: Example of the vertical split of a </w:t>
      </w:r>
      <m:oMath>
        <m:r>
          <w:rPr>
            <w:rFonts w:ascii="Cambria Math" w:hAnsi="Cambria Math"/>
          </w:rPr>
          <m:t>4×8</m:t>
        </m:r>
      </m:oMath>
      <w:r>
        <w:t xml:space="preserve"> block into four </w:t>
      </w:r>
      <m:oMath>
        <m:r>
          <w:rPr>
            <w:rFonts w:ascii="Cambria Math" w:hAnsi="Cambria Math"/>
          </w:rPr>
          <m:t>1×8</m:t>
        </m:r>
      </m:oMath>
      <w:r>
        <w:t xml:space="preserve"> sub-partitions. In this case the reconstructed samples from sub-partition 2 can be used to predict sub-partition 3, but the reconstructed samples from sub-partitions 1 and 3 cannot be used to predict 2 and 4 respectively.</w:t>
      </w:r>
    </w:p>
    <w:p w14:paraId="51060C7F" w14:textId="77777777" w:rsidR="002D3800" w:rsidRDefault="002D3800" w:rsidP="002D3800">
      <w:pPr>
        <w:keepNext/>
        <w:jc w:val="center"/>
      </w:pPr>
      <w:r>
        <w:rPr>
          <w:noProof/>
        </w:rPr>
        <w:drawing>
          <wp:inline distT="0" distB="0" distL="0" distR="0" wp14:anchorId="6385F5C9" wp14:editId="253312BD">
            <wp:extent cx="5943600" cy="2160905"/>
            <wp:effectExtent l="0" t="0" r="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noRecoSamples4x8blocksHor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A5474" w14:textId="77777777" w:rsidR="002D3800" w:rsidRPr="004848D6" w:rsidRDefault="002D3800" w:rsidP="002D3800">
      <w:pPr>
        <w:pStyle w:val="Caption"/>
        <w:jc w:val="center"/>
      </w:pPr>
      <w:bookmarkStart w:id="6" w:name="_Ref321667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6"/>
      <w:r>
        <w:t xml:space="preserve">: </w:t>
      </w:r>
      <w:r w:rsidRPr="00AC0DDD">
        <w:t xml:space="preserve">Example of the </w:t>
      </w:r>
      <w:r>
        <w:t xml:space="preserve">horizontal split of a </w:t>
      </w:r>
      <m:oMath>
        <m:r>
          <w:rPr>
            <w:rFonts w:ascii="Cambria Math" w:hAnsi="Cambria Math"/>
          </w:rPr>
          <m:t>4×8</m:t>
        </m:r>
      </m:oMath>
      <w:r>
        <w:t xml:space="preserve"> block into four </w:t>
      </w:r>
      <m:oMath>
        <m:r>
          <w:rPr>
            <w:rFonts w:ascii="Cambria Math" w:hAnsi="Cambria Math"/>
          </w:rPr>
          <m:t>4×2</m:t>
        </m:r>
      </m:oMath>
      <w:r>
        <w:t xml:space="preserve"> sub-partitions. The reconstructed samples from sub-partitions 2 can be used to predict sub-partition 3, but the reconstructed samples from sub-partitions 1 and 3 cannot be used to predict 2 and 4 respectively.</w:t>
      </w:r>
    </w:p>
    <w:p w14:paraId="512672A4" w14:textId="4F3EBA26" w:rsidR="00747ED8" w:rsidRPr="002D3800" w:rsidRDefault="00747ED8" w:rsidP="00EF3F5C"/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F1FA03" w14:textId="5596DB1A" w:rsidR="002D3800" w:rsidRDefault="002D3800" w:rsidP="002D3800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low-delay-b (LDB)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</w:p>
    <w:p w14:paraId="176054CE" w14:textId="7709029C" w:rsidR="002D3800" w:rsidRDefault="002D3800" w:rsidP="002D3800"/>
    <w:p w14:paraId="2FB611F6" w14:textId="35F9D333" w:rsidR="002D3800" w:rsidRDefault="002D3800" w:rsidP="002D3800"/>
    <w:p w14:paraId="6DAF365C" w14:textId="77777777" w:rsidR="002D3800" w:rsidRDefault="002D3800" w:rsidP="002D3800">
      <w:pPr>
        <w:pStyle w:val="Caption"/>
        <w:keepNext/>
        <w:jc w:val="center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9356E4" w14:paraId="4928D9F3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4D5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4443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D3800" w:rsidRPr="009356E4" w14:paraId="2B0CF82C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2A6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E67B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9356E4" w14:paraId="6279EA2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880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386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59D2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3FD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881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3B9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9356E4" w14:paraId="0210C85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862A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CED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272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136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6FC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DFE4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606D0C2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076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D03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718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AC8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D8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3B0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356E4" w14:paraId="2CAE6C5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46FF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8BE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68D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F71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184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3D5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356E4" w14:paraId="036EFE6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9D8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F06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8D5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2E1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BAC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A51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2D3800" w:rsidRPr="009356E4" w14:paraId="5BA292F2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2A53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E2C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F3A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634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50B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A0B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722E580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364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8FB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7F3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91B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9FD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328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356E4" w14:paraId="18B04976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0A5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1B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09F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F2D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FF3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BEE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2D3800" w:rsidRPr="009356E4" w14:paraId="165B014C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E76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CC8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2D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D0A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2CB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B80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3C4D73C9" w14:textId="77777777" w:rsidR="002D3800" w:rsidRDefault="002D3800" w:rsidP="002D3800"/>
    <w:p w14:paraId="025FC22F" w14:textId="77777777" w:rsidR="002D3800" w:rsidRDefault="002D3800" w:rsidP="002D3800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9356E4" w14:paraId="0881A83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489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26F3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2D3800" w:rsidRPr="009356E4" w14:paraId="0C62F7C5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020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13A3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9356E4" w14:paraId="2613311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8055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1DC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D54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F6A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4EE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569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9356E4" w14:paraId="35B8A34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806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4C8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D81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FC2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9D2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1A0F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0608A83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3E4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C8D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6ED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527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99D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3A0B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2BF02E3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919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08A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78C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7E8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D94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5E6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58DE1A4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F8E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989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07E4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754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925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1FFC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9356E4" w14:paraId="254F61D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2F3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A3F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74C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AA8F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34B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71F4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9356E4" w14:paraId="2321B8B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C0B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A10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1E6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357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5DE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B69F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3D1C2E7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453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3DE5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928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7C7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AE2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E35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1702518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6B1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950F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3ADB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B9E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473A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02B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4EFDE92D" w14:textId="77777777" w:rsidR="002D3800" w:rsidRDefault="002D3800" w:rsidP="002D3800"/>
    <w:p w14:paraId="7DE75456" w14:textId="77777777" w:rsidR="002D3800" w:rsidRDefault="002D3800" w:rsidP="002D3800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>: Results for the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9356E4" w14:paraId="1D2E9C1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642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DD7D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2D3800" w:rsidRPr="009356E4" w14:paraId="79BBC907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F1C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9ECB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9356E4" w14:paraId="7E2E9203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FE7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EDF7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F0A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1C0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0F34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9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9356E4" w14:paraId="37A5F0FD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7A2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BD6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CC3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877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C0A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E4B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9356E4" w14:paraId="404A939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AFAF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D20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44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D18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25A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552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9356E4" w14:paraId="0748FD0A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BCA9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BD1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60E9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B0C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659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F43F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1F9588A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2E8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500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0BF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BA1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5A34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D3FC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9356E4" w14:paraId="106A2DE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5E4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A56C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028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4DF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AA7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5CE2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046155F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F505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B58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E24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8187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F9A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2F5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356E4" w14:paraId="46F2FAB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1A1B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3496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0980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576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0E6A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BABF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356E4" w14:paraId="187F3B7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1E3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52F78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D733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99BE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DC2D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6F21" w14:textId="77777777" w:rsidR="002D3800" w:rsidRPr="009356E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356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6B544F5" w14:textId="77777777" w:rsidR="002D3800" w:rsidRDefault="002D3800" w:rsidP="002D3800">
      <w:pPr>
        <w:pStyle w:val="Heading1"/>
        <w:numPr>
          <w:ilvl w:val="0"/>
          <w:numId w:val="0"/>
        </w:numPr>
      </w:pPr>
    </w:p>
    <w:p w14:paraId="4C280A8B" w14:textId="1C98FED0" w:rsidR="002D3800" w:rsidRDefault="002D3800" w:rsidP="002D3800">
      <w:pPr>
        <w:pStyle w:val="Heading1"/>
      </w:pPr>
      <w:r>
        <w:t>Additional information</w:t>
      </w:r>
    </w:p>
    <w:p w14:paraId="0A3D4106" w14:textId="01CD4A57" w:rsidR="002D3800" w:rsidRDefault="002D3800" w:rsidP="002D3800">
      <w:pPr>
        <w:pStyle w:val="Heading2"/>
        <w:rPr>
          <w:sz w:val="20"/>
        </w:rPr>
      </w:pPr>
      <w:r>
        <w:t>Usage of sub-partitions with a width smaller than 4</w:t>
      </w:r>
    </w:p>
    <w:p w14:paraId="6AF42E1C" w14:textId="7FA8979C" w:rsidR="002D3800" w:rsidRDefault="002D3800" w:rsidP="002D3800">
      <w:r w:rsidRPr="006A0D0E">
        <w:t>The usage of sub-partitions with a width smaller than 4 has been mentioned on the JVET reflector as a potential hardware concern, given that samples are typically allocated in a raster scanner fashion and certain implementations write the output of reconstructed samples in groups.</w:t>
      </w:r>
      <w:r>
        <w:t xml:space="preserve"> </w:t>
      </w:r>
      <w:r w:rsidRPr="006A0D0E">
        <w:t>In</w:t>
      </w:r>
      <w:r>
        <w:t xml:space="preserve"> </w:t>
      </w:r>
      <w:r w:rsidRPr="006A0D0E">
        <w:t>fact</w:t>
      </w:r>
      <w:r>
        <w:t>,</w:t>
      </w:r>
      <w:r w:rsidRPr="006A0D0E">
        <w:t xml:space="preserve"> typically a number of samples will be collected and written back to the external memory by a cache or buffer management component, </w:t>
      </w:r>
      <w:r w:rsidRPr="006A0D0E">
        <w:lastRenderedPageBreak/>
        <w:t>which is par</w:t>
      </w:r>
      <w:r>
        <w:t>t of the memory subsystem of state-of-art</w:t>
      </w:r>
      <w:r w:rsidRPr="006A0D0E">
        <w:t xml:space="preserve"> decoder implementations.</w:t>
      </w:r>
      <w:r>
        <w:t xml:space="preserve"> </w:t>
      </w:r>
      <w:r w:rsidRPr="006A0D0E">
        <w:t>This is important since DDR memories work with burst wise access rather than with access of small chunks of data to reach the highest throughput.</w:t>
      </w:r>
      <w:r>
        <w:t xml:space="preserve"> </w:t>
      </w:r>
      <w:r w:rsidRPr="006A0D0E">
        <w:t>Since this applies not only for the presented tool</w:t>
      </w:r>
      <w:r>
        <w:t>,</w:t>
      </w:r>
      <w:r w:rsidRPr="006A0D0E">
        <w:t xml:space="preserve"> a decoder architecture needs to take care of this behavior and has to provide a buffer functionality anyways, which can be used as well for rearranging pixel data into raster scan order when writing back.</w:t>
      </w:r>
    </w:p>
    <w:p w14:paraId="3499EB72" w14:textId="77777777" w:rsidR="002D3800" w:rsidRDefault="002D3800" w:rsidP="002D3800">
      <w:r>
        <w:t>In the following additional information is provided to evaluate the impact of the usage of these sub-partitions.</w:t>
      </w:r>
    </w:p>
    <w:p w14:paraId="116A41F4" w14:textId="2CF57835" w:rsidR="00B93373" w:rsidRPr="00B93373" w:rsidRDefault="002D3800" w:rsidP="00B93373">
      <w:pPr>
        <w:numPr>
          <w:ilvl w:val="2"/>
          <w:numId w:val="6"/>
        </w:numPr>
        <w:rPr>
          <w:b/>
          <w:bCs/>
        </w:rPr>
      </w:pPr>
      <w:r w:rsidRPr="002D3800">
        <w:rPr>
          <w:b/>
          <w:bCs/>
        </w:rPr>
        <w:t>Removal of sub-partitions with a width smaller than 4</w:t>
      </w:r>
    </w:p>
    <w:p w14:paraId="0BD3BAFB" w14:textId="47FF6C95" w:rsidR="002D3800" w:rsidRPr="002D3800" w:rsidRDefault="002D3800" w:rsidP="002D3800">
      <w:r w:rsidRPr="002D3800">
        <w:t xml:space="preserve">This modification affects the vertical split of </w:t>
      </w:r>
      <m:oMath>
        <m:r>
          <w:rPr>
            <w:rFonts w:ascii="Cambria Math" w:hAnsi="Cambria Math"/>
          </w:rPr>
          <m:t>4×N</m:t>
        </m:r>
      </m:oMath>
      <w:r w:rsidRPr="002D3800">
        <w:t xml:space="preserve"> and </w:t>
      </w:r>
      <m:oMath>
        <m:r>
          <w:rPr>
            <w:rFonts w:ascii="Cambria Math" w:hAnsi="Cambria Math"/>
          </w:rPr>
          <m:t>8×N</m:t>
        </m:r>
      </m:oMath>
      <w:r w:rsidRPr="002D3800">
        <w:t xml:space="preserve"> blocks as follows:</w:t>
      </w:r>
    </w:p>
    <w:p w14:paraId="54B8F910" w14:textId="02CAB938" w:rsidR="002D3800" w:rsidRPr="002D3800" w:rsidRDefault="002D3800" w:rsidP="002D3800">
      <w:pPr>
        <w:numPr>
          <w:ilvl w:val="0"/>
          <w:numId w:val="26"/>
        </w:numPr>
      </w:pPr>
      <m:oMath>
        <m:r>
          <w:rPr>
            <w:rFonts w:ascii="Cambria Math" w:hAnsi="Cambria Math"/>
          </w:rPr>
          <m:t>4×N</m:t>
        </m:r>
      </m:oMath>
      <w:r w:rsidRPr="002D3800">
        <w:t>: There is no vertical split anymore. Consequently, whenever ISP is used on one of these blocks, the decoder infers that a horizontal split is used and hence it is not necessary to parse the split flag syntax element.</w:t>
      </w:r>
    </w:p>
    <w:p w14:paraId="5737B866" w14:textId="215F88F6" w:rsidR="002D3800" w:rsidRPr="002D3800" w:rsidRDefault="002D3800" w:rsidP="002D3800">
      <w:pPr>
        <w:numPr>
          <w:ilvl w:val="0"/>
          <w:numId w:val="26"/>
        </w:numPr>
      </w:pPr>
      <m:oMath>
        <m:r>
          <w:rPr>
            <w:rFonts w:ascii="Cambria Math" w:hAnsi="Cambria Math"/>
          </w:rPr>
          <m:t>8×N</m:t>
        </m:r>
      </m:oMath>
      <w:r w:rsidRPr="002D3800">
        <w:t xml:space="preserve">: The vertical split produces 2 sub-partitions instead of 4. </w:t>
      </w:r>
    </w:p>
    <w:p w14:paraId="0FA9F5E0" w14:textId="44FC557F" w:rsidR="002D3800" w:rsidRPr="002D3800" w:rsidRDefault="002D3800" w:rsidP="002D3800">
      <w:r w:rsidRPr="002D3800">
        <w:t xml:space="preserve">Note that this modified ISP approach was proposed as Test 1.1.2 in the CE3 of the January 2019 Marrakech Meeting in </w:t>
      </w:r>
      <w:sdt>
        <w:sdtPr>
          <w:id w:val="-60481145"/>
          <w:citation/>
        </w:sdtPr>
        <w:sdtEndPr/>
        <w:sdtContent>
          <w:r w:rsidRPr="002D3800">
            <w:fldChar w:fldCharType="begin"/>
          </w:r>
          <w:r w:rsidRPr="002D3800">
            <w:rPr>
              <w:lang w:val="en-GB"/>
            </w:rPr>
            <w:instrText xml:space="preserve"> CITATION DeL19 \l 3082 </w:instrText>
          </w:r>
          <w:r w:rsidRPr="002D3800">
            <w:fldChar w:fldCharType="separate"/>
          </w:r>
          <w:r w:rsidRPr="002D3800">
            <w:rPr>
              <w:lang w:val="en-GB"/>
            </w:rPr>
            <w:t>[1]</w:t>
          </w:r>
          <w:r w:rsidRPr="002D3800">
            <w:fldChar w:fldCharType="end"/>
          </w:r>
        </w:sdtContent>
      </w:sdt>
      <w:r w:rsidRPr="002D3800">
        <w:t>. The results of this approach on top of VTM-4.0.1 are presented in Table 5, Table 6 and Table 7.</w:t>
      </w:r>
    </w:p>
    <w:p w14:paraId="1168DBBE" w14:textId="77777777" w:rsidR="002D3800" w:rsidRDefault="002D3800" w:rsidP="002D3800">
      <w:pPr>
        <w:pStyle w:val="Caption"/>
        <w:keepNext/>
        <w:jc w:val="center"/>
      </w:pPr>
      <w:bookmarkStart w:id="7" w:name="_Ref314007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7"/>
      <w:r>
        <w:t>: Results without sub-partitions with a width smaller than 4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D3800" w:rsidRPr="007A38EA" w14:paraId="54292D37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C5FC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25D12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D3800" w:rsidRPr="007A38EA" w14:paraId="48DAC1D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813A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27DA4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7A38EA" w14:paraId="12B80755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1C1C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25F4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DBED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0E95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B2ACB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7E39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7A38EA" w14:paraId="1B65651C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0B5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E830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3109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F792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5295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2752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D3800" w:rsidRPr="007A38EA" w14:paraId="6C61F48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A15D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3D7C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8993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A9D7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63FD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B44F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7A38EA" w14:paraId="6B7251E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5B08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EFFC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8B95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C8D8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C7BA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32CB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7A38EA" w14:paraId="404FA6FA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526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1B18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48FA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6FD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8C53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3F77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7A38EA" w14:paraId="67A02C6D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8A2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EE8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8E87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8557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5292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5718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2D3800" w:rsidRPr="007A38EA" w14:paraId="350F779C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436B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0FFA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B4D4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D5AD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0B36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0DC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7A38EA" w14:paraId="4E62B0F5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4FD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D52B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A27F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ADBD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1010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F1EF0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7A38EA" w14:paraId="210EA336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83B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EB3B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7E65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B6786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5F11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CB6B" w14:textId="77777777" w:rsidR="002D3800" w:rsidRPr="007A38EA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A38E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49981234" w14:textId="28E58079" w:rsidR="002D3800" w:rsidRDefault="002D3800" w:rsidP="002D3800">
      <w:pPr>
        <w:rPr>
          <w:sz w:val="20"/>
        </w:rPr>
      </w:pPr>
    </w:p>
    <w:p w14:paraId="69FF2895" w14:textId="77777777" w:rsidR="002D3800" w:rsidRDefault="002D3800" w:rsidP="002D3800">
      <w:pPr>
        <w:pStyle w:val="Caption"/>
        <w:keepNext/>
        <w:jc w:val="center"/>
      </w:pPr>
      <w:bookmarkStart w:id="8" w:name="_Ref3140080"/>
      <w:proofErr w:type="gramStart"/>
      <w:r>
        <w:t xml:space="preserve">Table </w:t>
      </w:r>
      <w:proofErr w:type="gramEnd"/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8"/>
      <w:r>
        <w:t xml:space="preserve">: </w:t>
      </w:r>
      <w:r w:rsidRPr="00D60CAD">
        <w:t xml:space="preserve">Results without sub-partitions with a width smaller than 4 for the </w:t>
      </w:r>
      <w:r>
        <w:t>RA</w:t>
      </w:r>
      <w:r w:rsidRPr="00D60CAD"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4129C6" w14:paraId="7E5A8CB2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D835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761A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2D3800" w:rsidRPr="004129C6" w14:paraId="3D8A0BDC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95F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A87D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4129C6" w14:paraId="6CDE1028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DF1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BA1D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6E2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5E0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94C44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A8DE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4129C6" w14:paraId="394A9D93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1A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CA9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479E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51C9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809B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AC6D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4129C6" w14:paraId="5E30AA9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F14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520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1F4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B1DF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922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959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4129C6" w14:paraId="4DE92A75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DA5A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752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1F73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6727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34F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7E03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4129C6" w14:paraId="4C3506F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9D9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E14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53CF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FF1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2B55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34E4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4129C6" w14:paraId="1B50ED5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058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95F7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F0D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F06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8585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EF5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4129C6" w14:paraId="6A0AC398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064B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283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8075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C95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06D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C147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4129C6" w14:paraId="0C78D916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834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D5B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EF4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4A6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6D2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BCC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4129C6" w14:paraId="3EF221A8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D179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CD67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6B7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9D5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865E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53EB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6A020837" w14:textId="427BF7FD" w:rsidR="002D3800" w:rsidRDefault="002D3800" w:rsidP="002D3800"/>
    <w:p w14:paraId="6B020C2E" w14:textId="77777777" w:rsidR="002D3800" w:rsidRDefault="002D3800" w:rsidP="002D3800"/>
    <w:p w14:paraId="489A379F" w14:textId="77777777" w:rsidR="002D3800" w:rsidRDefault="002D3800" w:rsidP="002D3800"/>
    <w:p w14:paraId="5F54B2CA" w14:textId="77777777" w:rsidR="002D3800" w:rsidRDefault="002D3800" w:rsidP="002D3800"/>
    <w:p w14:paraId="4F5BDC07" w14:textId="77777777" w:rsidR="002D3800" w:rsidRDefault="002D3800" w:rsidP="002D3800"/>
    <w:p w14:paraId="1214E0EC" w14:textId="77777777" w:rsidR="002D3800" w:rsidRDefault="002D3800" w:rsidP="002D3800">
      <w:pPr>
        <w:pStyle w:val="Caption"/>
        <w:keepNext/>
        <w:jc w:val="center"/>
      </w:pPr>
      <w:bookmarkStart w:id="9" w:name="_Ref3140086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9"/>
      <w:r>
        <w:t xml:space="preserve">: </w:t>
      </w:r>
      <w:r w:rsidRPr="00384875">
        <w:t xml:space="preserve">Results without sub-partitions with a width smaller than 4 for the </w:t>
      </w:r>
      <w:r>
        <w:t>LDB</w:t>
      </w:r>
      <w:r w:rsidRPr="00384875"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D3800" w:rsidRPr="004129C6" w14:paraId="738CAED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722F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A549B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2D3800" w:rsidRPr="004129C6" w14:paraId="0571B1B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B44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65A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4129C6" w14:paraId="061D876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0249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0A2EE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5A67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086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1EE04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F08F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4129C6" w14:paraId="29239723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373B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A59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F69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AD91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66E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3E0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4129C6" w14:paraId="621AE44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ED55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CAFE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4871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EC8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740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063B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4129C6" w14:paraId="0BB22DC8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4E97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3F83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458D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1E91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93B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C02D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4129C6" w14:paraId="2C1FE6D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044F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1C73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521C7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7308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C6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CD83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4129C6" w14:paraId="7474BD2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A90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CF09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3D0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D8B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B8EE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2AC7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4129C6" w14:paraId="3DF8707C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49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1B14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8DA7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3322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75A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048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4129C6" w14:paraId="472C3E4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282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2C1A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AEB3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C6E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009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49F6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4129C6" w14:paraId="245C629A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F0B4F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1886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B965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574C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EF74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FDC0" w14:textId="77777777" w:rsidR="002D3800" w:rsidRPr="004129C6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129C6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073F7C19" w14:textId="77777777" w:rsidR="002D3800" w:rsidRDefault="002D3800" w:rsidP="002D3800"/>
    <w:p w14:paraId="43740526" w14:textId="77777777" w:rsidR="002D3800" w:rsidRPr="00127890" w:rsidRDefault="002D3800" w:rsidP="002D3800">
      <w:pPr>
        <w:pStyle w:val="Heading3"/>
        <w:rPr>
          <w:sz w:val="24"/>
        </w:rPr>
      </w:pPr>
      <w:r w:rsidRPr="00127890">
        <w:rPr>
          <w:sz w:val="24"/>
        </w:rPr>
        <w:t>Extension of the ISP with independent sub-partitions approach to sub-partitions with a width smaller than 4</w:t>
      </w:r>
    </w:p>
    <w:p w14:paraId="54F652FA" w14:textId="77777777" w:rsidR="002D3800" w:rsidRDefault="002D3800" w:rsidP="002D3800">
      <w:r>
        <w:t xml:space="preserve">In this case sub-partitions with a width smaller than 4 are not removed from the ISP structure. Instead, the same design as the one introduced in this contribution </w:t>
      </w:r>
      <w:proofErr w:type="gramStart"/>
      <w:r>
        <w:t xml:space="preserve">for </w:t>
      </w:r>
      <w:proofErr w:type="gramEnd"/>
      <m:oMath>
        <m:r>
          <w:rPr>
            <w:rFonts w:ascii="Cambria Math" w:hAnsi="Cambria Math"/>
          </w:rPr>
          <m:t>4×4</m:t>
        </m:r>
      </m:oMath>
      <w:r>
        <w:t xml:space="preserve">, </w:t>
      </w:r>
      <m:oMath>
        <m:r>
          <w:rPr>
            <w:rFonts w:ascii="Cambria Math" w:hAnsi="Cambria Math"/>
          </w:rPr>
          <m:t>8×4</m:t>
        </m:r>
      </m:oMath>
      <w:r>
        <w:t xml:space="preserve"> and </w:t>
      </w:r>
      <m:oMath>
        <m:r>
          <w:rPr>
            <w:rFonts w:ascii="Cambria Math" w:hAnsi="Cambria Math"/>
          </w:rPr>
          <m:t>4×8</m:t>
        </m:r>
      </m:oMath>
      <w:r>
        <w:t xml:space="preserve"> is applied to them. Two different cases are distinguished:</w:t>
      </w:r>
    </w:p>
    <w:p w14:paraId="08DA284D" w14:textId="6479E420" w:rsidR="002D3800" w:rsidRDefault="002D3800" w:rsidP="002D3800">
      <w:pPr>
        <w:pStyle w:val="Heading4"/>
        <w:numPr>
          <w:ilvl w:val="0"/>
          <w:numId w:val="27"/>
        </w:numPr>
        <w:rPr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The vertical split </w:t>
      </w:r>
      <w:r w:rsidRPr="002B17D0">
        <w:rPr>
          <w:rFonts w:ascii="Times New Roman" w:hAnsi="Times New Roman"/>
          <w:b w:val="0"/>
          <w:sz w:val="22"/>
          <w:szCs w:val="22"/>
        </w:rPr>
        <w:t xml:space="preserve">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4×N</m:t>
        </m:r>
      </m:oMath>
      <w:r w:rsidRPr="002B17D0">
        <w:rPr>
          <w:b w:val="0"/>
          <w:sz w:val="22"/>
          <w:szCs w:val="22"/>
        </w:rPr>
        <w:t xml:space="preserve"> blocks is treated the same way as the vertical split of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Pr="002B17D0">
        <w:rPr>
          <w:b w:val="0"/>
          <w:sz w:val="22"/>
          <w:szCs w:val="22"/>
        </w:rPr>
        <w:t xml:space="preserve"> explained in section 2.1. For example, a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4×32</m:t>
        </m:r>
      </m:oMath>
      <w:r w:rsidRPr="002B17D0">
        <w:rPr>
          <w:b w:val="0"/>
          <w:sz w:val="22"/>
          <w:szCs w:val="22"/>
        </w:rPr>
        <w:t xml:space="preserve"> block could be vertically divided into four independent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1×32</m:t>
        </m:r>
      </m:oMath>
      <w:r>
        <w:rPr>
          <w:b w:val="0"/>
          <w:sz w:val="22"/>
          <w:szCs w:val="22"/>
        </w:rPr>
        <w:t xml:space="preserve"> sub-partitions.</w:t>
      </w:r>
    </w:p>
    <w:p w14:paraId="3448BF88" w14:textId="36392497" w:rsidR="002D3800" w:rsidRDefault="002D3800" w:rsidP="002D3800">
      <w:pPr>
        <w:pStyle w:val="ListParagraph"/>
        <w:numPr>
          <w:ilvl w:val="0"/>
          <w:numId w:val="27"/>
        </w:numPr>
      </w:pPr>
      <w:r>
        <w:t xml:space="preserve">The vertical split of </w:t>
      </w:r>
      <m:oMath>
        <m:r>
          <w:rPr>
            <w:rFonts w:ascii="Cambria Math" w:hAnsi="Cambria Math"/>
          </w:rPr>
          <m:t>8×N</m:t>
        </m:r>
      </m:oMath>
      <w:r>
        <w:t xml:space="preserve"> blocks is treated the same way as the vertical split of </w:t>
      </w:r>
      <m:oMath>
        <m:r>
          <w:rPr>
            <w:rFonts w:ascii="Cambria Math" w:hAnsi="Cambria Math"/>
          </w:rPr>
          <m:t>8×4</m:t>
        </m:r>
      </m:oMath>
      <w:r>
        <w:t xml:space="preserve"> blocks explained in section 2.2. For instance, </w:t>
      </w:r>
      <w:proofErr w:type="gramStart"/>
      <w:r>
        <w:t>an</w:t>
      </w:r>
      <w:proofErr w:type="gramEnd"/>
      <w:r>
        <w:t xml:space="preserve"> </w:t>
      </w:r>
      <m:oMath>
        <m:r>
          <w:rPr>
            <w:rFonts w:ascii="Cambria Math" w:hAnsi="Cambria Math"/>
          </w:rPr>
          <m:t>8×16</m:t>
        </m:r>
      </m:oMath>
      <w:r>
        <w:t xml:space="preserve"> block could be divided into four </w:t>
      </w:r>
      <m:oMath>
        <m:r>
          <w:rPr>
            <w:rFonts w:ascii="Cambria Math" w:hAnsi="Cambria Math"/>
          </w:rPr>
          <m:t>2×16</m:t>
        </m:r>
      </m:oMath>
      <w:r>
        <w:t xml:space="preserve"> sub-partitions, where sub-partitions 2 and 4 could not use the reconstructed samples of sub-partitions 1 and 3 respectively to generate its corresponding prediction signals.</w:t>
      </w:r>
    </w:p>
    <w:p w14:paraId="65E888AA" w14:textId="1DBBD0B1" w:rsidR="002D3800" w:rsidRDefault="002D3800" w:rsidP="002D3800">
      <w:r>
        <w:t xml:space="preserve">This method allows writing reconstructed samples in groups of at least </w:t>
      </w:r>
      <m:oMath>
        <m:r>
          <w:rPr>
            <w:rFonts w:ascii="Cambria Math" w:hAnsi="Cambria Math"/>
          </w:rPr>
          <m:t>4×4</m:t>
        </m:r>
      </m:oMath>
      <w:r>
        <w:t xml:space="preserve"> samples in all the vertical split cases (in the case of the horizontal split the minimum is </w:t>
      </w:r>
      <w:proofErr w:type="gramStart"/>
      <w:r>
        <w:t xml:space="preserve">still </w:t>
      </w:r>
      <w:proofErr w:type="gramEnd"/>
      <m:oMath>
        <m:r>
          <w:rPr>
            <w:rFonts w:ascii="Cambria Math" w:hAnsi="Cambria Math"/>
          </w:rPr>
          <m:t>16×1</m:t>
        </m:r>
      </m:oMath>
      <w:r>
        <w:t xml:space="preserve">). The results of this approach (using independent sub-partitions </w:t>
      </w:r>
      <w:proofErr w:type="gramStart"/>
      <w:r>
        <w:t xml:space="preserve">on </w:t>
      </w:r>
      <w:proofErr w:type="gramEnd"/>
      <m:oMath>
        <m:r>
          <w:rPr>
            <w:rFonts w:ascii="Cambria Math" w:hAnsi="Cambria Math"/>
          </w:rPr>
          <m:t>4×4</m:t>
        </m:r>
      </m:oMath>
      <w:r>
        <w:t xml:space="preserve">, </w:t>
      </w:r>
      <m:oMath>
        <m:r>
          <w:rPr>
            <w:rFonts w:ascii="Cambria Math" w:hAnsi="Cambria Math"/>
          </w:rPr>
          <m:t>4×8</m:t>
        </m:r>
      </m:oMath>
      <w:r>
        <w:t xml:space="preserve">, </w:t>
      </w:r>
      <m:oMath>
        <m:r>
          <w:rPr>
            <w:rFonts w:ascii="Cambria Math" w:hAnsi="Cambria Math"/>
          </w:rPr>
          <m:t>8×4</m:t>
        </m:r>
      </m:oMath>
      <w:r>
        <w:t xml:space="preserve"> and the vertical split of </w:t>
      </w:r>
      <m:oMath>
        <m:r>
          <w:rPr>
            <w:rFonts w:ascii="Cambria Math" w:hAnsi="Cambria Math"/>
          </w:rPr>
          <m:t>4×N</m:t>
        </m:r>
      </m:oMath>
      <w:r>
        <w:t xml:space="preserve"> and </w:t>
      </w:r>
      <m:oMath>
        <m:r>
          <w:rPr>
            <w:rFonts w:ascii="Cambria Math" w:hAnsi="Cambria Math"/>
          </w:rPr>
          <m:t>8×N</m:t>
        </m:r>
      </m:oMath>
      <w:r>
        <w:t xml:space="preserve"> blocks) on top of VTM-4.0.1 are presented in Table </w:t>
      </w:r>
      <w:r>
        <w:rPr>
          <w:noProof/>
        </w:rPr>
        <w:t>7</w:t>
      </w:r>
      <w:r>
        <w:t xml:space="preserve">, Table </w:t>
      </w:r>
      <w:r>
        <w:rPr>
          <w:noProof/>
        </w:rPr>
        <w:t>8</w:t>
      </w:r>
      <w:r>
        <w:t xml:space="preserve"> and Table </w:t>
      </w:r>
      <w:r>
        <w:rPr>
          <w:noProof/>
        </w:rPr>
        <w:t>9</w:t>
      </w:r>
      <w:r>
        <w:t>.</w:t>
      </w:r>
    </w:p>
    <w:p w14:paraId="32E17DB8" w14:textId="77777777" w:rsidR="002D3800" w:rsidRDefault="002D3800" w:rsidP="002D3800"/>
    <w:p w14:paraId="182C7017" w14:textId="77777777" w:rsidR="002D3800" w:rsidRDefault="002D3800" w:rsidP="002D3800">
      <w:pPr>
        <w:pStyle w:val="Caption"/>
        <w:keepNext/>
        <w:jc w:val="center"/>
      </w:pPr>
      <w:bookmarkStart w:id="10" w:name="_Ref314193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End w:id="10"/>
      <w:r>
        <w:t xml:space="preserve">: Results on using independent sub-partitions </w:t>
      </w:r>
      <w:proofErr w:type="gramStart"/>
      <w:r>
        <w:t xml:space="preserve">on </w:t>
      </w:r>
      <w:proofErr w:type="gramEnd"/>
      <m:oMath>
        <m:r>
          <w:rPr>
            <w:rFonts w:ascii="Cambria Math" w:hAnsi="Cambria Math"/>
          </w:rPr>
          <m:t>4×4</m:t>
        </m:r>
      </m:oMath>
      <w:r>
        <w:t xml:space="preserve">, </w:t>
      </w:r>
      <m:oMath>
        <m:r>
          <w:rPr>
            <w:rFonts w:ascii="Cambria Math" w:hAnsi="Cambria Math"/>
          </w:rPr>
          <m:t>4×8</m:t>
        </m:r>
      </m:oMath>
      <w:r>
        <w:t xml:space="preserve">, </w:t>
      </w:r>
      <m:oMath>
        <m:r>
          <w:rPr>
            <w:rFonts w:ascii="Cambria Math" w:hAnsi="Cambria Math"/>
          </w:rPr>
          <m:t>8×4</m:t>
        </m:r>
      </m:oMath>
      <w:r>
        <w:t xml:space="preserve"> and the vertical split of </w:t>
      </w:r>
      <m:oMath>
        <m:r>
          <w:rPr>
            <w:rFonts w:ascii="Cambria Math" w:hAnsi="Cambria Math"/>
          </w:rPr>
          <m:t>4×N</m:t>
        </m:r>
      </m:oMath>
      <w:r>
        <w:t xml:space="preserve"> and </w:t>
      </w:r>
      <m:oMath>
        <m:r>
          <w:rPr>
            <w:rFonts w:ascii="Cambria Math" w:hAnsi="Cambria Math"/>
          </w:rPr>
          <m:t>8×N</m:t>
        </m:r>
      </m:oMath>
      <w:r>
        <w:t xml:space="preserve"> </w:t>
      </w:r>
      <w:r w:rsidRPr="00D84C05">
        <w:t xml:space="preserve">blocks </w:t>
      </w:r>
      <w:r>
        <w:rPr>
          <w:noProof/>
        </w:rPr>
        <w:t>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A01104" w14:paraId="54E7002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D89A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67944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2D3800" w:rsidRPr="00A01104" w14:paraId="344852F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4822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51F22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A01104" w14:paraId="4518B3C5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9721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B3F0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EE0F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7031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F13A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076C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A01104" w14:paraId="2C366AB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55805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8E49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5186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4B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3AC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53F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A01104" w14:paraId="461C6FE7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9FAB4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92A6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BA2E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4251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DB77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4D5B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A01104" w14:paraId="36C7892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D492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D534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28DF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CBF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1A6C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5F80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A01104" w14:paraId="0607DDC7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FE08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305A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D66B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AC07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444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8F4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A01104" w14:paraId="0EB5E64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C61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BC3E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B62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95AB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9D81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5CA5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D3800" w:rsidRPr="00A01104" w14:paraId="7A9C0E53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194C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6615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F5A5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6F65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2EDD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09E77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A01104" w14:paraId="1ABBAAE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70D9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27D9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82B4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0930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2916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2919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A01104" w14:paraId="10FF5FC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74AE3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0B570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74C2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25F8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7FBA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6B3DF" w14:textId="77777777" w:rsidR="002D3800" w:rsidRPr="00A01104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0110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300A5978" w14:textId="77777777" w:rsidR="002D3800" w:rsidRDefault="002D3800" w:rsidP="002D3800"/>
    <w:p w14:paraId="181713F5" w14:textId="77777777" w:rsidR="002D3800" w:rsidRDefault="002D3800" w:rsidP="002D3800">
      <w:pPr>
        <w:pStyle w:val="Caption"/>
        <w:keepNext/>
        <w:jc w:val="center"/>
      </w:pPr>
      <w:bookmarkStart w:id="11" w:name="_Ref314194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bookmarkEnd w:id="11"/>
      <w:r>
        <w:t xml:space="preserve">: </w:t>
      </w:r>
      <w:r w:rsidRPr="00D84C05">
        <w:t xml:space="preserve">Results on using independent sub-partitions </w:t>
      </w:r>
      <w:proofErr w:type="gramStart"/>
      <w:r>
        <w:t xml:space="preserve">on </w:t>
      </w:r>
      <w:proofErr w:type="gramEnd"/>
      <m:oMath>
        <m:r>
          <w:rPr>
            <w:rFonts w:ascii="Cambria Math" w:hAnsi="Cambria Math"/>
          </w:rPr>
          <m:t>4×4</m:t>
        </m:r>
      </m:oMath>
      <w:r>
        <w:t xml:space="preserve">, </w:t>
      </w:r>
      <m:oMath>
        <m:r>
          <w:rPr>
            <w:rFonts w:ascii="Cambria Math" w:hAnsi="Cambria Math"/>
          </w:rPr>
          <m:t>4×8</m:t>
        </m:r>
      </m:oMath>
      <w:r>
        <w:t xml:space="preserve">, </w:t>
      </w:r>
      <m:oMath>
        <m:r>
          <w:rPr>
            <w:rFonts w:ascii="Cambria Math" w:hAnsi="Cambria Math"/>
          </w:rPr>
          <m:t>8×4</m:t>
        </m:r>
      </m:oMath>
      <w:r>
        <w:t xml:space="preserve"> </w:t>
      </w:r>
      <w:r w:rsidRPr="00D84C05">
        <w:t>and the vertical</w:t>
      </w:r>
      <w:r>
        <w:t xml:space="preserve"> split</w:t>
      </w:r>
      <w:r w:rsidRPr="00D84C05">
        <w:t xml:space="preserve"> </w:t>
      </w:r>
      <w:r>
        <w:t xml:space="preserve">of </w:t>
      </w:r>
      <m:oMath>
        <m:r>
          <w:rPr>
            <w:rFonts w:ascii="Cambria Math" w:hAnsi="Cambria Math"/>
          </w:rPr>
          <m:t>4×N</m:t>
        </m:r>
      </m:oMath>
      <w:r>
        <w:t xml:space="preserve"> and </w:t>
      </w:r>
      <m:oMath>
        <m:r>
          <w:rPr>
            <w:rFonts w:ascii="Cambria Math" w:hAnsi="Cambria Math"/>
          </w:rPr>
          <m:t>8×N</m:t>
        </m:r>
      </m:oMath>
      <w:r>
        <w:t xml:space="preserve"> </w:t>
      </w:r>
      <w:r w:rsidRPr="00D84C05">
        <w:t xml:space="preserve">blocks for the </w:t>
      </w:r>
      <w:r>
        <w:t>RA</w:t>
      </w:r>
      <w:r w:rsidRPr="00D84C05"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975A42" w14:paraId="37D6CAF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5CCB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5B9D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</w:tr>
      <w:tr w:rsidR="002D3800" w:rsidRPr="00975A42" w14:paraId="1BEA2EC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399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359D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975A42" w14:paraId="4186DF2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449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3D0E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64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D88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6F8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BE7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975A42" w14:paraId="05E80C0A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CBC87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788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E6F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0DA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19F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7E0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75A42" w14:paraId="0F2F0802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920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11C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B79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1F0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37F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334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75A42" w14:paraId="1347428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E6B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672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FBE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20A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D9A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44CE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D3800" w:rsidRPr="00975A42" w14:paraId="4227EA7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7A8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45D7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16C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C48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49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397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975A42" w14:paraId="58FB8116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B047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58BB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B59B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D39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873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4601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975A42" w14:paraId="28E2EBB7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08F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2C7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F22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626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4DD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6E8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75A42" w14:paraId="6E72CFEE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79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DFCD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ADA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25B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472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780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75A42" w14:paraId="6FC680D2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E0A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A8F5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84D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51E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A38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2EE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D48E7A2" w14:textId="77777777" w:rsidR="002D3800" w:rsidRDefault="002D3800" w:rsidP="002D3800"/>
    <w:p w14:paraId="60EB08B1" w14:textId="77777777" w:rsidR="002D3800" w:rsidRDefault="002D3800" w:rsidP="002D3800"/>
    <w:p w14:paraId="33B95C26" w14:textId="77777777" w:rsidR="002D3800" w:rsidRDefault="002D3800" w:rsidP="002D3800">
      <w:pPr>
        <w:pStyle w:val="Caption"/>
        <w:keepNext/>
        <w:jc w:val="center"/>
      </w:pPr>
      <w:bookmarkStart w:id="12" w:name="_Ref314194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bookmarkEnd w:id="12"/>
      <w:r>
        <w:t xml:space="preserve">: </w:t>
      </w:r>
      <w:r w:rsidRPr="0042564E">
        <w:t xml:space="preserve">Results on using independent sub-partitions on 4×4, 4×8, 8×4 and the vertical split </w:t>
      </w:r>
      <w:r>
        <w:t xml:space="preserve">of </w:t>
      </w:r>
      <m:oMath>
        <m:r>
          <w:rPr>
            <w:rFonts w:ascii="Cambria Math" w:hAnsi="Cambria Math"/>
          </w:rPr>
          <m:t>4×N</m:t>
        </m:r>
      </m:oMath>
      <w:r>
        <w:t xml:space="preserve"> and </w:t>
      </w:r>
      <m:oMath>
        <m:r>
          <w:rPr>
            <w:rFonts w:ascii="Cambria Math" w:hAnsi="Cambria Math"/>
          </w:rPr>
          <m:t>8×N</m:t>
        </m:r>
      </m:oMath>
      <w:r>
        <w:t xml:space="preserve"> </w:t>
      </w:r>
      <w:r w:rsidRPr="00D84C05">
        <w:t xml:space="preserve">blocks </w:t>
      </w:r>
      <w:r w:rsidRPr="0042564E">
        <w:t xml:space="preserve">for the </w:t>
      </w:r>
      <w:r>
        <w:t>LDB</w:t>
      </w:r>
      <w:r w:rsidRPr="0042564E">
        <w:t xml:space="preserve">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D3800" w:rsidRPr="00975A42" w14:paraId="2F6B6A7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DC3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D35F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2D3800" w:rsidRPr="00975A42" w14:paraId="4CE0BD00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4F9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DF65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VTM-4.0.1</w:t>
            </w:r>
          </w:p>
        </w:tc>
      </w:tr>
      <w:tr w:rsidR="002D3800" w:rsidRPr="00975A42" w14:paraId="578097F4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8ED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72F1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3131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E23D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3C4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CB1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2D3800" w:rsidRPr="00975A42" w14:paraId="36CD67C5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2613D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516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BA27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4CE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E303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A56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975A42" w14:paraId="68AD648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BF3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7CB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9ED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CCE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D7D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0F7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D3800" w:rsidRPr="00975A42" w14:paraId="711DCBEB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B197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E06B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5EA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418D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94FE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94C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D3800" w:rsidRPr="00975A42" w14:paraId="305D97E8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DB9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965B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A48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855E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351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F02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2D3800" w:rsidRPr="00975A42" w14:paraId="13574C21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6F6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BCB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C36D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16D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4C2F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A09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75A42" w14:paraId="55CD15A8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3E1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E9B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313A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61C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C63E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318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75A42" w14:paraId="5BC334CF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B369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93C5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B120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FA2E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A396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620C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2D3800" w:rsidRPr="00975A42" w14:paraId="5EE2A9D9" w14:textId="77777777" w:rsidTr="00671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C9DB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5BC8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B5DB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3D32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6834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5FD8" w14:textId="77777777" w:rsidR="002D3800" w:rsidRPr="00975A42" w:rsidRDefault="002D3800" w:rsidP="00671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75A4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6EA917AD" w14:textId="21AE9F04" w:rsidR="002B3C46" w:rsidRDefault="002B3C46" w:rsidP="002B3C46"/>
    <w:p w14:paraId="16E04EF8" w14:textId="5C0887F3" w:rsidR="007603E0" w:rsidRDefault="007603E0" w:rsidP="007603E0">
      <w:pPr>
        <w:pStyle w:val="Heading1"/>
      </w:pPr>
      <w:r>
        <w:t>Conclusion</w:t>
      </w:r>
    </w:p>
    <w:p w14:paraId="128F737F" w14:textId="77777777" w:rsidR="002D3800" w:rsidRDefault="002D3800" w:rsidP="002D3800">
      <w:r>
        <w:t xml:space="preserve">The reported results show a gain in CTC and Class F with a very little (AI) or no impact (RA and LDB) in the encoding run-time. </w:t>
      </w:r>
    </w:p>
    <w:p w14:paraId="244E78B9" w14:textId="77777777" w:rsidR="002D3800" w:rsidRDefault="002D3800" w:rsidP="002D3800">
      <w:r>
        <w:t xml:space="preserve">Regarding the additional information presented, the experimental results show that the removal of the sub-partitions with a width smaller than 4 produces a noticeable loss, especially in the case of Classes C and E in AI and Class F in all configurations. Besides, this loss does not come with a significant reduction in the encoding run-time. </w:t>
      </w:r>
    </w:p>
    <w:p w14:paraId="717A23C6" w14:textId="77777777" w:rsidR="002D3800" w:rsidRPr="007603E0" w:rsidRDefault="002D3800" w:rsidP="002D3800">
      <w:r>
        <w:t xml:space="preserve">On the other hand, the extension of the new ISP design to blocks producing sub-partitions with a width smaller than 4 has a better performance than the complete removal of these sub-partitions in terms of BD-Rate gain, given that it does not produce any loss and it produces a significant gain in class F with a very small impact on the encoding run-time. 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79359EE7" w14:textId="7798BE3D" w:rsidR="00EF3F5C" w:rsidRPr="0075034B" w:rsidRDefault="00EF3F5C" w:rsidP="0031633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77777777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6DB66" w14:textId="77777777" w:rsidR="008E1BC1" w:rsidRDefault="008E1BC1">
      <w:r>
        <w:separator/>
      </w:r>
    </w:p>
  </w:endnote>
  <w:endnote w:type="continuationSeparator" w:id="0">
    <w:p w14:paraId="5DCD3095" w14:textId="77777777" w:rsidR="008E1BC1" w:rsidRDefault="008E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24724F7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5D6A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5D6A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8207A" w14:textId="77777777" w:rsidR="008E1BC1" w:rsidRDefault="008E1BC1">
      <w:r>
        <w:separator/>
      </w:r>
    </w:p>
  </w:footnote>
  <w:footnote w:type="continuationSeparator" w:id="0">
    <w:p w14:paraId="7ACA7E12" w14:textId="77777777" w:rsidR="008E1BC1" w:rsidRDefault="008E1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5"/>
  </w:num>
  <w:num w:numId="13">
    <w:abstractNumId w:val="9"/>
  </w:num>
  <w:num w:numId="14">
    <w:abstractNumId w:val="6"/>
  </w:num>
  <w:num w:numId="15">
    <w:abstractNumId w:val="12"/>
  </w:num>
  <w:num w:numId="16">
    <w:abstractNumId w:val="24"/>
  </w:num>
  <w:num w:numId="17">
    <w:abstractNumId w:val="22"/>
  </w:num>
  <w:num w:numId="18">
    <w:abstractNumId w:val="3"/>
  </w:num>
  <w:num w:numId="19">
    <w:abstractNumId w:val="11"/>
  </w:num>
  <w:num w:numId="20">
    <w:abstractNumId w:val="25"/>
  </w:num>
  <w:num w:numId="21">
    <w:abstractNumId w:val="2"/>
  </w:num>
  <w:num w:numId="22">
    <w:abstractNumId w:val="16"/>
  </w:num>
  <w:num w:numId="23">
    <w:abstractNumId w:val="23"/>
  </w:num>
  <w:num w:numId="24">
    <w:abstractNumId w:val="21"/>
  </w:num>
  <w:num w:numId="25">
    <w:abstractNumId w:val="4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102F3D"/>
    <w:rsid w:val="00104BBB"/>
    <w:rsid w:val="00106F09"/>
    <w:rsid w:val="001107C4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4C6B"/>
    <w:rsid w:val="00237224"/>
    <w:rsid w:val="002375C1"/>
    <w:rsid w:val="002420AB"/>
    <w:rsid w:val="00254BE4"/>
    <w:rsid w:val="0026034E"/>
    <w:rsid w:val="002628BA"/>
    <w:rsid w:val="00263398"/>
    <w:rsid w:val="00263FFE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3800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848D6"/>
    <w:rsid w:val="00490329"/>
    <w:rsid w:val="00492C7A"/>
    <w:rsid w:val="00496653"/>
    <w:rsid w:val="004A14A3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5D6A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6D9B"/>
    <w:rsid w:val="006E2810"/>
    <w:rsid w:val="006E5417"/>
    <w:rsid w:val="006F0794"/>
    <w:rsid w:val="006F2EDD"/>
    <w:rsid w:val="00701424"/>
    <w:rsid w:val="007023DE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68FF"/>
    <w:rsid w:val="007824D3"/>
    <w:rsid w:val="00793B43"/>
    <w:rsid w:val="00794E7F"/>
    <w:rsid w:val="00796EE3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67A1"/>
    <w:rsid w:val="00801189"/>
    <w:rsid w:val="008012E6"/>
    <w:rsid w:val="00807636"/>
    <w:rsid w:val="00807E3A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547A"/>
    <w:rsid w:val="008C588B"/>
    <w:rsid w:val="008D3F39"/>
    <w:rsid w:val="008D551C"/>
    <w:rsid w:val="008D6613"/>
    <w:rsid w:val="008E1BC1"/>
    <w:rsid w:val="008E41CC"/>
    <w:rsid w:val="008E480C"/>
    <w:rsid w:val="008E5323"/>
    <w:rsid w:val="008F0BC4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6A8"/>
    <w:rsid w:val="009F3BAB"/>
    <w:rsid w:val="009F496B"/>
    <w:rsid w:val="00A01104"/>
    <w:rsid w:val="00A01439"/>
    <w:rsid w:val="00A02E61"/>
    <w:rsid w:val="00A04829"/>
    <w:rsid w:val="00A05CFF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1A14"/>
    <w:rsid w:val="00A46843"/>
    <w:rsid w:val="00A469AD"/>
    <w:rsid w:val="00A56770"/>
    <w:rsid w:val="00A56B97"/>
    <w:rsid w:val="00A6093D"/>
    <w:rsid w:val="00A6655A"/>
    <w:rsid w:val="00A7149A"/>
    <w:rsid w:val="00A71CCA"/>
    <w:rsid w:val="00A736A6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373"/>
    <w:rsid w:val="00B93470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1390"/>
    <w:rsid w:val="00BD5FA5"/>
    <w:rsid w:val="00BD7159"/>
    <w:rsid w:val="00BE01EC"/>
    <w:rsid w:val="00BE2079"/>
    <w:rsid w:val="00BE298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032D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40A3"/>
    <w:rsid w:val="00EC60BC"/>
    <w:rsid w:val="00EC7953"/>
    <w:rsid w:val="00ED1E9C"/>
    <w:rsid w:val="00ED35BA"/>
    <w:rsid w:val="00ED479A"/>
    <w:rsid w:val="00EE45BE"/>
    <w:rsid w:val="00EE4B23"/>
    <w:rsid w:val="00EE7CD8"/>
    <w:rsid w:val="00EF1F6D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5F7B834E-EB22-42D1-AEB5-9D296C12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2294</Words>
  <Characters>13080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108</cp:revision>
  <cp:lastPrinted>2018-09-24T15:52:00Z</cp:lastPrinted>
  <dcterms:created xsi:type="dcterms:W3CDTF">2019-03-07T19:17:00Z</dcterms:created>
  <dcterms:modified xsi:type="dcterms:W3CDTF">2019-03-12T21:30:00Z</dcterms:modified>
</cp:coreProperties>
</file>