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12D510E7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0A4EE2">
              <w:rPr>
                <w:lang w:val="en-CA"/>
              </w:rPr>
              <w:t>0251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814FCC" w:rsidR="00E61DAC" w:rsidRPr="005B217D" w:rsidRDefault="00832A3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Non-CE8: </w:t>
            </w:r>
            <w:r w:rsidR="007B69BD">
              <w:rPr>
                <w:b/>
                <w:szCs w:val="22"/>
                <w:lang w:val="en-CA"/>
              </w:rPr>
              <w:t>i</w:t>
            </w:r>
            <w:r w:rsidR="00B174A5">
              <w:rPr>
                <w:b/>
                <w:szCs w:val="22"/>
                <w:lang w:val="en-CA"/>
              </w:rPr>
              <w:t>ntra block copy clean</w:t>
            </w:r>
            <w:r w:rsidR="00570418">
              <w:rPr>
                <w:b/>
                <w:szCs w:val="22"/>
                <w:lang w:val="en-CA"/>
              </w:rPr>
              <w:t>-</w:t>
            </w:r>
            <w:r w:rsidR="00B174A5">
              <w:rPr>
                <w:b/>
                <w:szCs w:val="22"/>
                <w:lang w:val="en-CA"/>
              </w:rPr>
              <w:t>up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6660E8" w:rsidRPr="005B217D" w14:paraId="714CD808" w14:textId="77777777" w:rsidTr="000962AC">
        <w:tc>
          <w:tcPr>
            <w:tcW w:w="1458" w:type="dxa"/>
          </w:tcPr>
          <w:p w14:paraId="4DB59313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9EA885E" w14:textId="59728432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Jizheng</w:t>
            </w:r>
            <w:r w:rsidR="007F6AFB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Xu, Li Zhang, Kai Zhang, Hongbin Liu, Yue Wang</w:t>
            </w:r>
          </w:p>
          <w:p w14:paraId="721C0FFA" w14:textId="77777777" w:rsidR="006660E8" w:rsidRP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8910 University Center Lane</w:t>
            </w:r>
          </w:p>
          <w:p w14:paraId="49D81240" w14:textId="399DE142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San Diego, CA, U.S.A. 92122</w:t>
            </w:r>
          </w:p>
        </w:tc>
        <w:tc>
          <w:tcPr>
            <w:tcW w:w="900" w:type="dxa"/>
          </w:tcPr>
          <w:p w14:paraId="0140ECA2" w14:textId="77777777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05D09A1" w14:textId="77777777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+1-619-436-7216</w:t>
            </w:r>
          </w:p>
          <w:p w14:paraId="32C2ABFD" w14:textId="4C473835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28346A">
              <w:rPr>
                <w:szCs w:val="22"/>
                <w:lang w:val="en-CA"/>
              </w:rPr>
              <w:t>xujizheng@bytedance.com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  <w:tr w:rsidR="006660E8" w:rsidRPr="005B217D" w14:paraId="49AFAA61" w14:textId="77777777" w:rsidTr="000962AC">
        <w:tc>
          <w:tcPr>
            <w:tcW w:w="1458" w:type="dxa"/>
          </w:tcPr>
          <w:p w14:paraId="2C08AF6B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B47A14F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several </w:t>
      </w:r>
      <w:r w:rsidR="00D10927">
        <w:rPr>
          <w:lang w:val="en-CA"/>
        </w:rPr>
        <w:t>clean-ups for</w:t>
      </w:r>
      <w:r w:rsidR="00F42747">
        <w:rPr>
          <w:lang w:val="en-CA"/>
        </w:rPr>
        <w:t xml:space="preserve"> the current intra block copy (IBC) design</w:t>
      </w:r>
      <w:r w:rsidR="00D10927">
        <w:rPr>
          <w:lang w:val="en-CA"/>
        </w:rPr>
        <w:t xml:space="preserve"> to clarify reference buffer size, reference area restriction and reference area for small CTU size</w:t>
      </w:r>
      <w:r w:rsidR="00F42747">
        <w:rPr>
          <w:lang w:val="en-CA"/>
        </w:rPr>
        <w:t>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4AC6A0B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</w:t>
      </w:r>
    </w:p>
    <w:p w14:paraId="470AFE66" w14:textId="30D0C250" w:rsidR="005E0741" w:rsidRDefault="005E0741" w:rsidP="009234A5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In the current draft (VVC draft 4), the </w:t>
      </w:r>
      <w:r w:rsidR="008E1BFD">
        <w:rPr>
          <w:szCs w:val="22"/>
          <w:lang w:val="en-CA" w:eastAsia="zh-CN"/>
        </w:rPr>
        <w:t xml:space="preserve">reference </w:t>
      </w:r>
      <w:r>
        <w:rPr>
          <w:szCs w:val="22"/>
          <w:lang w:val="en-CA" w:eastAsia="zh-CN"/>
        </w:rPr>
        <w:t>area</w:t>
      </w:r>
      <w:r w:rsidR="008E1BFD">
        <w:rPr>
          <w:szCs w:val="22"/>
          <w:lang w:val="en-CA" w:eastAsia="zh-CN"/>
        </w:rPr>
        <w:t xml:space="preserve"> for IBC</w:t>
      </w:r>
      <w:r>
        <w:rPr>
          <w:szCs w:val="22"/>
          <w:lang w:val="en-CA" w:eastAsia="zh-CN"/>
        </w:rPr>
        <w:t xml:space="preserve"> is defined as</w:t>
      </w:r>
    </w:p>
    <w:p w14:paraId="6CD74968" w14:textId="4117F791" w:rsidR="005E0741" w:rsidRDefault="005E0741" w:rsidP="009234A5">
      <w:pPr>
        <w:rPr>
          <w:szCs w:val="22"/>
          <w:lang w:val="en-CA" w:eastAsia="zh-CN"/>
        </w:rPr>
      </w:pPr>
      <w:r w:rsidRPr="005E0741">
        <w:rPr>
          <w:noProof/>
          <w:szCs w:val="22"/>
          <w:lang w:val="en-CA" w:eastAsia="zh-CN"/>
        </w:rPr>
        <w:drawing>
          <wp:inline distT="0" distB="0" distL="0" distR="0" wp14:anchorId="1D13EF35" wp14:editId="6EF3D567">
            <wp:extent cx="5943600" cy="40620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073" cy="408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46CA0478" w:rsidR="00487762" w:rsidRPr="00F42747" w:rsidRDefault="005E0741" w:rsidP="008E1BFD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>T</w:t>
      </w:r>
      <w:r w:rsidR="008E1BFD">
        <w:rPr>
          <w:szCs w:val="22"/>
          <w:lang w:val="en-CA" w:eastAsia="zh-CN"/>
        </w:rPr>
        <w:t>here are several issues in the current design. One is that it might need more than 4 64x64 memory. Second, f</w:t>
      </w:r>
      <w:r>
        <w:rPr>
          <w:szCs w:val="22"/>
          <w:lang w:val="en-CA" w:eastAsia="zh-CN"/>
        </w:rPr>
        <w:t xml:space="preserve">or smaller CTU setting like 64x64 or 32x32, </w:t>
      </w:r>
      <w:r w:rsidR="00F655D9">
        <w:rPr>
          <w:szCs w:val="22"/>
          <w:lang w:val="en-CA" w:eastAsia="zh-CN"/>
        </w:rPr>
        <w:t xml:space="preserve">the reference area is not so </w:t>
      </w:r>
      <w:r w:rsidR="00487762">
        <w:rPr>
          <w:szCs w:val="22"/>
          <w:lang w:val="en-CA" w:eastAsia="zh-CN"/>
        </w:rPr>
        <w:t>efficient</w:t>
      </w:r>
      <w:r w:rsidR="00F655D9">
        <w:rPr>
          <w:szCs w:val="22"/>
          <w:lang w:val="en-CA" w:eastAsia="zh-CN"/>
        </w:rPr>
        <w:t xml:space="preserve"> because the decoder still </w:t>
      </w:r>
      <w:r w:rsidR="00F655D9">
        <w:rPr>
          <w:szCs w:val="22"/>
          <w:lang w:val="en-CA" w:eastAsia="zh-CN"/>
        </w:rPr>
        <w:lastRenderedPageBreak/>
        <w:t>needs to maintain a 128x128 reference buffer</w:t>
      </w:r>
      <w:r w:rsidR="00487762">
        <w:rPr>
          <w:szCs w:val="22"/>
          <w:lang w:val="en-CA" w:eastAsia="zh-CN"/>
        </w:rPr>
        <w:t>, given that the decoder can decode bitstreams with CTU size being 128x128</w:t>
      </w:r>
      <w:r w:rsidR="00F655D9">
        <w:rPr>
          <w:szCs w:val="22"/>
          <w:lang w:val="en-CA" w:eastAsia="zh-CN"/>
        </w:rPr>
        <w:t>.</w:t>
      </w:r>
    </w:p>
    <w:p w14:paraId="10AD28C8" w14:textId="49567A29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>Proposed clean</w:t>
      </w:r>
      <w:r w:rsidR="00570418">
        <w:rPr>
          <w:lang w:val="en-CA"/>
        </w:rPr>
        <w:t>-</w:t>
      </w:r>
      <w:r>
        <w:rPr>
          <w:lang w:val="en-CA"/>
        </w:rPr>
        <w:t>up</w:t>
      </w:r>
    </w:p>
    <w:p w14:paraId="6BC7C80A" w14:textId="5D5A791C" w:rsidR="00570418" w:rsidRPr="00570418" w:rsidRDefault="00570418" w:rsidP="00570418">
      <w:pPr>
        <w:rPr>
          <w:lang w:val="en-CA"/>
        </w:rPr>
      </w:pPr>
      <w:r>
        <w:rPr>
          <w:lang w:val="en-CA"/>
        </w:rPr>
        <w:t xml:space="preserve">To address the issues described above, we propose several clean-ups </w:t>
      </w:r>
      <w:r w:rsidR="00D10927">
        <w:rPr>
          <w:lang w:val="en-CA"/>
        </w:rPr>
        <w:t>for</w:t>
      </w:r>
      <w:r w:rsidR="00B342E9">
        <w:rPr>
          <w:lang w:val="en-CA"/>
        </w:rPr>
        <w:t xml:space="preserve"> the</w:t>
      </w:r>
      <w:r w:rsidR="00D10927">
        <w:rPr>
          <w:lang w:val="en-CA"/>
        </w:rPr>
        <w:t xml:space="preserve"> current</w:t>
      </w:r>
      <w:r w:rsidR="00B342E9">
        <w:rPr>
          <w:lang w:val="en-CA"/>
        </w:rPr>
        <w:t xml:space="preserve"> IBC design.</w:t>
      </w:r>
    </w:p>
    <w:p w14:paraId="7D69B2DD" w14:textId="2E0D719E" w:rsidR="005546FE" w:rsidRDefault="00504C78" w:rsidP="00504C78">
      <w:pPr>
        <w:pStyle w:val="Heading2"/>
        <w:rPr>
          <w:lang w:val="en-CA"/>
        </w:rPr>
      </w:pPr>
      <w:r>
        <w:rPr>
          <w:lang w:val="en-CA"/>
        </w:rPr>
        <w:t>IBC reference buffer size</w:t>
      </w:r>
    </w:p>
    <w:p w14:paraId="56592247" w14:textId="4C1A4009" w:rsidR="00D10927" w:rsidRDefault="00B71B85" w:rsidP="00D10927">
      <w:pPr>
        <w:rPr>
          <w:lang w:val="en-CA"/>
        </w:rPr>
      </w:pPr>
      <w:r>
        <w:rPr>
          <w:lang w:val="en-CA"/>
        </w:rPr>
        <w:t>We propose</w:t>
      </w:r>
      <w:r w:rsidR="00504C78" w:rsidRPr="00504C78">
        <w:rPr>
          <w:lang w:val="en-CA"/>
        </w:rPr>
        <w:t xml:space="preserve"> to define the reference buffer size as </w:t>
      </w:r>
      <w:r w:rsidR="005D32BF">
        <w:rPr>
          <w:lang w:val="en-CA"/>
        </w:rPr>
        <w:t>a fixed size of</w:t>
      </w:r>
      <w:r w:rsidR="00504C78" w:rsidRPr="00504C78">
        <w:rPr>
          <w:lang w:val="en-CA"/>
        </w:rPr>
        <w:t xml:space="preserve"> samples</w:t>
      </w:r>
      <w:r w:rsidR="00B342E9">
        <w:t xml:space="preserve"> (</w:t>
      </w:r>
      <w:r w:rsidR="005D32BF">
        <w:t xml:space="preserve">e.g. 128x128 being </w:t>
      </w:r>
      <w:r w:rsidR="00B342E9">
        <w:t xml:space="preserve">the maximum CTU size) </w:t>
      </w:r>
      <w:r w:rsidR="00504C78" w:rsidRPr="00504C78">
        <w:rPr>
          <w:lang w:val="en-CA"/>
        </w:rPr>
        <w:t>instead of a CTU</w:t>
      </w:r>
      <w:r w:rsidR="000D44C2">
        <w:rPr>
          <w:lang w:val="en-CA"/>
        </w:rPr>
        <w:t>.</w:t>
      </w:r>
    </w:p>
    <w:p w14:paraId="0A3444A7" w14:textId="72E500B5" w:rsidR="00504C78" w:rsidRDefault="00B342E9" w:rsidP="005546FE">
      <w:pPr>
        <w:pStyle w:val="Heading2"/>
        <w:rPr>
          <w:lang w:val="en-CA"/>
        </w:rPr>
      </w:pPr>
      <w:r>
        <w:rPr>
          <w:lang w:val="en-CA"/>
        </w:rPr>
        <w:t xml:space="preserve">IBC </w:t>
      </w:r>
      <w:r w:rsidR="00B71B85">
        <w:rPr>
          <w:lang w:val="en-CA"/>
        </w:rPr>
        <w:t>reference buffer for different CTU sizes</w:t>
      </w:r>
    </w:p>
    <w:p w14:paraId="32155D47" w14:textId="77777777" w:rsidR="00D30819" w:rsidRDefault="00B71B85" w:rsidP="00D30819">
      <w:pPr>
        <w:rPr>
          <w:lang w:val="en-CA"/>
        </w:rPr>
      </w:pPr>
      <w:r>
        <w:rPr>
          <w:lang w:val="en-CA"/>
        </w:rPr>
        <w:t xml:space="preserve">We propose to use the previous (128x128/CTUsize) CTUs </w:t>
      </w:r>
      <w:r w:rsidR="00C770B1">
        <w:rPr>
          <w:lang w:val="en-CA"/>
        </w:rPr>
        <w:t xml:space="preserve">in the same CTU row </w:t>
      </w:r>
      <w:r>
        <w:rPr>
          <w:lang w:val="en-CA"/>
        </w:rPr>
        <w:t>as references for IBC coding mode. For example, 4 previous reconstructed CTUs before loop-filtering</w:t>
      </w:r>
      <w:r w:rsidR="00C770B1">
        <w:rPr>
          <w:lang w:val="en-CA"/>
        </w:rPr>
        <w:t xml:space="preserve"> in the same CTU row</w:t>
      </w:r>
      <w:r>
        <w:rPr>
          <w:lang w:val="en-CA"/>
        </w:rPr>
        <w:t xml:space="preserve"> </w:t>
      </w:r>
      <w:r w:rsidR="00C770B1">
        <w:rPr>
          <w:lang w:val="en-CA"/>
        </w:rPr>
        <w:t xml:space="preserve">are stored in the reference buffer when the CTU size is 64x64. </w:t>
      </w:r>
      <w:r w:rsidR="000D44C2">
        <w:rPr>
          <w:lang w:val="en-CA"/>
        </w:rPr>
        <w:t>For 64x64 CTU, t</w:t>
      </w:r>
      <w:r w:rsidR="00C770B1">
        <w:rPr>
          <w:lang w:val="en-CA"/>
        </w:rPr>
        <w:t>he reference buffer is considered as 256x64</w:t>
      </w:r>
      <w:r w:rsidR="000D44C2">
        <w:rPr>
          <w:lang w:val="en-CA"/>
        </w:rPr>
        <w:t xml:space="preserve"> or a row of 4 CTUs</w:t>
      </w:r>
      <w:r w:rsidR="00C770B1">
        <w:rPr>
          <w:lang w:val="en-CA"/>
        </w:rPr>
        <w:t xml:space="preserve">. </w:t>
      </w:r>
      <w:r w:rsidR="00D10927">
        <w:rPr>
          <w:lang w:val="en-CA"/>
        </w:rPr>
        <w:t>Similarly,</w:t>
      </w:r>
      <w:r w:rsidR="000D44C2">
        <w:rPr>
          <w:lang w:val="en-CA"/>
        </w:rPr>
        <w:t xml:space="preserve"> for 32x32 CTU</w:t>
      </w:r>
      <w:r w:rsidR="00C770B1">
        <w:rPr>
          <w:lang w:val="en-CA"/>
        </w:rPr>
        <w:t>, the buffer is considered as 512x32</w:t>
      </w:r>
      <w:r w:rsidR="000D44C2">
        <w:rPr>
          <w:lang w:val="en-CA"/>
        </w:rPr>
        <w:t xml:space="preserve"> or a row of 16 CTUs.</w:t>
      </w:r>
      <w:r w:rsidR="00D30819">
        <w:rPr>
          <w:lang w:val="en-CA"/>
        </w:rPr>
        <w:t xml:space="preserve"> For smaller CTU setting, the memory reuse should be based on CTU so that when the current CTU uses a block of memory for decoding, the CTU previously stored in that memory should not be used.</w:t>
      </w:r>
    </w:p>
    <w:p w14:paraId="78A84CEC" w14:textId="6B82603D" w:rsidR="00D30819" w:rsidRDefault="00D30819" w:rsidP="00D30819">
      <w:pPr>
        <w:rPr>
          <w:lang w:val="en-CA"/>
        </w:rPr>
      </w:pPr>
      <w:r>
        <w:rPr>
          <w:lang w:val="en-CA"/>
        </w:rPr>
        <w:t>For 64x64 CTU setting, Figure 1 shows the valid reference area. CTU i is the current CTU. The valid reference area includes CTU i-3, i-2 and i-1 in the same CTU row.</w:t>
      </w:r>
    </w:p>
    <w:p w14:paraId="6B9BFBA8" w14:textId="77777777" w:rsidR="00D30819" w:rsidRDefault="00D30819" w:rsidP="00D30819">
      <w:pPr>
        <w:jc w:val="center"/>
        <w:rPr>
          <w:lang w:val="en-CA"/>
        </w:rPr>
      </w:pPr>
      <w:r w:rsidRPr="00564DF9">
        <w:rPr>
          <w:noProof/>
          <w:lang w:val="en-CA"/>
        </w:rPr>
        <w:drawing>
          <wp:inline distT="0" distB="0" distL="0" distR="0" wp14:anchorId="34B7859B" wp14:editId="7F8D4F6A">
            <wp:extent cx="4398857" cy="1325297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971" cy="133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25B09" w14:textId="02CFD729" w:rsidR="00D30819" w:rsidRDefault="00D30819" w:rsidP="00D30819">
      <w:pPr>
        <w:jc w:val="center"/>
        <w:rPr>
          <w:lang w:val="en-CA"/>
        </w:rPr>
      </w:pPr>
      <w:r>
        <w:rPr>
          <w:lang w:val="en-CA"/>
        </w:rPr>
        <w:t>Figure 1. IBC reference area when CTU size is 64x64.</w:t>
      </w:r>
    </w:p>
    <w:p w14:paraId="5D86947F" w14:textId="54F5CCC0" w:rsidR="00B71B85" w:rsidRDefault="00D30819" w:rsidP="00D30819">
      <w:pPr>
        <w:jc w:val="left"/>
        <w:rPr>
          <w:lang w:val="en-CA"/>
        </w:rPr>
      </w:pPr>
      <w:r>
        <w:rPr>
          <w:lang w:val="en-CA"/>
        </w:rPr>
        <w:t>So the reference area should be defined as the reconstructed N-1 CTUs plus the reconstructed area in the current CTU, where N is (128x128/CTUsize).</w:t>
      </w:r>
    </w:p>
    <w:p w14:paraId="1E27CB40" w14:textId="00EB0DBC" w:rsidR="003E41DE" w:rsidRDefault="003E41DE" w:rsidP="003E41DE">
      <w:pPr>
        <w:pStyle w:val="Heading2"/>
        <w:rPr>
          <w:lang w:val="en-CA"/>
        </w:rPr>
      </w:pPr>
      <w:r>
        <w:rPr>
          <w:lang w:val="en-CA"/>
        </w:rPr>
        <w:t xml:space="preserve">Reference </w:t>
      </w:r>
      <w:r w:rsidR="00D10927">
        <w:rPr>
          <w:lang w:val="en-CA"/>
        </w:rPr>
        <w:t>area restriction</w:t>
      </w:r>
    </w:p>
    <w:p w14:paraId="21C1E27C" w14:textId="3667BC72" w:rsidR="00326A02" w:rsidRDefault="00D10927" w:rsidP="00D10927">
      <w:pPr>
        <w:rPr>
          <w:lang w:val="en-CA"/>
        </w:rPr>
      </w:pPr>
      <w:r>
        <w:rPr>
          <w:lang w:val="en-CA"/>
        </w:rPr>
        <w:t xml:space="preserve">To avoid potential conflicts when decoding a CU in a collocated VPDU memory, it is not allowed to reference collocated 64x64 area </w:t>
      </w:r>
      <w:r w:rsidR="00326A02">
        <w:rPr>
          <w:lang w:val="en-CA"/>
        </w:rPr>
        <w:t>in the previous CTU.</w:t>
      </w:r>
      <w:r w:rsidR="00C37677">
        <w:rPr>
          <w:lang w:val="en-CA"/>
        </w:rPr>
        <w:t xml:space="preserve"> T</w:t>
      </w:r>
      <w:r w:rsidR="00326A02">
        <w:rPr>
          <w:lang w:val="en-CA"/>
        </w:rPr>
        <w:t xml:space="preserve">he current text </w:t>
      </w:r>
      <w:r w:rsidR="00B274B0">
        <w:rPr>
          <w:lang w:val="en-CA"/>
        </w:rPr>
        <w:t xml:space="preserve">sets the bistream conformance constrain as </w:t>
      </w:r>
      <w:r w:rsidR="00C37677">
        <w:rPr>
          <w:lang w:val="en-CA"/>
        </w:rPr>
        <w:t xml:space="preserve">that </w:t>
      </w:r>
      <w:r w:rsidR="00B274B0">
        <w:rPr>
          <w:lang w:val="en-CA"/>
        </w:rPr>
        <w:t>((refX+128)&gt;&gt;6&lt;&lt;6, refY&gt;&gt;6&lt;&lt;6) shall not be reconstructed</w:t>
      </w:r>
      <w:r w:rsidR="00C37677">
        <w:rPr>
          <w:lang w:val="en-CA"/>
        </w:rPr>
        <w:t>, which is also implemented in the VTM-4.0 software</w:t>
      </w:r>
      <w:r w:rsidR="00B274B0">
        <w:rPr>
          <w:lang w:val="en-CA"/>
        </w:rPr>
        <w:t>.</w:t>
      </w:r>
    </w:p>
    <w:p w14:paraId="1055B099" w14:textId="386E04EB" w:rsidR="00B274B0" w:rsidRDefault="00326A02" w:rsidP="00D10927">
      <w:pPr>
        <w:rPr>
          <w:lang w:val="en-CA"/>
        </w:rPr>
      </w:pPr>
      <w:r>
        <w:rPr>
          <w:lang w:val="en-CA"/>
        </w:rPr>
        <w:t xml:space="preserve">Suppose that the current </w:t>
      </w:r>
      <w:r w:rsidR="00B274B0">
        <w:rPr>
          <w:lang w:val="en-CA"/>
        </w:rPr>
        <w:t>CU locates at the upper-corner of a CTU,</w:t>
      </w:r>
      <w:r w:rsidR="00C37677">
        <w:rPr>
          <w:lang w:val="en-CA"/>
        </w:rPr>
        <w:t xml:space="preserve"> like shown in Fig. 2, because all pixels in the current CTU (CTU i+1) have not been reconstructed, according to the current design, all pixels in the previous CTU can be used as IBC reference.</w:t>
      </w:r>
    </w:p>
    <w:p w14:paraId="26C78201" w14:textId="55E27EB6" w:rsidR="00B274B0" w:rsidRDefault="00B274B0" w:rsidP="00B274B0">
      <w:pPr>
        <w:jc w:val="center"/>
        <w:rPr>
          <w:lang w:val="en-CA"/>
        </w:rPr>
      </w:pPr>
      <w:r w:rsidRPr="00B274B0">
        <w:rPr>
          <w:noProof/>
          <w:lang w:val="en-CA"/>
        </w:rPr>
        <w:lastRenderedPageBreak/>
        <w:drawing>
          <wp:inline distT="0" distB="0" distL="0" distR="0" wp14:anchorId="6D23E1C2" wp14:editId="0AD4D537">
            <wp:extent cx="4212838" cy="2599267"/>
            <wp:effectExtent l="0" t="0" r="3810" b="444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049" cy="262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4DB86" w14:textId="2426F245" w:rsidR="00326A02" w:rsidRDefault="00B274B0" w:rsidP="00B274B0">
      <w:pPr>
        <w:jc w:val="center"/>
        <w:rPr>
          <w:lang w:val="en-CA"/>
        </w:rPr>
      </w:pPr>
      <w:r>
        <w:rPr>
          <w:lang w:val="en-CA"/>
        </w:rPr>
        <w:t>Figure 2. An example of IBC reference that is valid in the current design.</w:t>
      </w:r>
      <w:r w:rsidR="00564DF9">
        <w:rPr>
          <w:lang w:val="en-CA"/>
        </w:rPr>
        <w:t xml:space="preserve"> Each block denotes a 64x64 area.</w:t>
      </w:r>
    </w:p>
    <w:p w14:paraId="7B367A91" w14:textId="5E662299" w:rsidR="00326A02" w:rsidRDefault="00C37677" w:rsidP="00D10927">
      <w:pPr>
        <w:rPr>
          <w:lang w:val="en-CA"/>
        </w:rPr>
      </w:pPr>
      <w:r>
        <w:rPr>
          <w:lang w:val="en-CA"/>
        </w:rPr>
        <w:t>Thus, it is proposed to set the constrain as</w:t>
      </w:r>
    </w:p>
    <w:p w14:paraId="0F4A2FD0" w14:textId="7E479DA5" w:rsidR="00C37677" w:rsidRDefault="00C37677" w:rsidP="00D10927">
      <w:pPr>
        <w:rPr>
          <w:lang w:val="en-CA"/>
        </w:rPr>
      </w:pPr>
      <w:r>
        <w:rPr>
          <w:lang w:val="en-CA"/>
        </w:rPr>
        <w:tab/>
      </w:r>
      <w:r w:rsidR="00F8648B">
        <w:rPr>
          <w:lang w:val="en-CA"/>
        </w:rPr>
        <w:t>(</w:t>
      </w:r>
      <w:r>
        <w:rPr>
          <w:lang w:val="en-CA"/>
        </w:rPr>
        <w:t>(refX&gt;&gt;6</w:t>
      </w:r>
      <w:r w:rsidR="00F8648B">
        <w:rPr>
          <w:lang w:val="en-CA"/>
        </w:rPr>
        <w:t>) + 2 = = cuX&gt;&gt;6) &amp;&amp; (refY&gt;&gt;6 = = cuY&gt;&gt;6) shall be false.</w:t>
      </w:r>
    </w:p>
    <w:p w14:paraId="4B4872A2" w14:textId="22DC5E0A" w:rsidR="00F8648B" w:rsidRDefault="00F8648B" w:rsidP="00D10927">
      <w:pPr>
        <w:rPr>
          <w:lang w:val="en-CA"/>
        </w:rPr>
      </w:pPr>
      <w:r>
        <w:rPr>
          <w:lang w:val="en-CA"/>
        </w:rPr>
        <w:t>The constrain together with constrains that restricts reference shall be within the current or the previous CTUs in a CTU row clearly define the reference area that can be implemented by memory reuse.</w:t>
      </w:r>
    </w:p>
    <w:p w14:paraId="7B10773A" w14:textId="7D1BEE58" w:rsidR="00F8648B" w:rsidRDefault="00564DF9" w:rsidP="00D10927">
      <w:pPr>
        <w:rPr>
          <w:lang w:val="en-CA"/>
        </w:rPr>
      </w:pPr>
      <w:r>
        <w:rPr>
          <w:lang w:val="en-CA"/>
        </w:rPr>
        <w:t>It should be noted that the above constrain is only applied to 128x128 CTU.</w:t>
      </w:r>
    </w:p>
    <w:p w14:paraId="3393B3A9" w14:textId="06DD4AE6" w:rsidR="00617569" w:rsidRDefault="00617569" w:rsidP="00617569">
      <w:pPr>
        <w:pStyle w:val="Heading2"/>
        <w:rPr>
          <w:lang w:val="en-CA"/>
        </w:rPr>
      </w:pPr>
      <w:r>
        <w:rPr>
          <w:lang w:val="en-CA"/>
        </w:rPr>
        <w:t>Local search range fix</w:t>
      </w:r>
    </w:p>
    <w:p w14:paraId="728F0E87" w14:textId="37EE1470" w:rsidR="00617569" w:rsidRPr="00617569" w:rsidRDefault="00617569" w:rsidP="00617569">
      <w:pPr>
        <w:rPr>
          <w:lang w:val="en-CA"/>
        </w:rPr>
      </w:pPr>
      <w:r>
        <w:rPr>
          <w:lang w:val="en-CA"/>
        </w:rPr>
        <w:t>In the current VTM-4.0 software, the search range for local search is restricted to [-128, 128]. But because a CU can reference a block of previous CTU, a possible BVx can be much beyond -128. We believe that is because of careless but not intention. We propose to fix the lower bound of the local search range to be –(128+(CUx%128)).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453A79C0" w14:textId="3DBCFC48" w:rsidR="00D30819" w:rsidRDefault="000F127E" w:rsidP="000F127E">
      <w:pPr>
        <w:jc w:val="center"/>
        <w:rPr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1. </w:t>
      </w:r>
      <w:r w:rsidR="00D30819">
        <w:rPr>
          <w:lang w:eastAsia="zh-CN"/>
        </w:rPr>
        <w:t>IBC performance of VTM4.0 when CTU size is 64x64. Anchor is VTM4.0 w/ 64x64 CTU w/o IBC, the test is VTM4.0 w/ 64x64 CTU w/ IBC</w:t>
      </w:r>
      <w:r>
        <w:rPr>
          <w:lang w:eastAsia="zh-CN"/>
        </w:rPr>
        <w:t xml:space="preserve">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0F127E" w:rsidRPr="000F127E" w14:paraId="7A3668C6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5274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80472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0F127E" w:rsidRPr="000F127E" w14:paraId="7110A5E4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E6A5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217EF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0F127E" w:rsidRPr="000F127E" w14:paraId="4D13D9E8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905B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1C973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E1139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153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CD057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7BDA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127E" w:rsidRPr="000F127E" w14:paraId="63AD5DB5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B672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052A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EA4B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92C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828F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87BA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127E" w:rsidRPr="000F127E" w14:paraId="3DF8BD9B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0DC1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766E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4310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4D8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C5E4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4897E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212A11AB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8EB5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E994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B2A8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B994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3BB3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1197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0F127E" w:rsidRPr="000F127E" w14:paraId="127A8EFF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48C2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0EB5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12D2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E85E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3494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F0084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0F127E" w:rsidRPr="000F127E" w14:paraId="37FA9D7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CC822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946B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AB7B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-0.64%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5F0B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0A08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139%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A50C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0F127E" w:rsidRPr="000F127E" w14:paraId="2430DFEF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76D12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22AC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089F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A531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2DC1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C261D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200DDDDE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B9F2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6496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BD0C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4A47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-0.24%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6BBC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EAAD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0F127E" w:rsidRPr="000F127E" w14:paraId="43B86639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05519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189DD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6C4EF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D6DD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0B6F0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E3F1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127E" w:rsidRPr="000F127E" w14:paraId="1BDDE69F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366A2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693450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-32.17%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ACB850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-31.73%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CBBC1A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-31.98%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FFEDA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137%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D8B1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0F127E" w:rsidRPr="000F127E" w14:paraId="003F805E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51F8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6651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1EDC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C399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9720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938A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F127E" w:rsidRPr="000F127E" w14:paraId="1E223AC3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C490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FA51D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0F127E" w:rsidRPr="000F127E" w14:paraId="21F0E9F6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5114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E485E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0F127E" w:rsidRPr="000F127E" w14:paraId="5A9C1865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C3CA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C0056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9AEF8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38B4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62BA9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E367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127E" w:rsidRPr="000F127E" w14:paraId="4F7F30F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0B82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490D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8E6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0BF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2CB7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13826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44C21393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560D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2244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591E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B1EE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DC23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015FB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1DD0C61C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75C07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4D1A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B86E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3FFB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63CF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96%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CB03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F127E" w:rsidRPr="000F127E" w14:paraId="33CF19F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CE66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EF8A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5B0E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F608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7357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9B245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F127E" w:rsidRPr="000F127E" w14:paraId="6E0B4305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30CB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AA97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4C2F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7DA7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3E5B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BF617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0F127E" w:rsidRPr="000F127E" w14:paraId="5FFA87F5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171A1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0C73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6465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6F0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39AF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6D87A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23FDC44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3E9DD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1BA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08C8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B7C4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C290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DEA9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0F127E" w:rsidRPr="000F127E" w14:paraId="5BD9EC07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5EAEF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6BA3F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-8.75%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C7DC08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-8.79%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F4EC7D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-8.81%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54642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942EF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0F127E" w:rsidRPr="000F127E" w14:paraId="5F92B6A0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40BAF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85130D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-18.37%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CC11F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-18.10%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8D9BA0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-18.45%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23F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13FB0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</w:tbl>
    <w:p w14:paraId="292BE8D0" w14:textId="77777777" w:rsidR="000F127E" w:rsidRDefault="000F127E" w:rsidP="0046507A">
      <w:pPr>
        <w:rPr>
          <w:lang w:eastAsia="zh-CN"/>
        </w:rPr>
      </w:pPr>
    </w:p>
    <w:p w14:paraId="74159134" w14:textId="5B5EC85C" w:rsidR="00D30819" w:rsidRDefault="000F127E" w:rsidP="000F127E">
      <w:pPr>
        <w:jc w:val="center"/>
        <w:rPr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2. </w:t>
      </w:r>
      <w:r w:rsidR="00D30819">
        <w:rPr>
          <w:lang w:eastAsia="zh-CN"/>
        </w:rPr>
        <w:t>IBC performance of the proposed when CTU size is 64x64. Anchor is VTM4.0 w/ 64x64 CTU w/o IBC, the test is the proposed setting.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0F127E" w:rsidRPr="000F127E" w14:paraId="45EE44FF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81E9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D9C88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0F127E" w:rsidRPr="000F127E" w14:paraId="60B83796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9CAB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41E34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0F127E" w:rsidRPr="000F127E" w14:paraId="5C1CFFB4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962D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909FE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4232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6A4F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84020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4EC66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127E" w:rsidRPr="000F127E" w14:paraId="45DD6D8E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8A8A6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BC45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734C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0E94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2E02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D0B7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127E" w:rsidRPr="000F127E" w14:paraId="751E6C16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0C98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15F2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BF35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450B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84D3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7630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4DAF5AC7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58DE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12E1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1B5B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-0.38%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2DE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0DDC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174%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18778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F127E" w:rsidRPr="000F127E" w14:paraId="0EFF890B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A561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67DD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74D4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1C9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0D1F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167%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41B7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0F127E" w:rsidRPr="000F127E" w14:paraId="3BE6AFC5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91D6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A9B7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-1.08%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A046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-0.97%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7F91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D175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173%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45E6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F127E" w:rsidRPr="000F127E" w14:paraId="06E542C4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1F94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5C58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B67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D0A4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0738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DCAA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3399E516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F0C9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3610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D8D9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E1ACB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6D36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158%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8372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0F127E" w:rsidRPr="000F127E" w14:paraId="3BE25D4C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F63CC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5A80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8D092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54F3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DC212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1D0C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0F127E" w:rsidRPr="000F127E" w14:paraId="6CA8904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21F6A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FFB6B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-42.13%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0123D4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-41.79%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6C6F8E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-42.03%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48BE9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134%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C58C6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92%</w:t>
            </w:r>
          </w:p>
        </w:tc>
      </w:tr>
      <w:tr w:rsidR="000F127E" w:rsidRPr="000F127E" w14:paraId="3E9B2EEC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2EDF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033B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CA72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6764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4D04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7343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F127E" w:rsidRPr="000F127E" w14:paraId="419A4AE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3E0D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B5481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0F127E" w:rsidRPr="000F127E" w14:paraId="0F586C01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7750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9063F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0F127E" w:rsidRPr="000F127E" w14:paraId="747DD0F9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4115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8A328A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C19C3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3D4A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512A1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C862A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F127E" w:rsidRPr="000F127E" w14:paraId="57A054B0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6C9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5ECB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703E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32B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098F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9027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34DD9ECD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DDCC6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6D3C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621C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B800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B5C1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9C0F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082B659A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1DF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11127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BE78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D2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726D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A47A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F127E" w:rsidRPr="000F127E" w14:paraId="025123D2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5849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B43F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D7F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B68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75CA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5A17D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0F127E" w:rsidRPr="000F127E" w14:paraId="2D5BCC97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7CFC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C0B9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5BD6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FE6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D70C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CE36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0F127E" w:rsidRPr="000F127E" w14:paraId="61BFA6E3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49A3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D164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BB97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7F69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C7E5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935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8786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0F127E" w:rsidRPr="000F127E" w14:paraId="5F80B297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723765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3EAD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623E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6721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A5EFD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AEF72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0F127E" w:rsidRPr="000F127E" w14:paraId="2D28DEAE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04450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D599BC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-12.16%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1B9547E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-12.19%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DEB38A4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-12.15%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8E7BC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EF06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0F127E" w:rsidRPr="000F127E" w14:paraId="68E0F5E4" w14:textId="77777777" w:rsidTr="000F127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F3957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2B92743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-25.22%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23D796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-24.93%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E124958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-25.40%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949A1F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E97959" w14:textId="77777777" w:rsidR="000F127E" w:rsidRPr="000F127E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0F127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</w:tbl>
    <w:p w14:paraId="5E3952C1" w14:textId="77777777" w:rsidR="000F127E" w:rsidRPr="00D30819" w:rsidRDefault="000F127E" w:rsidP="000F127E">
      <w:pPr>
        <w:jc w:val="center"/>
        <w:rPr>
          <w:lang w:eastAsia="zh-CN"/>
        </w:rPr>
      </w:pPr>
    </w:p>
    <w:p w14:paraId="48A81AB6" w14:textId="179D8243" w:rsidR="00D30819" w:rsidRDefault="00D30819" w:rsidP="00DF607C">
      <w:pPr>
        <w:jc w:val="center"/>
        <w:rPr>
          <w:lang w:eastAsia="zh-CN"/>
        </w:rPr>
      </w:pPr>
      <w:r>
        <w:rPr>
          <w:lang w:eastAsia="zh-CN"/>
        </w:rPr>
        <w:t>Table 3. IBC performance with the proposed cleanup</w:t>
      </w:r>
      <w:r w:rsidR="00DF607C">
        <w:rPr>
          <w:lang w:eastAsia="zh-CN"/>
        </w:rPr>
        <w:t xml:space="preserve"> (restriction described in sec.2.3)</w:t>
      </w:r>
      <w:r>
        <w:rPr>
          <w:lang w:eastAsia="zh-CN"/>
        </w:rPr>
        <w:t xml:space="preserve"> under CE8 CTC.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DF607C" w:rsidRPr="00DF607C" w14:paraId="6A83CB9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6B27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009295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DF607C" w:rsidRPr="00DF607C" w14:paraId="77D45E5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649A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E477C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5C7D5480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4274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D338B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32A1B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3956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3807D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147D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707DC21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F8D1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475F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F1B1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F135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54C9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7225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2F8DFFA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8AEB2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D17D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905B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D69E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427F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D39C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2508DF4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956F4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AC6D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A197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FC66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ADFA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9367F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</w:tr>
      <w:tr w:rsidR="00DF607C" w:rsidRPr="00DF607C" w14:paraId="412693B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6976A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923A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8BE3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61EF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DF10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74351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DF607C" w:rsidRPr="00DF607C" w14:paraId="55C8D228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EC3C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93E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E3E1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19F8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0B77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BDC8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DF607C" w:rsidRPr="00DF607C" w14:paraId="2CA39C2D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33269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B60F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2D65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5AAD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6B3E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12DB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7708EE83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B23F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FAEB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EA99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C595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C893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8F3A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</w:tr>
      <w:tr w:rsidR="00DF607C" w:rsidRPr="00DF607C" w14:paraId="0ED3C30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B3206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EF29B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1F6B6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25D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DC880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5AA0B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118%</w:t>
            </w:r>
          </w:p>
        </w:tc>
      </w:tr>
      <w:tr w:rsidR="00DF607C" w:rsidRPr="00DF607C" w14:paraId="0EC4AF6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EEA34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FA1D8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4AA18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36C5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003D9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6B61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</w:tr>
      <w:tr w:rsidR="00DF607C" w:rsidRPr="00DF607C" w14:paraId="34667688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ADA5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70B1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1D9E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2787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47AD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995D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14:paraId="16984B1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E0B0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59302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DF607C" w:rsidRPr="00DF607C" w14:paraId="166FF02F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66B4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CF6C0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3BB8AAF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DF1E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16C31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468FA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2257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64A66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511C5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2917DDD2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83A78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E280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178E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89F0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95FE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40054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754AF70D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A5978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318D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DDC0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F018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9D9E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A430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56B44BE5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F4A9C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315E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B54F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78E1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262E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B8A58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</w:tr>
      <w:tr w:rsidR="00DF607C" w:rsidRPr="00DF607C" w14:paraId="17DF4B5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06E1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BBF9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20B4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678B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1852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2E1B7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DF607C" w:rsidRPr="00DF607C" w14:paraId="23365EF0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91BA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766A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923E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209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6529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FB4FE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DF607C" w:rsidRPr="00DF607C" w14:paraId="1C997CC9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E4F23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DA17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9338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398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CC89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7B0E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4B9EFF35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54E4B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7151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0568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3CCE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8E10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CCE5F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123%</w:t>
            </w:r>
          </w:p>
        </w:tc>
      </w:tr>
      <w:tr w:rsidR="00DF607C" w:rsidRPr="00DF607C" w14:paraId="32EDF426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1833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03FBE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E45AE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F7B3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A8165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6E34D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130%</w:t>
            </w:r>
          </w:p>
        </w:tc>
      </w:tr>
      <w:tr w:rsidR="00DF607C" w:rsidRPr="00DF607C" w14:paraId="2E83A979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BC19B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32648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46948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264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72822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8F96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125%</w:t>
            </w:r>
          </w:p>
        </w:tc>
      </w:tr>
      <w:tr w:rsidR="00DF607C" w:rsidRPr="00DF607C" w14:paraId="3858ECE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9596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6B09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135D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C7B8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B1FB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C821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14:paraId="4C7C7900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432E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A1A67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DF607C" w:rsidRPr="00DF607C" w14:paraId="6F336C53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AD74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62B12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09D3EA2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FA4B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EEBE0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FBBE5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2269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4F22A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F0680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5C6D3A6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B901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2E69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4355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732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4ED1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C7C21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DF607C" w:rsidRPr="00DF607C" w14:paraId="22319698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65862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8B47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F8CA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933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3D72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6217A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DF607C" w:rsidRPr="00DF607C" w14:paraId="61A6715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AF88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DD69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E66D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C86A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7474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3663F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183CC684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56282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F90C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1DAA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D8FD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3B87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7ADA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2739EC7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98854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EC28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969B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985F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64C6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E9B5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222B58BC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3149F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EDC6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9145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DE95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D1D4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9C80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123C4BE0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7F3D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3881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9426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57E6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E069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F0716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</w:tr>
      <w:tr w:rsidR="00DF607C" w:rsidRPr="00DF607C" w14:paraId="6C6B42A4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78BB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F7E64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4A738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0042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EBFF7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B56EE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3C100D1B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E8816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B9B8D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F406B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162D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29578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0EA65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</w:tbl>
    <w:p w14:paraId="109B1424" w14:textId="66816EE5" w:rsidR="00DF607C" w:rsidRDefault="00DF607C" w:rsidP="00DF607C">
      <w:pPr>
        <w:jc w:val="center"/>
        <w:rPr>
          <w:lang w:eastAsia="zh-CN"/>
        </w:rPr>
      </w:pPr>
    </w:p>
    <w:p w14:paraId="0E883C3C" w14:textId="0C6DD4B6" w:rsidR="00DF607C" w:rsidRDefault="00DF607C" w:rsidP="00DF607C">
      <w:pPr>
        <w:jc w:val="center"/>
        <w:rPr>
          <w:lang w:eastAsia="zh-CN"/>
        </w:rPr>
      </w:pPr>
      <w:r>
        <w:rPr>
          <w:lang w:eastAsia="zh-CN"/>
        </w:rPr>
        <w:t>Table IV. Performance of the encoder fix, including the restriction described in sec. 2.3.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DF607C" w:rsidRPr="00DF607C" w14:paraId="4797152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4ACE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  <w:bookmarkStart w:id="0" w:name="_GoBack"/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BB040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DF607C" w:rsidRPr="00DF607C" w14:paraId="67A89902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450D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6F0F3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569C711A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2D99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63277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EBCE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0CEB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98221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61C3A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5C06637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ABE78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DF2F1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F676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E4AD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19AF9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72D29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</w:tr>
      <w:tr w:rsidR="00DF607C" w:rsidRPr="00DF607C" w14:paraId="5B47C51C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2C07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3DA4B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3D4A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911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64170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D58B2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118%</w:t>
            </w:r>
          </w:p>
        </w:tc>
      </w:tr>
      <w:tr w:rsidR="00DF607C" w:rsidRPr="00DF607C" w14:paraId="3F6FF6AC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1A5A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BDEE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29CB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38BD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8DC7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EE33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14:paraId="1375B8A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6ECC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C6E61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DF607C" w:rsidRPr="00DF607C" w14:paraId="339B33BD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8BBC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88791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67EB7C9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CAA3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BA973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47B1E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1E3F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13087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37BA1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4D37CCF3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7A47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0C58F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BEEF3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C4D9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68E18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A021A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125%</w:t>
            </w:r>
          </w:p>
        </w:tc>
      </w:tr>
      <w:tr w:rsidR="00DF607C" w:rsidRPr="00DF607C" w14:paraId="33582F11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E527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F081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96E25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5874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-0.65%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D3BC0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E167C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</w:tr>
      <w:tr w:rsidR="00DF607C" w:rsidRPr="00DF607C" w14:paraId="6001E9A6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261D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12816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BB4CD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EA0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5C1F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E2BC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14:paraId="431DAB77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D714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9F80D1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DF607C" w:rsidRPr="00DF607C" w14:paraId="094D759F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7D06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127634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DF607C" w:rsidRPr="00DF607C" w14:paraId="16AE14F2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6083C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96DDD5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C90DEB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7CC8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DE674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2D01E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F607C" w:rsidRPr="00DF607C" w14:paraId="002E442E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663339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C7EB1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2EC4E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05E73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B4541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0BE3C8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607C" w:rsidRPr="00DF607C" w14:paraId="12223E23" w14:textId="77777777" w:rsidTr="00DF607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FA47FF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A8A65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2B310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C3857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2A3F0A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14FE2" w14:textId="77777777" w:rsidR="00DF607C" w:rsidRPr="00DF60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F60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bookmarkEnd w:id="0"/>
    </w:tbl>
    <w:p w14:paraId="6C860562" w14:textId="77777777" w:rsidR="00DF607C" w:rsidRDefault="00DF607C" w:rsidP="00DF607C">
      <w:pPr>
        <w:jc w:val="center"/>
        <w:rPr>
          <w:lang w:eastAsia="zh-CN"/>
        </w:rPr>
      </w:pPr>
    </w:p>
    <w:p w14:paraId="5CD8131E" w14:textId="77777777" w:rsidR="00DF607C" w:rsidRPr="00D30819" w:rsidRDefault="00DF607C" w:rsidP="00DF607C">
      <w:pPr>
        <w:jc w:val="center"/>
        <w:rPr>
          <w:lang w:eastAsia="zh-CN"/>
        </w:rPr>
      </w:pPr>
    </w:p>
    <w:p w14:paraId="5F0CF8E4" w14:textId="00943934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</w:t>
      </w:r>
      <w:r w:rsidR="001F2594" w:rsidRPr="005B217D">
        <w:rPr>
          <w:b/>
          <w:szCs w:val="22"/>
          <w:lang w:val="en-CA"/>
        </w:rPr>
        <w:lastRenderedPageBreak/>
        <w:t>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CFD903" w14:textId="77777777" w:rsidR="00B22B16" w:rsidRDefault="00B22B16">
      <w:r>
        <w:separator/>
      </w:r>
    </w:p>
  </w:endnote>
  <w:endnote w:type="continuationSeparator" w:id="0">
    <w:p w14:paraId="104BFDCB" w14:textId="77777777" w:rsidR="00B22B16" w:rsidRDefault="00B22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1FD3F0B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60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F607C">
      <w:rPr>
        <w:rStyle w:val="PageNumber"/>
        <w:noProof/>
      </w:rPr>
      <w:t>2019-03-13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233D20" w14:textId="77777777" w:rsidR="00B22B16" w:rsidRDefault="00B22B16">
      <w:r>
        <w:separator/>
      </w:r>
    </w:p>
  </w:footnote>
  <w:footnote w:type="continuationSeparator" w:id="0">
    <w:p w14:paraId="4C04E794" w14:textId="77777777" w:rsidR="00B22B16" w:rsidRDefault="00B22B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23C"/>
    <w:rsid w:val="000308A3"/>
    <w:rsid w:val="000458BC"/>
    <w:rsid w:val="00045C41"/>
    <w:rsid w:val="00045E09"/>
    <w:rsid w:val="00046C03"/>
    <w:rsid w:val="00051561"/>
    <w:rsid w:val="00065039"/>
    <w:rsid w:val="0007614F"/>
    <w:rsid w:val="00081398"/>
    <w:rsid w:val="00094479"/>
    <w:rsid w:val="000962AC"/>
    <w:rsid w:val="000A4EE2"/>
    <w:rsid w:val="000A7A86"/>
    <w:rsid w:val="000B0C0F"/>
    <w:rsid w:val="000B1C6B"/>
    <w:rsid w:val="000B4FF9"/>
    <w:rsid w:val="000C09AC"/>
    <w:rsid w:val="000D44C2"/>
    <w:rsid w:val="000E00F3"/>
    <w:rsid w:val="000F127E"/>
    <w:rsid w:val="000F158C"/>
    <w:rsid w:val="00102F3D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167EA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C20E4"/>
    <w:rsid w:val="003C5396"/>
    <w:rsid w:val="003D6342"/>
    <w:rsid w:val="003E41D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6507A"/>
    <w:rsid w:val="00465A1E"/>
    <w:rsid w:val="00487762"/>
    <w:rsid w:val="0049445A"/>
    <w:rsid w:val="004A2A63"/>
    <w:rsid w:val="004A56F7"/>
    <w:rsid w:val="004B210C"/>
    <w:rsid w:val="004D405F"/>
    <w:rsid w:val="004E4F4F"/>
    <w:rsid w:val="004E6789"/>
    <w:rsid w:val="004F61E3"/>
    <w:rsid w:val="00502E10"/>
    <w:rsid w:val="00504C78"/>
    <w:rsid w:val="0051015C"/>
    <w:rsid w:val="00516CF1"/>
    <w:rsid w:val="00531AE9"/>
    <w:rsid w:val="00550A66"/>
    <w:rsid w:val="005546FE"/>
    <w:rsid w:val="00562012"/>
    <w:rsid w:val="00564DF9"/>
    <w:rsid w:val="00567EC7"/>
    <w:rsid w:val="00570013"/>
    <w:rsid w:val="00570418"/>
    <w:rsid w:val="005753EC"/>
    <w:rsid w:val="005801A2"/>
    <w:rsid w:val="005952A5"/>
    <w:rsid w:val="005A33A1"/>
    <w:rsid w:val="005B217D"/>
    <w:rsid w:val="005B2683"/>
    <w:rsid w:val="005C385F"/>
    <w:rsid w:val="005D32BF"/>
    <w:rsid w:val="005E0741"/>
    <w:rsid w:val="005E1AC6"/>
    <w:rsid w:val="005F6F1B"/>
    <w:rsid w:val="00612930"/>
    <w:rsid w:val="00615995"/>
    <w:rsid w:val="00616155"/>
    <w:rsid w:val="00617569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0E8"/>
    <w:rsid w:val="006B3D91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B69BD"/>
    <w:rsid w:val="007D1181"/>
    <w:rsid w:val="007E01A3"/>
    <w:rsid w:val="007F1F8B"/>
    <w:rsid w:val="007F67A1"/>
    <w:rsid w:val="007F6AFB"/>
    <w:rsid w:val="00811C05"/>
    <w:rsid w:val="008206C8"/>
    <w:rsid w:val="00832A35"/>
    <w:rsid w:val="0086387C"/>
    <w:rsid w:val="00874A6C"/>
    <w:rsid w:val="00876C65"/>
    <w:rsid w:val="008A4B4C"/>
    <w:rsid w:val="008C239F"/>
    <w:rsid w:val="008E1BFD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C421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E84"/>
    <w:rsid w:val="00AA784A"/>
    <w:rsid w:val="00AB1A1C"/>
    <w:rsid w:val="00AD05A8"/>
    <w:rsid w:val="00AE341B"/>
    <w:rsid w:val="00B01905"/>
    <w:rsid w:val="00B07CA7"/>
    <w:rsid w:val="00B1279A"/>
    <w:rsid w:val="00B174A5"/>
    <w:rsid w:val="00B22B16"/>
    <w:rsid w:val="00B274B0"/>
    <w:rsid w:val="00B342E9"/>
    <w:rsid w:val="00B3640F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5A51"/>
    <w:rsid w:val="00B827C6"/>
    <w:rsid w:val="00B94B06"/>
    <w:rsid w:val="00B94C28"/>
    <w:rsid w:val="00BA36CC"/>
    <w:rsid w:val="00BA7944"/>
    <w:rsid w:val="00BC10BA"/>
    <w:rsid w:val="00BC5AFD"/>
    <w:rsid w:val="00C00DDE"/>
    <w:rsid w:val="00C0244C"/>
    <w:rsid w:val="00C04F43"/>
    <w:rsid w:val="00C0609D"/>
    <w:rsid w:val="00C115AB"/>
    <w:rsid w:val="00C2113A"/>
    <w:rsid w:val="00C26CCB"/>
    <w:rsid w:val="00C30249"/>
    <w:rsid w:val="00C369F4"/>
    <w:rsid w:val="00C3723B"/>
    <w:rsid w:val="00C37677"/>
    <w:rsid w:val="00C42466"/>
    <w:rsid w:val="00C606C9"/>
    <w:rsid w:val="00C743C9"/>
    <w:rsid w:val="00C770B1"/>
    <w:rsid w:val="00C80288"/>
    <w:rsid w:val="00C84003"/>
    <w:rsid w:val="00C90650"/>
    <w:rsid w:val="00C97D78"/>
    <w:rsid w:val="00CC2AAE"/>
    <w:rsid w:val="00CC5A42"/>
    <w:rsid w:val="00CD0EAB"/>
    <w:rsid w:val="00CE1B45"/>
    <w:rsid w:val="00CE5E02"/>
    <w:rsid w:val="00CF34DB"/>
    <w:rsid w:val="00CF3917"/>
    <w:rsid w:val="00CF558F"/>
    <w:rsid w:val="00D010C0"/>
    <w:rsid w:val="00D073E2"/>
    <w:rsid w:val="00D10927"/>
    <w:rsid w:val="00D30819"/>
    <w:rsid w:val="00D446EC"/>
    <w:rsid w:val="00D4483A"/>
    <w:rsid w:val="00D51BF0"/>
    <w:rsid w:val="00D531DB"/>
    <w:rsid w:val="00D55942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DF607C"/>
    <w:rsid w:val="00E11923"/>
    <w:rsid w:val="00E262D4"/>
    <w:rsid w:val="00E36250"/>
    <w:rsid w:val="00E47F2D"/>
    <w:rsid w:val="00E54511"/>
    <w:rsid w:val="00E60EDC"/>
    <w:rsid w:val="00E61202"/>
    <w:rsid w:val="00E61DAC"/>
    <w:rsid w:val="00E72B80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2747"/>
    <w:rsid w:val="00F601A0"/>
    <w:rsid w:val="00F655D9"/>
    <w:rsid w:val="00F712E9"/>
    <w:rsid w:val="00F73032"/>
    <w:rsid w:val="00F848FC"/>
    <w:rsid w:val="00F8648B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642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8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CC82ACD-5567-6A48-8A25-1854154975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6</Pages>
  <Words>1389</Words>
  <Characters>7072</Characters>
  <Application>Microsoft Office Word</Application>
  <DocSecurity>0</DocSecurity>
  <Lines>642</Lines>
  <Paragraphs>528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7933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39</cp:revision>
  <cp:lastPrinted>1900-01-01T07:59:17Z</cp:lastPrinted>
  <dcterms:created xsi:type="dcterms:W3CDTF">2018-08-09T13:44:00Z</dcterms:created>
  <dcterms:modified xsi:type="dcterms:W3CDTF">2019-03-13T06:45:00Z</dcterms:modified>
</cp:coreProperties>
</file>