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5586C411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640C82">
              <w:rPr>
                <w:lang w:val="en-CA"/>
              </w:rPr>
              <w:t>0249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3060"/>
        <w:gridCol w:w="90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BF20A2C" w:rsidR="00E61DAC" w:rsidRPr="005B217D" w:rsidRDefault="00E740F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Non-CE8: a</w:t>
            </w:r>
            <w:r w:rsidR="00395B85">
              <w:rPr>
                <w:b/>
                <w:szCs w:val="22"/>
                <w:lang w:val="en-CA"/>
              </w:rPr>
              <w:t>n alternative search area for IBC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05B35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5133B0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553D6C" w:rsidRPr="005B217D" w14:paraId="714CD808" w14:textId="77777777" w:rsidTr="000962AC">
        <w:trPr>
          <w:gridAfter w:val="1"/>
          <w:wAfter w:w="900" w:type="dxa"/>
        </w:trPr>
        <w:tc>
          <w:tcPr>
            <w:tcW w:w="1458" w:type="dxa"/>
          </w:tcPr>
          <w:p w14:paraId="4DB59313" w14:textId="77777777" w:rsidR="00553D6C" w:rsidRPr="005B217D" w:rsidRDefault="00553D6C" w:rsidP="00D45BE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6424F70" w14:textId="77777777" w:rsidR="0067037E" w:rsidRPr="005F7331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Jizheng Xu, Li Zhang, Kai Zhang, Hongbin Liu, Yue Wang</w:t>
            </w:r>
          </w:p>
          <w:p w14:paraId="48EE6CFB" w14:textId="77777777" w:rsidR="0067037E" w:rsidRPr="005F7331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8910 University Center Lane</w:t>
            </w:r>
          </w:p>
          <w:p w14:paraId="49D81240" w14:textId="7DD7A53B" w:rsidR="00553D6C" w:rsidRPr="005B217D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San Diego, CA, U.S.A. 92122</w:t>
            </w:r>
            <w:bookmarkStart w:id="0" w:name="_GoBack"/>
            <w:bookmarkEnd w:id="0"/>
          </w:p>
        </w:tc>
        <w:tc>
          <w:tcPr>
            <w:tcW w:w="3060" w:type="dxa"/>
          </w:tcPr>
          <w:tbl>
            <w:tblPr>
              <w:tblW w:w="3960" w:type="dxa"/>
              <w:tblLayout w:type="fixed"/>
              <w:tblLook w:val="0000" w:firstRow="0" w:lastRow="0" w:firstColumn="0" w:lastColumn="0" w:noHBand="0" w:noVBand="0"/>
            </w:tblPr>
            <w:tblGrid>
              <w:gridCol w:w="900"/>
              <w:gridCol w:w="3060"/>
            </w:tblGrid>
            <w:tr w:rsidR="00553D6C" w:rsidRPr="005F7331" w14:paraId="13A9208A" w14:textId="77777777" w:rsidTr="00553D6C">
              <w:tc>
                <w:tcPr>
                  <w:tcW w:w="900" w:type="dxa"/>
                </w:tcPr>
                <w:p w14:paraId="685739D7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br/>
                    <w:t>Tel:</w:t>
                  </w:r>
                  <w:r w:rsidRPr="005F7331">
                    <w:rPr>
                      <w:szCs w:val="22"/>
                      <w:lang w:val="en-CA"/>
                    </w:rPr>
                    <w:br/>
                    <w:t>Email:</w:t>
                  </w:r>
                </w:p>
              </w:tc>
              <w:tc>
                <w:tcPr>
                  <w:tcW w:w="3060" w:type="dxa"/>
                </w:tcPr>
                <w:p w14:paraId="7552CE22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br/>
                    <w:t>+1-619-436-7216</w:t>
                  </w:r>
                </w:p>
                <w:p w14:paraId="04BAF72D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t xml:space="preserve">xujizheng@bytedance.com </w:t>
                  </w:r>
                </w:p>
              </w:tc>
            </w:tr>
          </w:tbl>
          <w:p w14:paraId="32C2ABFD" w14:textId="336FB7F3" w:rsidR="00553D6C" w:rsidRPr="005B217D" w:rsidRDefault="00553D6C" w:rsidP="00D45BE0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AD0EFF" w:rsidR="00E61DAC" w:rsidRPr="005B217D" w:rsidRDefault="00B174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7DFC7C43" w:rsidR="00263398" w:rsidRPr="005B217D" w:rsidRDefault="00B174A5" w:rsidP="009234A5">
      <w:pPr>
        <w:rPr>
          <w:szCs w:val="22"/>
          <w:lang w:val="en-CA"/>
        </w:rPr>
      </w:pPr>
      <w:r>
        <w:rPr>
          <w:lang w:val="en-CA"/>
        </w:rPr>
        <w:t xml:space="preserve">This document </w:t>
      </w:r>
      <w:r w:rsidR="00F42747">
        <w:rPr>
          <w:lang w:val="en-CA"/>
        </w:rPr>
        <w:t xml:space="preserve">presents </w:t>
      </w:r>
      <w:r w:rsidR="00395B85">
        <w:rPr>
          <w:lang w:val="en-CA"/>
        </w:rPr>
        <w:t xml:space="preserve">an alternative </w:t>
      </w:r>
      <w:r w:rsidR="00D45BE0">
        <w:rPr>
          <w:lang w:val="en-CA"/>
        </w:rPr>
        <w:t>search area setting for intra block copy when CTU size is 128x128</w:t>
      </w:r>
      <w:r w:rsidR="00F42747">
        <w:rPr>
          <w:lang w:val="en-CA"/>
        </w:rPr>
        <w:t>.</w:t>
      </w:r>
      <w:r w:rsidR="000F25BD">
        <w:rPr>
          <w:lang w:val="en-CA"/>
        </w:rPr>
        <w:t xml:space="preserve"> For class F/4:2:0 TGM, the BD-rate</w:t>
      </w:r>
      <w:r w:rsidR="00D717DD">
        <w:rPr>
          <w:lang w:val="en-CA"/>
        </w:rPr>
        <w:t xml:space="preserve"> numbers</w:t>
      </w:r>
      <w:r w:rsidR="000F25BD">
        <w:rPr>
          <w:lang w:val="en-CA"/>
        </w:rPr>
        <w:t xml:space="preserve"> of the proposed setting </w:t>
      </w:r>
      <w:r w:rsidR="00D717DD">
        <w:rPr>
          <w:lang w:val="en-CA"/>
        </w:rPr>
        <w:t>are</w:t>
      </w:r>
      <w:r w:rsidR="000F25BD">
        <w:rPr>
          <w:lang w:val="en-CA"/>
        </w:rPr>
        <w:t xml:space="preserve"> -0.90%/-2.12% for AI, -0.74%/-1.74% for RA.</w:t>
      </w:r>
    </w:p>
    <w:p w14:paraId="7D2AC1F0" w14:textId="72630D85" w:rsidR="00151E26" w:rsidRPr="005B217D" w:rsidRDefault="00745F6B" w:rsidP="00151E26">
      <w:pPr>
        <w:pStyle w:val="Heading1"/>
        <w:rPr>
          <w:szCs w:val="22"/>
          <w:lang w:val="en-CA"/>
        </w:rPr>
      </w:pPr>
      <w:r w:rsidRPr="005B217D">
        <w:rPr>
          <w:lang w:val="en-CA"/>
        </w:rPr>
        <w:t>Introduction</w:t>
      </w:r>
    </w:p>
    <w:p w14:paraId="0F33A397" w14:textId="34FE314B" w:rsidR="005546FE" w:rsidRDefault="00151E26" w:rsidP="009234A5">
      <w:pPr>
        <w:rPr>
          <w:szCs w:val="22"/>
          <w:lang w:val="en-CA" w:eastAsia="zh-CN"/>
        </w:rPr>
      </w:pPr>
      <w:r>
        <w:rPr>
          <w:szCs w:val="22"/>
          <w:lang w:val="en-CA"/>
        </w:rPr>
        <w:t>Intra block copy, i.e. IBC (or current picture referencing, i.e. CPR</w:t>
      </w:r>
      <w:r w:rsidR="00F42747">
        <w:rPr>
          <w:szCs w:val="22"/>
          <w:lang w:val="en-CA"/>
        </w:rPr>
        <w:t xml:space="preserve"> previously</w:t>
      </w:r>
      <w:r>
        <w:rPr>
          <w:szCs w:val="22"/>
          <w:lang w:val="en-CA"/>
        </w:rPr>
        <w:t xml:space="preserve">) coding mode, was </w:t>
      </w:r>
      <w:r w:rsidR="00F42747">
        <w:rPr>
          <w:szCs w:val="22"/>
          <w:lang w:val="en-CA"/>
        </w:rPr>
        <w:t>adopted into VTM at the 12</w:t>
      </w:r>
      <w:r w:rsidR="00F42747" w:rsidRPr="00F42747">
        <w:rPr>
          <w:szCs w:val="22"/>
          <w:vertAlign w:val="superscript"/>
          <w:lang w:val="en-CA"/>
        </w:rPr>
        <w:t>th</w:t>
      </w:r>
      <w:r w:rsidR="00F42747">
        <w:rPr>
          <w:szCs w:val="22"/>
          <w:lang w:val="en-CA"/>
        </w:rPr>
        <w:t xml:space="preserve"> JVET meeting</w:t>
      </w:r>
      <w:r w:rsidR="005546FE">
        <w:rPr>
          <w:szCs w:val="22"/>
          <w:lang w:val="en-CA" w:eastAsia="zh-CN"/>
        </w:rPr>
        <w:t>.</w:t>
      </w:r>
      <w:r w:rsidR="00F655D9">
        <w:rPr>
          <w:szCs w:val="22"/>
          <w:lang w:val="en-CA" w:eastAsia="zh-CN"/>
        </w:rPr>
        <w:t xml:space="preserve"> It was realized that IBC cannot directly use the reconstrued buffer</w:t>
      </w:r>
      <w:r w:rsidR="00487762">
        <w:rPr>
          <w:szCs w:val="22"/>
          <w:lang w:val="en-CA" w:eastAsia="zh-CN"/>
        </w:rPr>
        <w:t xml:space="preserve">. Instead, a dedicated buffer needs to be maintained. To restrict the extra on-chip memory for the buffer, </w:t>
      </w:r>
      <w:r w:rsidR="00487762">
        <w:rPr>
          <w:szCs w:val="22"/>
          <w:lang w:val="en-CA"/>
        </w:rPr>
        <w:t>IBC employs a reference area of one CTU.</w:t>
      </w:r>
      <w:r w:rsidR="00504C78">
        <w:rPr>
          <w:szCs w:val="22"/>
          <w:lang w:val="en-CA" w:eastAsia="zh-CN"/>
        </w:rPr>
        <w:t xml:space="preserve"> When CTU size is 128x128, currently the reference area is shown in Fig. 1.</w:t>
      </w:r>
    </w:p>
    <w:p w14:paraId="3102EE81" w14:textId="6B9FF355" w:rsidR="00504C78" w:rsidRDefault="008B14B2" w:rsidP="009234A5">
      <w:pPr>
        <w:rPr>
          <w:szCs w:val="22"/>
          <w:lang w:val="en-CA" w:eastAsia="zh-CN"/>
        </w:rPr>
      </w:pPr>
      <w:r w:rsidRPr="008B14B2">
        <w:rPr>
          <w:noProof/>
          <w:szCs w:val="22"/>
          <w:lang w:val="en-CA" w:eastAsia="zh-CN"/>
        </w:rPr>
        <w:drawing>
          <wp:inline distT="0" distB="0" distL="0" distR="0" wp14:anchorId="7246F7DD" wp14:editId="6494A693">
            <wp:extent cx="5943600" cy="1840230"/>
            <wp:effectExtent l="0" t="0" r="0" b="127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B954" w14:textId="57401CA6" w:rsidR="00487762" w:rsidRPr="00F42747" w:rsidRDefault="00504C78" w:rsidP="000D7A47">
      <w:pPr>
        <w:jc w:val="center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Figure 1. Reference area defined in VTM-4.0, where </w:t>
      </w:r>
      <w:r w:rsidR="00AA784A">
        <w:rPr>
          <w:szCs w:val="22"/>
          <w:lang w:val="en-CA" w:eastAsia="zh-CN"/>
        </w:rPr>
        <w:t xml:space="preserve">a </w:t>
      </w:r>
      <w:r w:rsidR="005E0741">
        <w:rPr>
          <w:szCs w:val="22"/>
          <w:lang w:val="en-CA" w:eastAsia="zh-CN"/>
        </w:rPr>
        <w:t>block</w:t>
      </w:r>
      <w:r w:rsidR="00AA784A">
        <w:rPr>
          <w:szCs w:val="22"/>
          <w:lang w:val="en-CA" w:eastAsia="zh-CN"/>
        </w:rPr>
        <w:t xml:space="preserve"> denotes a 64</w:t>
      </w:r>
      <w:r w:rsidR="005E0741">
        <w:rPr>
          <w:szCs w:val="22"/>
          <w:lang w:val="en-CA" w:eastAsia="zh-CN"/>
        </w:rPr>
        <w:t>x64 area.</w:t>
      </w:r>
    </w:p>
    <w:p w14:paraId="10AD28C8" w14:textId="0ED7AFF2" w:rsidR="005546FE" w:rsidRDefault="005546FE" w:rsidP="005546FE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395B85">
        <w:rPr>
          <w:lang w:val="en-CA"/>
        </w:rPr>
        <w:t>scheme</w:t>
      </w:r>
    </w:p>
    <w:p w14:paraId="56592247" w14:textId="3408ACF3" w:rsidR="00D10927" w:rsidRDefault="00395B85" w:rsidP="00D10927">
      <w:pPr>
        <w:rPr>
          <w:lang w:val="en-CA"/>
        </w:rPr>
      </w:pPr>
      <w:r>
        <w:rPr>
          <w:lang w:val="en-CA"/>
        </w:rPr>
        <w:t xml:space="preserve">To further improve coding efficiency, we propose </w:t>
      </w:r>
      <w:proofErr w:type="gramStart"/>
      <w:r>
        <w:rPr>
          <w:lang w:val="en-CA"/>
        </w:rPr>
        <w:t>an</w:t>
      </w:r>
      <w:proofErr w:type="gramEnd"/>
      <w:r>
        <w:rPr>
          <w:lang w:val="en-CA"/>
        </w:rPr>
        <w:t xml:space="preserve"> new search area configuration, shown in Figure 2</w:t>
      </w:r>
      <w:r w:rsidR="000D7A47">
        <w:rPr>
          <w:lang w:val="en-CA"/>
        </w:rPr>
        <w:t xml:space="preserve"> and figure 3</w:t>
      </w:r>
      <w:r>
        <w:rPr>
          <w:lang w:val="en-CA"/>
        </w:rPr>
        <w:t>.</w:t>
      </w:r>
      <w:r w:rsidR="000D7A47">
        <w:rPr>
          <w:lang w:val="en-CA"/>
        </w:rPr>
        <w:t xml:space="preserve"> </w:t>
      </w:r>
      <w:r w:rsidR="00C8557D">
        <w:rPr>
          <w:lang w:val="en-CA"/>
        </w:rPr>
        <w:t>For the 3</w:t>
      </w:r>
      <w:r w:rsidR="00C8557D" w:rsidRPr="00C8557D">
        <w:rPr>
          <w:vertAlign w:val="superscript"/>
          <w:lang w:val="en-CA"/>
        </w:rPr>
        <w:t>rd</w:t>
      </w:r>
      <w:r w:rsidR="00C8557D">
        <w:rPr>
          <w:lang w:val="en-CA"/>
        </w:rPr>
        <w:t xml:space="preserve"> and 4</w:t>
      </w:r>
      <w:r w:rsidR="00C8557D" w:rsidRPr="00C8557D">
        <w:rPr>
          <w:vertAlign w:val="superscript"/>
          <w:lang w:val="en-CA"/>
        </w:rPr>
        <w:t>th</w:t>
      </w:r>
      <w:r w:rsidR="00C8557D">
        <w:rPr>
          <w:lang w:val="en-CA"/>
        </w:rPr>
        <w:t xml:space="preserve"> 64x64 blocks in the current CTU, the reference is the same as the current design. </w:t>
      </w:r>
      <w:r w:rsidR="000D7A47">
        <w:rPr>
          <w:lang w:val="en-CA"/>
        </w:rPr>
        <w:t>For the 1</w:t>
      </w:r>
      <w:r w:rsidR="000D7A47" w:rsidRPr="000D7A47">
        <w:rPr>
          <w:vertAlign w:val="superscript"/>
          <w:lang w:val="en-CA"/>
        </w:rPr>
        <w:t>st</w:t>
      </w:r>
      <w:r w:rsidR="000D7A47">
        <w:rPr>
          <w:lang w:val="en-CA"/>
        </w:rPr>
        <w:t xml:space="preserve"> and 2</w:t>
      </w:r>
      <w:r w:rsidR="000D7A47" w:rsidRPr="000D7A47">
        <w:rPr>
          <w:vertAlign w:val="superscript"/>
          <w:lang w:val="en-CA"/>
        </w:rPr>
        <w:t>nd</w:t>
      </w:r>
      <w:r w:rsidR="000D7A47">
        <w:rPr>
          <w:lang w:val="en-CA"/>
        </w:rPr>
        <w:t xml:space="preserve"> 64x64 blocks in the current CTU, the reference area </w:t>
      </w:r>
      <w:r w:rsidR="00C8557D">
        <w:rPr>
          <w:lang w:val="en-CA"/>
        </w:rPr>
        <w:t>contains 64x64 reference reference blocks that are closer to the current 64x64 blocks, compared with the current design.</w:t>
      </w:r>
    </w:p>
    <w:p w14:paraId="5547DA82" w14:textId="4A4B7EF1" w:rsidR="00395B85" w:rsidRDefault="008B14B2" w:rsidP="00D10927">
      <w:pPr>
        <w:rPr>
          <w:lang w:val="en-CA"/>
        </w:rPr>
      </w:pPr>
      <w:r w:rsidRPr="008B14B2">
        <w:rPr>
          <w:noProof/>
          <w:lang w:val="en-CA"/>
        </w:rPr>
        <w:lastRenderedPageBreak/>
        <w:drawing>
          <wp:inline distT="0" distB="0" distL="0" distR="0" wp14:anchorId="3996ADF3" wp14:editId="65A549AC">
            <wp:extent cx="5943600" cy="1812290"/>
            <wp:effectExtent l="0" t="0" r="0" b="381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1C3E8" w14:textId="5A08CD2D" w:rsidR="008B14B2" w:rsidRDefault="008B14B2" w:rsidP="000D7A47">
      <w:pPr>
        <w:jc w:val="center"/>
        <w:rPr>
          <w:lang w:val="en-CA"/>
        </w:rPr>
      </w:pPr>
      <w:r>
        <w:rPr>
          <w:lang w:val="en-CA"/>
        </w:rPr>
        <w:t>Figure 2. 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</w:t>
      </w:r>
      <w:r w:rsidR="000D7A47">
        <w:rPr>
          <w:lang w:val="en-CA"/>
        </w:rPr>
        <w:t xml:space="preserve"> for the current CTU</w:t>
      </w:r>
      <w:r>
        <w:rPr>
          <w:lang w:val="en-CA"/>
        </w:rPr>
        <w:t xml:space="preserve"> is not vertical BT.</w:t>
      </w:r>
    </w:p>
    <w:p w14:paraId="0283BC32" w14:textId="2F58F5E9" w:rsidR="008B14B2" w:rsidRDefault="000D7A47" w:rsidP="00D10927">
      <w:pPr>
        <w:rPr>
          <w:lang w:val="en-CA"/>
        </w:rPr>
      </w:pPr>
      <w:r w:rsidRPr="000D7A47">
        <w:rPr>
          <w:noProof/>
          <w:lang w:val="en-CA"/>
        </w:rPr>
        <w:drawing>
          <wp:inline distT="0" distB="0" distL="0" distR="0" wp14:anchorId="02DEACE9" wp14:editId="50531BEC">
            <wp:extent cx="5943600" cy="172783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F5376" w14:textId="4BF76FE8" w:rsidR="008B14B2" w:rsidRDefault="008B14B2" w:rsidP="000D7A47">
      <w:pPr>
        <w:jc w:val="center"/>
        <w:rPr>
          <w:lang w:val="en-CA"/>
        </w:rPr>
      </w:pPr>
      <w:r>
        <w:rPr>
          <w:lang w:val="en-CA"/>
        </w:rPr>
        <w:t>Figure 3.</w:t>
      </w:r>
      <w:r w:rsidRPr="008B14B2">
        <w:rPr>
          <w:lang w:val="en-CA"/>
        </w:rPr>
        <w:t xml:space="preserve"> </w:t>
      </w:r>
      <w:r>
        <w:rPr>
          <w:lang w:val="en-CA"/>
        </w:rPr>
        <w:t>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 is </w:t>
      </w:r>
      <w:r w:rsidR="000D7A47">
        <w:rPr>
          <w:lang w:val="en-CA"/>
        </w:rPr>
        <w:t xml:space="preserve">for the current CTU </w:t>
      </w:r>
      <w:r>
        <w:rPr>
          <w:lang w:val="en-CA"/>
        </w:rPr>
        <w:t>vertical BT.</w:t>
      </w:r>
    </w:p>
    <w:p w14:paraId="516320C9" w14:textId="6EECD70B" w:rsidR="0046507A" w:rsidRDefault="0046507A" w:rsidP="00E11923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14:paraId="0F02B1C4" w14:textId="55114B25" w:rsidR="0046507A" w:rsidRDefault="0077776B" w:rsidP="0046507A">
      <w:pPr>
        <w:rPr>
          <w:lang w:val="en-CA"/>
        </w:rPr>
      </w:pPr>
      <w:r>
        <w:rPr>
          <w:lang w:val="en-CA"/>
        </w:rPr>
        <w:t>The proposed scheme is compared with VTM-4.0 with IBC on for all sequences</w:t>
      </w:r>
      <w:r w:rsidR="0046507A">
        <w:rPr>
          <w:lang w:val="en-CA"/>
        </w:rPr>
        <w:t>.</w:t>
      </w:r>
      <w:r>
        <w:rPr>
          <w:lang w:val="en-CA"/>
        </w:rPr>
        <w:t xml:space="preserve"> Table I shows the results.</w:t>
      </w:r>
    </w:p>
    <w:p w14:paraId="137CA73E" w14:textId="0FBF74D0" w:rsidR="00110BCC" w:rsidRDefault="00110BCC" w:rsidP="001B3C36">
      <w:pPr>
        <w:jc w:val="center"/>
        <w:rPr>
          <w:lang w:val="en-CA"/>
        </w:rPr>
      </w:pPr>
      <w:r>
        <w:rPr>
          <w:lang w:val="en-CA"/>
        </w:rPr>
        <w:t>Table I. The proposed vs. VTM-4.0, IBC is on for all sequences.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0F25BD" w:rsidRPr="000F25BD" w14:paraId="68AABEEF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E5DB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9EE45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0F25BD" w:rsidRPr="000F25BD" w14:paraId="1599352E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BD52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DD1C73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0F25BD" w:rsidRPr="000F25BD" w14:paraId="62369047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9F18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D40E13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2CF20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DCB9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88198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490AF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F25BD" w:rsidRPr="000F25BD" w14:paraId="4771341B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49D8D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1BE2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7A6AB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1CE2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F8F4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B9800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121%</w:t>
            </w:r>
          </w:p>
        </w:tc>
      </w:tr>
      <w:tr w:rsidR="000F25BD" w:rsidRPr="000F25BD" w14:paraId="59BF9231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E8C60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2BD2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0937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5D21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A578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9C002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24CD2FA7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58458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0432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E0E3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3E09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B084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0A1B7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116%</w:t>
            </w:r>
          </w:p>
        </w:tc>
      </w:tr>
      <w:tr w:rsidR="000F25BD" w:rsidRPr="000F25BD" w14:paraId="525DCE01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A9D7B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523E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E429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D31C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BB5D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FB364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</w:tr>
      <w:tr w:rsidR="000F25BD" w:rsidRPr="000F25BD" w14:paraId="1DF334D3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B4ED8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8525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BC3C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2599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508B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3D550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113%</w:t>
            </w:r>
          </w:p>
        </w:tc>
      </w:tr>
      <w:tr w:rsidR="000F25BD" w:rsidRPr="000F25BD" w14:paraId="67129936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3E495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F408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C4DC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1463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004F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AB9F7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0DC3CEFD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C90C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BB65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E94A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97FD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B402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116%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D86C6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</w:tr>
      <w:tr w:rsidR="000F25BD" w:rsidRPr="000F25BD" w14:paraId="76A36FE9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E8876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9EEC1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-0.90%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D4AD6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-0.89%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D7AAB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-0.86%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27F71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0239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113%</w:t>
            </w:r>
          </w:p>
        </w:tc>
      </w:tr>
      <w:tr w:rsidR="000F25BD" w:rsidRPr="000F25BD" w14:paraId="0DA90DB5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09461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D2B15B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EAB12B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-2.19%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BB8E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-2.18%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1608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17A2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117%</w:t>
            </w:r>
          </w:p>
        </w:tc>
      </w:tr>
      <w:tr w:rsidR="000F25BD" w:rsidRPr="000F25BD" w14:paraId="4A5CCAC9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F87D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9ECB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BCEA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394C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FE52B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7900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0F25BD" w:rsidRPr="000F25BD" w14:paraId="072FF858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C58F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4E9ED3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0F25BD" w:rsidRPr="000F25BD" w14:paraId="1BA11A05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70CD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493F81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0F25BD" w:rsidRPr="000F25BD" w14:paraId="4712BA0A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FE3D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85A25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317D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65A5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E571A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462BF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F25BD" w:rsidRPr="000F25BD" w14:paraId="02D7108B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77FAC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BB83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8259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6466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7BAB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526AC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3B685945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24A1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1F50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3059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AFE4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8A92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E171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33E52AB9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35815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F8ED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7BCB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EFCC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3A79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91729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117%</w:t>
            </w:r>
          </w:p>
        </w:tc>
      </w:tr>
      <w:tr w:rsidR="000F25BD" w:rsidRPr="000F25BD" w14:paraId="31052A3C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A4D35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BE20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A2BE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2700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121E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E4E7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115%</w:t>
            </w:r>
          </w:p>
        </w:tc>
      </w:tr>
      <w:tr w:rsidR="000F25BD" w:rsidRPr="000F25BD" w14:paraId="45492FBE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32151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EFBC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DC98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8F76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8804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FD739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0F25BD" w:rsidRPr="000F25BD" w14:paraId="35AC7FB5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9607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6AA4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EE84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1525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FD08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40BD5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23060BD5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AC191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AAAF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DC75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D10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1447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3BC51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121%</w:t>
            </w:r>
          </w:p>
        </w:tc>
      </w:tr>
      <w:tr w:rsidR="000F25BD" w:rsidRPr="000F25BD" w14:paraId="1C5C7D39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00AE7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lastRenderedPageBreak/>
              <w:t>Class F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32CF8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50008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-0.78%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1F5E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B30F6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6308F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126%</w:t>
            </w:r>
          </w:p>
        </w:tc>
      </w:tr>
      <w:tr w:rsidR="000F25BD" w:rsidRPr="000F25BD" w14:paraId="51840AE8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3CA6B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D5488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-1.74%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4C086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-1.60%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C564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-1.66%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B7A8D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5AE13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</w:tr>
      <w:tr w:rsidR="000F25BD" w:rsidRPr="000F25BD" w14:paraId="7DF1E85B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357B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92E33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E13C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9641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1393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DE18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0F25BD" w:rsidRPr="000F25BD" w14:paraId="2A98A196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BF5F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CC848A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0F25BD" w:rsidRPr="000F25BD" w14:paraId="3B81D82C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BCCD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6E034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0F25BD" w:rsidRPr="000F25BD" w14:paraId="39D5D6CF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EEE2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13CDD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CBE83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7D07B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25E45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B689E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F25BD" w:rsidRPr="000F25BD" w14:paraId="2F12D139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EA64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CEA6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91C4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EA5B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9044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74D4C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0F25BD" w:rsidRPr="000F25BD" w14:paraId="0EFF3EB4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F13AC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860D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8313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B57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4499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F8707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0F25BD" w:rsidRPr="000F25BD" w14:paraId="2A669079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153F1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1CB3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ECF6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89ADC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9B2F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A3FE7B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598568CE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C138F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4233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8D97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C73D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4DA5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EA2B2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119%</w:t>
            </w:r>
          </w:p>
        </w:tc>
      </w:tr>
      <w:tr w:rsidR="000F25BD" w:rsidRPr="000F25BD" w14:paraId="3B00A265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27C2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2C64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D7C6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0.41%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ADA8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1.22%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F50BA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38D2ED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1A4907C9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2BD6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9FC67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4D44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0B855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C571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06E34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42F10AC4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C755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DB9A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941D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0.88%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EE79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643B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113%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C0E3D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</w:tr>
      <w:tr w:rsidR="000F25BD" w:rsidRPr="000F25BD" w14:paraId="58E594D3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36D75F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F12D0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862DE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5C0E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55569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E803C6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25BD" w:rsidRPr="000F25BD" w14:paraId="61CA1216" w14:textId="77777777" w:rsidTr="000F25B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8B50F2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AD3C24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E8FE08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64149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E37931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AD2750" w14:textId="77777777" w:rsidR="000F25BD" w:rsidRPr="000F25BD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25BD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</w:tbl>
    <w:p w14:paraId="5F0CF8E4" w14:textId="00943934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A2E1787" w:rsidR="00342FF4" w:rsidRPr="005B217D" w:rsidRDefault="00B174A5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Bytedance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5DDCC7" w14:textId="77777777" w:rsidR="003B3CE8" w:rsidRDefault="003B3CE8">
      <w:r>
        <w:separator/>
      </w:r>
    </w:p>
  </w:endnote>
  <w:endnote w:type="continuationSeparator" w:id="0">
    <w:p w14:paraId="0F752D5A" w14:textId="77777777" w:rsidR="003B3CE8" w:rsidRDefault="003B3C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3D6F94B9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FA60F5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7037E">
      <w:rPr>
        <w:rStyle w:val="PageNumber"/>
        <w:noProof/>
      </w:rPr>
      <w:t>2019-03-13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B88D0A" w14:textId="77777777" w:rsidR="003B3CE8" w:rsidRDefault="003B3CE8">
      <w:r>
        <w:separator/>
      </w:r>
    </w:p>
  </w:footnote>
  <w:footnote w:type="continuationSeparator" w:id="0">
    <w:p w14:paraId="5406410C" w14:textId="77777777" w:rsidR="003B3CE8" w:rsidRDefault="003B3C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047347"/>
    <w:multiLevelType w:val="hybridMultilevel"/>
    <w:tmpl w:val="74DEC7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F29726D"/>
    <w:multiLevelType w:val="hybridMultilevel"/>
    <w:tmpl w:val="B99042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8BC"/>
    <w:rsid w:val="00045C41"/>
    <w:rsid w:val="00045E09"/>
    <w:rsid w:val="00046C03"/>
    <w:rsid w:val="00065039"/>
    <w:rsid w:val="0007614F"/>
    <w:rsid w:val="00081398"/>
    <w:rsid w:val="00094479"/>
    <w:rsid w:val="000962AC"/>
    <w:rsid w:val="000A7A86"/>
    <w:rsid w:val="000B0C0F"/>
    <w:rsid w:val="000B1C6B"/>
    <w:rsid w:val="000B4FF9"/>
    <w:rsid w:val="000C09AC"/>
    <w:rsid w:val="000D44C2"/>
    <w:rsid w:val="000D7A47"/>
    <w:rsid w:val="000E00F3"/>
    <w:rsid w:val="000F158C"/>
    <w:rsid w:val="000F25BD"/>
    <w:rsid w:val="00102F3D"/>
    <w:rsid w:val="00110BCC"/>
    <w:rsid w:val="00124E38"/>
    <w:rsid w:val="0012580B"/>
    <w:rsid w:val="00131F90"/>
    <w:rsid w:val="0013458C"/>
    <w:rsid w:val="0013526E"/>
    <w:rsid w:val="00146152"/>
    <w:rsid w:val="00151E26"/>
    <w:rsid w:val="00155526"/>
    <w:rsid w:val="00171371"/>
    <w:rsid w:val="00175A24"/>
    <w:rsid w:val="00187E58"/>
    <w:rsid w:val="001A297E"/>
    <w:rsid w:val="001A368E"/>
    <w:rsid w:val="001A7329"/>
    <w:rsid w:val="001A792F"/>
    <w:rsid w:val="001B3C36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6A02"/>
    <w:rsid w:val="00327C56"/>
    <w:rsid w:val="003315A1"/>
    <w:rsid w:val="003373EC"/>
    <w:rsid w:val="00342FF4"/>
    <w:rsid w:val="00344E5A"/>
    <w:rsid w:val="00346148"/>
    <w:rsid w:val="003669EA"/>
    <w:rsid w:val="003706CC"/>
    <w:rsid w:val="0037313B"/>
    <w:rsid w:val="00377710"/>
    <w:rsid w:val="00395B85"/>
    <w:rsid w:val="003A2D8E"/>
    <w:rsid w:val="003A7CE6"/>
    <w:rsid w:val="003B3CE8"/>
    <w:rsid w:val="003C20E4"/>
    <w:rsid w:val="003D6342"/>
    <w:rsid w:val="003E41DE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6507A"/>
    <w:rsid w:val="00465A1E"/>
    <w:rsid w:val="00487762"/>
    <w:rsid w:val="0049445A"/>
    <w:rsid w:val="00496694"/>
    <w:rsid w:val="004A2A63"/>
    <w:rsid w:val="004B210C"/>
    <w:rsid w:val="004D405F"/>
    <w:rsid w:val="004E4F4F"/>
    <w:rsid w:val="004E6789"/>
    <w:rsid w:val="004F61E3"/>
    <w:rsid w:val="00502E10"/>
    <w:rsid w:val="00504C78"/>
    <w:rsid w:val="00505A85"/>
    <w:rsid w:val="0051015C"/>
    <w:rsid w:val="00516CF1"/>
    <w:rsid w:val="00531AE9"/>
    <w:rsid w:val="00550A66"/>
    <w:rsid w:val="00553D6C"/>
    <w:rsid w:val="005546FE"/>
    <w:rsid w:val="00564DF9"/>
    <w:rsid w:val="00567EC7"/>
    <w:rsid w:val="00570013"/>
    <w:rsid w:val="00570418"/>
    <w:rsid w:val="005753EC"/>
    <w:rsid w:val="005801A2"/>
    <w:rsid w:val="005952A5"/>
    <w:rsid w:val="005A33A1"/>
    <w:rsid w:val="005B217D"/>
    <w:rsid w:val="005B2683"/>
    <w:rsid w:val="005C385F"/>
    <w:rsid w:val="005E0741"/>
    <w:rsid w:val="005E1AC6"/>
    <w:rsid w:val="005F6F1B"/>
    <w:rsid w:val="00612930"/>
    <w:rsid w:val="00615995"/>
    <w:rsid w:val="00616155"/>
    <w:rsid w:val="00624B33"/>
    <w:rsid w:val="0063041A"/>
    <w:rsid w:val="00630AA2"/>
    <w:rsid w:val="00640C82"/>
    <w:rsid w:val="00646707"/>
    <w:rsid w:val="00653318"/>
    <w:rsid w:val="00657F7E"/>
    <w:rsid w:val="00662E58"/>
    <w:rsid w:val="006637F2"/>
    <w:rsid w:val="006642A5"/>
    <w:rsid w:val="00664DCF"/>
    <w:rsid w:val="0067037E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7776B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206C8"/>
    <w:rsid w:val="008254EF"/>
    <w:rsid w:val="0086387C"/>
    <w:rsid w:val="00874A6C"/>
    <w:rsid w:val="00876C65"/>
    <w:rsid w:val="00880AB0"/>
    <w:rsid w:val="008A4B4C"/>
    <w:rsid w:val="008B14B2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F496B"/>
    <w:rsid w:val="00A01439"/>
    <w:rsid w:val="00A02E61"/>
    <w:rsid w:val="00A05CFF"/>
    <w:rsid w:val="00A13048"/>
    <w:rsid w:val="00A167D1"/>
    <w:rsid w:val="00A46843"/>
    <w:rsid w:val="00A56B97"/>
    <w:rsid w:val="00A6093D"/>
    <w:rsid w:val="00A767DC"/>
    <w:rsid w:val="00A76A6D"/>
    <w:rsid w:val="00A83253"/>
    <w:rsid w:val="00AA6E84"/>
    <w:rsid w:val="00AA784A"/>
    <w:rsid w:val="00AB1A1C"/>
    <w:rsid w:val="00AD05A8"/>
    <w:rsid w:val="00AE341B"/>
    <w:rsid w:val="00B01905"/>
    <w:rsid w:val="00B07CA7"/>
    <w:rsid w:val="00B1279A"/>
    <w:rsid w:val="00B174A5"/>
    <w:rsid w:val="00B274B0"/>
    <w:rsid w:val="00B342E9"/>
    <w:rsid w:val="00B3640F"/>
    <w:rsid w:val="00B37938"/>
    <w:rsid w:val="00B4194A"/>
    <w:rsid w:val="00B437E8"/>
    <w:rsid w:val="00B5222E"/>
    <w:rsid w:val="00B53179"/>
    <w:rsid w:val="00B57A23"/>
    <w:rsid w:val="00B600CD"/>
    <w:rsid w:val="00B61C96"/>
    <w:rsid w:val="00B71B85"/>
    <w:rsid w:val="00B73A2A"/>
    <w:rsid w:val="00B75A51"/>
    <w:rsid w:val="00B827C6"/>
    <w:rsid w:val="00B94B06"/>
    <w:rsid w:val="00B94C28"/>
    <w:rsid w:val="00BC10BA"/>
    <w:rsid w:val="00BC5AFD"/>
    <w:rsid w:val="00C00DDE"/>
    <w:rsid w:val="00C04F43"/>
    <w:rsid w:val="00C0609D"/>
    <w:rsid w:val="00C115AB"/>
    <w:rsid w:val="00C2113A"/>
    <w:rsid w:val="00C23278"/>
    <w:rsid w:val="00C26CCB"/>
    <w:rsid w:val="00C30249"/>
    <w:rsid w:val="00C36444"/>
    <w:rsid w:val="00C369F4"/>
    <w:rsid w:val="00C3723B"/>
    <w:rsid w:val="00C37677"/>
    <w:rsid w:val="00C42466"/>
    <w:rsid w:val="00C606C9"/>
    <w:rsid w:val="00C770B1"/>
    <w:rsid w:val="00C80288"/>
    <w:rsid w:val="00C84003"/>
    <w:rsid w:val="00C8557D"/>
    <w:rsid w:val="00C90650"/>
    <w:rsid w:val="00C97D78"/>
    <w:rsid w:val="00CC1066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0927"/>
    <w:rsid w:val="00D446EC"/>
    <w:rsid w:val="00D4483A"/>
    <w:rsid w:val="00D45BE0"/>
    <w:rsid w:val="00D51BF0"/>
    <w:rsid w:val="00D531DB"/>
    <w:rsid w:val="00D55942"/>
    <w:rsid w:val="00D717DD"/>
    <w:rsid w:val="00D807BF"/>
    <w:rsid w:val="00D82FCC"/>
    <w:rsid w:val="00DA17FC"/>
    <w:rsid w:val="00DA7887"/>
    <w:rsid w:val="00DB09F4"/>
    <w:rsid w:val="00DB2C26"/>
    <w:rsid w:val="00DD02F4"/>
    <w:rsid w:val="00DD6622"/>
    <w:rsid w:val="00DE1C7C"/>
    <w:rsid w:val="00DE6B43"/>
    <w:rsid w:val="00E11923"/>
    <w:rsid w:val="00E262D4"/>
    <w:rsid w:val="00E36250"/>
    <w:rsid w:val="00E431CF"/>
    <w:rsid w:val="00E47F2D"/>
    <w:rsid w:val="00E54511"/>
    <w:rsid w:val="00E60EDC"/>
    <w:rsid w:val="00E61202"/>
    <w:rsid w:val="00E61DAC"/>
    <w:rsid w:val="00E72B80"/>
    <w:rsid w:val="00E740FE"/>
    <w:rsid w:val="00E75FE3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42747"/>
    <w:rsid w:val="00F601A0"/>
    <w:rsid w:val="00F655D9"/>
    <w:rsid w:val="00F712E9"/>
    <w:rsid w:val="00F73032"/>
    <w:rsid w:val="00F74F15"/>
    <w:rsid w:val="00F848FC"/>
    <w:rsid w:val="00F8648B"/>
    <w:rsid w:val="00F906F6"/>
    <w:rsid w:val="00F9282A"/>
    <w:rsid w:val="00F96BAD"/>
    <w:rsid w:val="00F96F68"/>
    <w:rsid w:val="00FA139D"/>
    <w:rsid w:val="00FA60F5"/>
    <w:rsid w:val="00FB0E84"/>
    <w:rsid w:val="00FC2405"/>
    <w:rsid w:val="00FD01C2"/>
    <w:rsid w:val="00FE5516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546F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04C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eastAsia="zh-CN"/>
    </w:rPr>
  </w:style>
  <w:style w:type="table" w:styleId="TableGrid">
    <w:name w:val="Table Grid"/>
    <w:basedOn w:val="TableNormal"/>
    <w:rsid w:val="001B3C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64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4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</TotalTime>
  <Pages>3</Pages>
  <Words>617</Words>
  <Characters>3146</Characters>
  <Application>Microsoft Office Word</Application>
  <DocSecurity>0</DocSecurity>
  <Lines>286</Lines>
  <Paragraphs>235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3528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41</cp:revision>
  <cp:lastPrinted>1900-01-01T07:59:17Z</cp:lastPrinted>
  <dcterms:created xsi:type="dcterms:W3CDTF">2018-08-09T13:44:00Z</dcterms:created>
  <dcterms:modified xsi:type="dcterms:W3CDTF">2019-03-13T06:55:00Z</dcterms:modified>
</cp:coreProperties>
</file>