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0B9C105" w:rsidR="008A4B4C" w:rsidRPr="005B217D" w:rsidRDefault="00E61DAC" w:rsidP="00593B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93BF1">
              <w:rPr>
                <w:lang w:val="en-CA"/>
              </w:rPr>
              <w:t>0232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554F36" w:rsidR="00E61DAC" w:rsidRPr="005B217D" w:rsidRDefault="00DE626D" w:rsidP="00BC1BB3">
            <w:pPr>
              <w:spacing w:before="60" w:after="60"/>
              <w:rPr>
                <w:b/>
                <w:szCs w:val="22"/>
                <w:lang w:val="en-CA"/>
              </w:rPr>
            </w:pPr>
            <w:r>
              <w:rPr>
                <w:b/>
                <w:szCs w:val="22"/>
                <w:lang w:val="en-CA"/>
              </w:rPr>
              <w:t>[AHG</w:t>
            </w:r>
            <w:r w:rsidR="00BC1BB3">
              <w:rPr>
                <w:b/>
                <w:szCs w:val="22"/>
                <w:lang w:val="en-CA"/>
              </w:rPr>
              <w:t>8</w:t>
            </w:r>
            <w:r>
              <w:rPr>
                <w:b/>
                <w:szCs w:val="22"/>
                <w:lang w:val="en-CA"/>
              </w:rPr>
              <w:t>]</w:t>
            </w:r>
            <w:r w:rsidR="00412CAE">
              <w:rPr>
                <w:b/>
                <w:szCs w:val="22"/>
                <w:lang w:val="en-CA"/>
              </w:rPr>
              <w:t xml:space="preserve"> </w:t>
            </w:r>
            <w:r w:rsidR="00FA5A8E">
              <w:rPr>
                <w:b/>
                <w:szCs w:val="22"/>
                <w:lang w:val="en-CA"/>
              </w:rPr>
              <w:t xml:space="preserve">Coding performance of </w:t>
            </w:r>
            <w:r w:rsidR="00132506">
              <w:rPr>
                <w:b/>
                <w:szCs w:val="22"/>
                <w:lang w:val="en-CA"/>
              </w:rPr>
              <w:t xml:space="preserve">360° </w:t>
            </w:r>
            <w:r w:rsidR="00FA5A8E">
              <w:rPr>
                <w:b/>
                <w:szCs w:val="22"/>
                <w:lang w:val="en-CA"/>
              </w:rPr>
              <w:t xml:space="preserve">Videos </w:t>
            </w:r>
            <w:r w:rsidR="0061134C">
              <w:rPr>
                <w:b/>
                <w:szCs w:val="22"/>
                <w:lang w:val="en-CA"/>
              </w:rPr>
              <w:t xml:space="preserve">in PHEC format with </w:t>
            </w:r>
            <w:r w:rsidR="00FA5A8E">
              <w:rPr>
                <w:b/>
                <w:szCs w:val="22"/>
                <w:lang w:val="en-CA"/>
              </w:rPr>
              <w:t>different face size</w:t>
            </w:r>
            <w:r w:rsidR="0061134C">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485E98" w:rsidR="00E61DAC" w:rsidRPr="005B217D" w:rsidRDefault="002E6751"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76901C" w:rsidR="00E61DAC" w:rsidRPr="005B217D" w:rsidRDefault="002E6751"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C151FD" w14:textId="77777777" w:rsidR="007B7BA6" w:rsidRDefault="007B7BA6" w:rsidP="007B7BA6">
            <w:pPr>
              <w:spacing w:before="60" w:after="60"/>
              <w:rPr>
                <w:szCs w:val="22"/>
                <w:lang w:val="en-CA"/>
              </w:rPr>
            </w:pPr>
            <w:r>
              <w:rPr>
                <w:szCs w:val="22"/>
                <w:lang w:val="en-CA"/>
              </w:rPr>
              <w:t>Amith DSouza</w:t>
            </w:r>
            <w:r w:rsidRPr="005B217D">
              <w:rPr>
                <w:szCs w:val="22"/>
                <w:lang w:val="en-CA"/>
              </w:rPr>
              <w:br/>
            </w:r>
            <w:r>
              <w:rPr>
                <w:szCs w:val="22"/>
                <w:lang w:val="en-CA"/>
              </w:rPr>
              <w:t>Chirag Pujara</w:t>
            </w:r>
            <w:r w:rsidRPr="005B217D">
              <w:rPr>
                <w:szCs w:val="22"/>
                <w:lang w:val="en-CA"/>
              </w:rPr>
              <w:br/>
            </w:r>
            <w:r>
              <w:rPr>
                <w:szCs w:val="22"/>
                <w:lang w:val="en-CA"/>
              </w:rPr>
              <w:t>Raj Narayana Gadde</w:t>
            </w:r>
          </w:p>
          <w:p w14:paraId="49D81240" w14:textId="7595CF86" w:rsidR="00E61DAC" w:rsidRPr="005B217D" w:rsidRDefault="007B7BA6" w:rsidP="007B7BA6">
            <w:pPr>
              <w:spacing w:before="60" w:after="60"/>
              <w:rPr>
                <w:szCs w:val="22"/>
                <w:lang w:val="en-CA"/>
              </w:rPr>
            </w:pPr>
            <w:r>
              <w:rPr>
                <w:szCs w:val="22"/>
                <w:lang w:val="en-CA"/>
              </w:rPr>
              <w:t>Woong-Il Choi</w:t>
            </w:r>
            <w:r w:rsidRPr="005B217D">
              <w:rPr>
                <w:szCs w:val="22"/>
                <w:lang w:val="en-CA"/>
              </w:rPr>
              <w:br/>
            </w:r>
            <w:r>
              <w:rPr>
                <w:szCs w:val="22"/>
                <w:lang w:val="en-CA"/>
              </w:rPr>
              <w:t>Kwang Pyo Choi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5A77F1" w14:textId="2665B034" w:rsidR="007B7BA6" w:rsidRDefault="00E736A4" w:rsidP="007B7BA6">
            <w:pPr>
              <w:spacing w:before="60" w:after="60"/>
              <w:rPr>
                <w:szCs w:val="22"/>
                <w:lang w:val="en-CA"/>
              </w:rPr>
            </w:pPr>
            <w:hyperlink r:id="rId9" w:history="1">
              <w:r w:rsidR="007B7BA6" w:rsidRPr="00C515A8">
                <w:rPr>
                  <w:rStyle w:val="Hyperlink"/>
                  <w:szCs w:val="22"/>
                  <w:lang w:val="en-CA"/>
                </w:rPr>
                <w:t>amith.ds@samsung.com</w:t>
              </w:r>
            </w:hyperlink>
            <w:r w:rsidR="007B7BA6">
              <w:rPr>
                <w:szCs w:val="22"/>
                <w:lang w:val="en-CA"/>
              </w:rPr>
              <w:t xml:space="preserve"> </w:t>
            </w:r>
          </w:p>
          <w:p w14:paraId="6CB81098" w14:textId="77777777" w:rsidR="007B7BA6" w:rsidRDefault="00E736A4" w:rsidP="007B7BA6">
            <w:pPr>
              <w:spacing w:before="60" w:after="60"/>
              <w:rPr>
                <w:szCs w:val="22"/>
                <w:lang w:val="en-CA"/>
              </w:rPr>
            </w:pPr>
            <w:hyperlink r:id="rId10" w:history="1">
              <w:r w:rsidR="007B7BA6" w:rsidRPr="00C515A8">
                <w:rPr>
                  <w:rStyle w:val="Hyperlink"/>
                  <w:szCs w:val="22"/>
                  <w:lang w:val="en-CA"/>
                </w:rPr>
                <w:t>chirag.p@samsung.com</w:t>
              </w:r>
            </w:hyperlink>
            <w:r w:rsidR="007B7BA6">
              <w:rPr>
                <w:szCs w:val="22"/>
                <w:lang w:val="en-CA"/>
              </w:rPr>
              <w:t xml:space="preserve"> </w:t>
            </w:r>
          </w:p>
          <w:p w14:paraId="32C2ABFD" w14:textId="6C619253" w:rsidR="00E61DAC" w:rsidRPr="005B217D" w:rsidRDefault="00E736A4" w:rsidP="007B7BA6">
            <w:pPr>
              <w:spacing w:before="60" w:after="60"/>
              <w:rPr>
                <w:szCs w:val="22"/>
                <w:lang w:val="en-CA"/>
              </w:rPr>
            </w:pPr>
            <w:hyperlink r:id="rId11" w:history="1">
              <w:r w:rsidR="007B7BA6" w:rsidRPr="00C515A8">
                <w:rPr>
                  <w:rStyle w:val="Hyperlink"/>
                  <w:szCs w:val="22"/>
                  <w:lang w:val="en-CA"/>
                </w:rPr>
                <w:t>raj.gadde@samsung.com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C3D7DF" w:rsidR="00E61DAC" w:rsidRPr="005B217D" w:rsidRDefault="007B7BA6">
            <w:pPr>
              <w:spacing w:before="60" w:after="60"/>
              <w:rPr>
                <w:szCs w:val="22"/>
                <w:lang w:val="en-CA"/>
              </w:rPr>
            </w:pPr>
            <w:r w:rsidRPr="00356D43">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0A1BFD3" w:rsidR="00263398" w:rsidRPr="005B217D" w:rsidRDefault="002E6751" w:rsidP="009234A5">
      <w:pPr>
        <w:rPr>
          <w:szCs w:val="22"/>
          <w:lang w:val="en-CA"/>
        </w:rPr>
      </w:pPr>
      <w:r>
        <w:rPr>
          <w:szCs w:val="22"/>
          <w:lang w:val="en-CA"/>
        </w:rPr>
        <w:t xml:space="preserve">Omnidirectional videos are one of the categories of videos considered for evaluating the performance of Versatile Video Coding. Cubemap based formats are shown to perform better than other projection formats for encoding </w:t>
      </w:r>
      <w:r w:rsidR="00132506">
        <w:rPr>
          <w:szCs w:val="22"/>
          <w:lang w:val="en-CA"/>
        </w:rPr>
        <w:t xml:space="preserve">360° </w:t>
      </w:r>
      <w:r>
        <w:rPr>
          <w:szCs w:val="22"/>
          <w:lang w:val="en-CA"/>
        </w:rPr>
        <w:t xml:space="preserve">Videos. </w:t>
      </w:r>
      <w:r w:rsidR="00F21926">
        <w:rPr>
          <w:szCs w:val="22"/>
          <w:lang w:val="en-CA"/>
        </w:rPr>
        <w:t>In this contribution, the coding performance of PHEC is computed at different face sizes. It is observed that the coding efficiency improves as face size increases.</w:t>
      </w:r>
      <w:r w:rsidR="00132506">
        <w:rPr>
          <w:szCs w:val="22"/>
          <w:lang w:val="en-CA"/>
        </w:rPr>
        <w:t xml:space="preserve"> It is also noted that the bitrate and decoding complexity also increase linearly as face size increases.</w:t>
      </w:r>
    </w:p>
    <w:p w14:paraId="7D2AC1F0" w14:textId="065C7F09" w:rsidR="00745F6B" w:rsidRDefault="00745F6B" w:rsidP="00E11923">
      <w:pPr>
        <w:pStyle w:val="Heading1"/>
        <w:rPr>
          <w:lang w:val="en-CA"/>
        </w:rPr>
      </w:pPr>
      <w:r w:rsidRPr="005B217D">
        <w:rPr>
          <w:lang w:val="en-CA"/>
        </w:rPr>
        <w:t xml:space="preserve">Introduction </w:t>
      </w:r>
    </w:p>
    <w:p w14:paraId="25822DF3" w14:textId="208D34E3" w:rsidR="00F21926" w:rsidRDefault="00E855F5" w:rsidP="00F21926">
      <w:pPr>
        <w:rPr>
          <w:lang w:val="en-CA"/>
        </w:rPr>
      </w:pPr>
      <w:r>
        <w:rPr>
          <w:lang w:val="en-CA"/>
        </w:rPr>
        <w:t xml:space="preserve">Encoding </w:t>
      </w:r>
      <w:r w:rsidR="00132506">
        <w:rPr>
          <w:lang w:val="en-CA"/>
        </w:rPr>
        <w:t xml:space="preserve">360° </w:t>
      </w:r>
      <w:r>
        <w:rPr>
          <w:lang w:val="en-CA"/>
        </w:rPr>
        <w:t>videos requires that the videos are converted into a projection format. The AHG6 on 360° video coding tools and test conditions use PHEC with face size of 1280x1280 as the anchor.</w:t>
      </w:r>
      <w:r w:rsidR="00370590">
        <w:rPr>
          <w:lang w:val="en-CA"/>
        </w:rPr>
        <w:t xml:space="preserve"> It is shown here that the face size of 1280x1280 is not the optimal face size for encoding 360° videos</w:t>
      </w:r>
      <w:r w:rsidR="00132506">
        <w:rPr>
          <w:lang w:val="en-CA"/>
        </w:rPr>
        <w:t xml:space="preserve"> for PHEC</w:t>
      </w:r>
      <w:r w:rsidR="00370590">
        <w:rPr>
          <w:lang w:val="en-CA"/>
        </w:rPr>
        <w:t xml:space="preserve">. It is observed that larger face sizes show higher compression efficiency. However, the decoding complexity </w:t>
      </w:r>
      <w:r w:rsidR="001B3236">
        <w:rPr>
          <w:lang w:val="en-CA"/>
        </w:rPr>
        <w:t xml:space="preserve">and bitrate </w:t>
      </w:r>
      <w:r w:rsidR="00370590">
        <w:rPr>
          <w:lang w:val="en-CA"/>
        </w:rPr>
        <w:t xml:space="preserve">of 360° videos increases </w:t>
      </w:r>
      <w:r w:rsidR="0006262A">
        <w:rPr>
          <w:lang w:val="en-CA"/>
        </w:rPr>
        <w:t>linearly as the face size increases</w:t>
      </w:r>
      <w:r w:rsidR="00370590">
        <w:rPr>
          <w:lang w:val="en-CA"/>
        </w:rPr>
        <w:t xml:space="preserve">. </w:t>
      </w:r>
    </w:p>
    <w:p w14:paraId="6C637D1B" w14:textId="4F020C13" w:rsidR="00370590" w:rsidRDefault="00370590" w:rsidP="00370590">
      <w:pPr>
        <w:pStyle w:val="Heading1"/>
        <w:ind w:left="360" w:hanging="360"/>
        <w:rPr>
          <w:lang w:val="en-CA"/>
        </w:rPr>
      </w:pPr>
      <w:r>
        <w:rPr>
          <w:lang w:val="en-CA"/>
        </w:rPr>
        <w:t>Results</w:t>
      </w:r>
    </w:p>
    <w:p w14:paraId="1C960B4C" w14:textId="4E948BA0" w:rsidR="0074156F" w:rsidRDefault="0074156F" w:rsidP="0074156F">
      <w:pPr>
        <w:rPr>
          <w:lang w:val="en-CA"/>
        </w:rPr>
      </w:pPr>
      <w:r>
        <w:rPr>
          <w:lang w:val="en-CA"/>
        </w:rPr>
        <w:t>A brief summary of the results at different face sizes when compared with the AHG anchor is shown below.</w:t>
      </w:r>
      <w:r w:rsidR="00462674">
        <w:rPr>
          <w:lang w:val="en-CA"/>
        </w:rPr>
        <w:t xml:space="preserve"> The results have been gener</w:t>
      </w:r>
      <w:r w:rsidR="0045769C">
        <w:rPr>
          <w:lang w:val="en-CA"/>
        </w:rPr>
        <w:t xml:space="preserve">ated using 360Lib8.0 and VTM3.0. </w:t>
      </w:r>
      <w:bookmarkStart w:id="0" w:name="_GoBack"/>
      <w:bookmarkEnd w:id="0"/>
      <w:r w:rsidR="00462674">
        <w:rPr>
          <w:lang w:val="en-CA"/>
        </w:rPr>
        <w:t>However, we believe that VTM4.0 would also show similar characteristics.</w:t>
      </w:r>
    </w:p>
    <w:p w14:paraId="3C6B5B53" w14:textId="77777777" w:rsidR="00462674" w:rsidRPr="0074156F" w:rsidRDefault="00462674" w:rsidP="0074156F">
      <w:pPr>
        <w:rPr>
          <w:lang w:val="en-CA"/>
        </w:rPr>
      </w:pPr>
    </w:p>
    <w:tbl>
      <w:tblPr>
        <w:tblW w:w="8454" w:type="dxa"/>
        <w:jc w:val="center"/>
        <w:tblLayout w:type="fixed"/>
        <w:tblLook w:val="04A0" w:firstRow="1" w:lastRow="0" w:firstColumn="1" w:lastColumn="0" w:noHBand="0" w:noVBand="1"/>
      </w:tblPr>
      <w:tblGrid>
        <w:gridCol w:w="1560"/>
        <w:gridCol w:w="1124"/>
        <w:gridCol w:w="1445"/>
        <w:gridCol w:w="1445"/>
        <w:gridCol w:w="960"/>
        <w:gridCol w:w="960"/>
        <w:gridCol w:w="960"/>
      </w:tblGrid>
      <w:tr w:rsidR="004F0937" w:rsidRPr="004F0937" w14:paraId="5072774D" w14:textId="77777777" w:rsidTr="00DA395E">
        <w:trPr>
          <w:trHeight w:val="315"/>
          <w:jc w:val="center"/>
        </w:trPr>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55BC64C" w14:textId="005E37DE" w:rsidR="004F0937" w:rsidRPr="004F0937" w:rsidRDefault="0074156F"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Pr>
                <w:lang w:val="en-CA"/>
              </w:rPr>
              <w:t xml:space="preserve"> </w:t>
            </w:r>
            <w:r w:rsidR="004F0937" w:rsidRPr="004F0937">
              <w:rPr>
                <w:rFonts w:ascii="Arial" w:hAnsi="Arial" w:cs="Arial"/>
                <w:color w:val="000000"/>
                <w:sz w:val="18"/>
                <w:szCs w:val="18"/>
                <w:lang w:val="en-IN" w:eastAsia="ja-JP"/>
              </w:rPr>
              <w:t> </w:t>
            </w:r>
          </w:p>
        </w:tc>
        <w:tc>
          <w:tcPr>
            <w:tcW w:w="4014"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2CD2F221"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End-to-end WS-PSNR</w:t>
            </w:r>
          </w:p>
        </w:tc>
        <w:tc>
          <w:tcPr>
            <w:tcW w:w="960" w:type="dxa"/>
            <w:tcBorders>
              <w:top w:val="nil"/>
              <w:left w:val="nil"/>
              <w:bottom w:val="nil"/>
              <w:right w:val="nil"/>
            </w:tcBorders>
            <w:shd w:val="clear" w:color="auto" w:fill="auto"/>
            <w:noWrap/>
            <w:vAlign w:val="bottom"/>
            <w:hideMark/>
          </w:tcPr>
          <w:p w14:paraId="339FAF6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ja-JP"/>
              </w:rPr>
            </w:pPr>
          </w:p>
        </w:tc>
        <w:tc>
          <w:tcPr>
            <w:tcW w:w="960" w:type="dxa"/>
            <w:tcBorders>
              <w:top w:val="nil"/>
              <w:left w:val="nil"/>
              <w:bottom w:val="nil"/>
              <w:right w:val="nil"/>
            </w:tcBorders>
            <w:shd w:val="clear" w:color="auto" w:fill="auto"/>
            <w:noWrap/>
            <w:vAlign w:val="bottom"/>
            <w:hideMark/>
          </w:tcPr>
          <w:p w14:paraId="101822D0"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ja-JP"/>
              </w:rPr>
            </w:pPr>
          </w:p>
        </w:tc>
        <w:tc>
          <w:tcPr>
            <w:tcW w:w="960" w:type="dxa"/>
            <w:tcBorders>
              <w:top w:val="nil"/>
              <w:left w:val="nil"/>
              <w:bottom w:val="nil"/>
              <w:right w:val="nil"/>
            </w:tcBorders>
            <w:shd w:val="clear" w:color="auto" w:fill="auto"/>
            <w:noWrap/>
            <w:vAlign w:val="bottom"/>
            <w:hideMark/>
          </w:tcPr>
          <w:p w14:paraId="08FC41B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ja-JP"/>
              </w:rPr>
            </w:pPr>
          </w:p>
        </w:tc>
      </w:tr>
      <w:tr w:rsidR="004F0937" w:rsidRPr="004F0937" w14:paraId="07AAC5B6" w14:textId="77777777" w:rsidTr="00DA395E">
        <w:trPr>
          <w:trHeight w:val="315"/>
          <w:jc w:val="center"/>
        </w:trPr>
        <w:tc>
          <w:tcPr>
            <w:tcW w:w="1560" w:type="dxa"/>
            <w:vMerge/>
            <w:tcBorders>
              <w:top w:val="single" w:sz="8" w:space="0" w:color="auto"/>
              <w:left w:val="single" w:sz="8" w:space="0" w:color="auto"/>
              <w:bottom w:val="single" w:sz="8" w:space="0" w:color="000000"/>
              <w:right w:val="single" w:sz="8" w:space="0" w:color="auto"/>
            </w:tcBorders>
            <w:vAlign w:val="center"/>
            <w:hideMark/>
          </w:tcPr>
          <w:p w14:paraId="5257B30B"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124" w:type="dxa"/>
            <w:tcBorders>
              <w:top w:val="nil"/>
              <w:left w:val="nil"/>
              <w:bottom w:val="nil"/>
              <w:right w:val="nil"/>
            </w:tcBorders>
            <w:shd w:val="clear" w:color="auto" w:fill="auto"/>
            <w:noWrap/>
            <w:vAlign w:val="bottom"/>
            <w:hideMark/>
          </w:tcPr>
          <w:p w14:paraId="097C805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Y</w:t>
            </w:r>
          </w:p>
        </w:tc>
        <w:tc>
          <w:tcPr>
            <w:tcW w:w="1445" w:type="dxa"/>
            <w:tcBorders>
              <w:top w:val="nil"/>
              <w:left w:val="nil"/>
              <w:bottom w:val="nil"/>
              <w:right w:val="nil"/>
            </w:tcBorders>
            <w:shd w:val="clear" w:color="auto" w:fill="auto"/>
            <w:noWrap/>
            <w:vAlign w:val="bottom"/>
            <w:hideMark/>
          </w:tcPr>
          <w:p w14:paraId="08537CAB"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U</w:t>
            </w:r>
          </w:p>
        </w:tc>
        <w:tc>
          <w:tcPr>
            <w:tcW w:w="1445" w:type="dxa"/>
            <w:tcBorders>
              <w:top w:val="nil"/>
              <w:left w:val="nil"/>
              <w:bottom w:val="nil"/>
              <w:right w:val="single" w:sz="8" w:space="0" w:color="auto"/>
            </w:tcBorders>
            <w:shd w:val="clear" w:color="auto" w:fill="auto"/>
            <w:noWrap/>
            <w:vAlign w:val="bottom"/>
            <w:hideMark/>
          </w:tcPr>
          <w:p w14:paraId="05E26C6A"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V</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65CC23" w14:textId="25163AB3"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EncT</w:t>
            </w:r>
            <w:r w:rsidR="00507E5A">
              <w:rPr>
                <w:rFonts w:ascii="Arial" w:hAnsi="Arial" w:cs="Arial"/>
                <w:color w:val="000000"/>
                <w:sz w:val="18"/>
                <w:szCs w:val="18"/>
                <w:lang w:val="en-IN" w:eastAsia="ja-JP"/>
              </w:rPr>
              <w:t>*</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E554C4F"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DecT</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95D344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Bitrate</w:t>
            </w:r>
          </w:p>
        </w:tc>
      </w:tr>
      <w:tr w:rsidR="004F0937" w:rsidRPr="004F0937" w14:paraId="7F6A5B84" w14:textId="77777777" w:rsidTr="00DA395E">
        <w:trPr>
          <w:trHeight w:val="315"/>
          <w:jc w:val="center"/>
        </w:trPr>
        <w:tc>
          <w:tcPr>
            <w:tcW w:w="1560" w:type="dxa"/>
            <w:tcBorders>
              <w:top w:val="nil"/>
              <w:left w:val="single" w:sz="8" w:space="0" w:color="auto"/>
              <w:bottom w:val="nil"/>
              <w:right w:val="single" w:sz="8" w:space="0" w:color="auto"/>
            </w:tcBorders>
            <w:shd w:val="clear" w:color="auto" w:fill="auto"/>
            <w:noWrap/>
            <w:vAlign w:val="center"/>
            <w:hideMark/>
          </w:tcPr>
          <w:p w14:paraId="3D6F82C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1152</w:t>
            </w:r>
          </w:p>
        </w:tc>
        <w:tc>
          <w:tcPr>
            <w:tcW w:w="1124" w:type="dxa"/>
            <w:tcBorders>
              <w:top w:val="single" w:sz="8" w:space="0" w:color="auto"/>
              <w:left w:val="nil"/>
              <w:bottom w:val="single" w:sz="8" w:space="0" w:color="auto"/>
              <w:right w:val="nil"/>
            </w:tcBorders>
            <w:shd w:val="clear" w:color="auto" w:fill="auto"/>
            <w:noWrap/>
            <w:vAlign w:val="center"/>
            <w:hideMark/>
          </w:tcPr>
          <w:p w14:paraId="79F9C856"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2.49%</w:t>
            </w:r>
          </w:p>
        </w:tc>
        <w:tc>
          <w:tcPr>
            <w:tcW w:w="1445" w:type="dxa"/>
            <w:tcBorders>
              <w:top w:val="single" w:sz="8" w:space="0" w:color="auto"/>
              <w:left w:val="nil"/>
              <w:bottom w:val="single" w:sz="8" w:space="0" w:color="auto"/>
              <w:right w:val="nil"/>
            </w:tcBorders>
            <w:shd w:val="clear" w:color="000000" w:fill="FFC7CE"/>
            <w:noWrap/>
            <w:vAlign w:val="center"/>
            <w:hideMark/>
          </w:tcPr>
          <w:p w14:paraId="7E879196"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4F0937">
              <w:rPr>
                <w:rFonts w:ascii="Arial" w:hAnsi="Arial" w:cs="Arial"/>
                <w:sz w:val="18"/>
                <w:szCs w:val="18"/>
                <w:lang w:val="en-IN" w:eastAsia="ja-JP"/>
              </w:rPr>
              <w:t>3.07%</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31E91B8F"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2.82%</w:t>
            </w:r>
          </w:p>
        </w:tc>
        <w:tc>
          <w:tcPr>
            <w:tcW w:w="960" w:type="dxa"/>
            <w:tcBorders>
              <w:top w:val="single" w:sz="8" w:space="0" w:color="auto"/>
              <w:left w:val="single" w:sz="4" w:space="0" w:color="auto"/>
              <w:bottom w:val="single" w:sz="8" w:space="0" w:color="auto"/>
              <w:right w:val="nil"/>
            </w:tcBorders>
            <w:shd w:val="clear" w:color="auto" w:fill="auto"/>
            <w:noWrap/>
            <w:vAlign w:val="center"/>
            <w:hideMark/>
          </w:tcPr>
          <w:p w14:paraId="56D2FE5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80%</w:t>
            </w:r>
          </w:p>
        </w:tc>
        <w:tc>
          <w:tcPr>
            <w:tcW w:w="960" w:type="dxa"/>
            <w:tcBorders>
              <w:top w:val="nil"/>
              <w:left w:val="nil"/>
              <w:bottom w:val="single" w:sz="8" w:space="0" w:color="auto"/>
              <w:right w:val="single" w:sz="8" w:space="0" w:color="auto"/>
            </w:tcBorders>
            <w:shd w:val="clear" w:color="auto" w:fill="auto"/>
            <w:noWrap/>
            <w:vAlign w:val="center"/>
            <w:hideMark/>
          </w:tcPr>
          <w:p w14:paraId="7774FF36"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81%</w:t>
            </w:r>
          </w:p>
        </w:tc>
        <w:tc>
          <w:tcPr>
            <w:tcW w:w="960" w:type="dxa"/>
            <w:tcBorders>
              <w:top w:val="nil"/>
              <w:left w:val="nil"/>
              <w:bottom w:val="single" w:sz="8" w:space="0" w:color="auto"/>
              <w:right w:val="single" w:sz="8" w:space="0" w:color="auto"/>
            </w:tcBorders>
            <w:shd w:val="clear" w:color="auto" w:fill="auto"/>
            <w:noWrap/>
            <w:vAlign w:val="center"/>
            <w:hideMark/>
          </w:tcPr>
          <w:p w14:paraId="5E6FBB1E"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88%</w:t>
            </w:r>
          </w:p>
        </w:tc>
      </w:tr>
      <w:tr w:rsidR="004F0937" w:rsidRPr="004F0937" w14:paraId="064198F9"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0844CB5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1184</w:t>
            </w:r>
          </w:p>
        </w:tc>
        <w:tc>
          <w:tcPr>
            <w:tcW w:w="1124" w:type="dxa"/>
            <w:tcBorders>
              <w:top w:val="nil"/>
              <w:left w:val="nil"/>
              <w:bottom w:val="single" w:sz="8" w:space="0" w:color="auto"/>
              <w:right w:val="nil"/>
            </w:tcBorders>
            <w:shd w:val="clear" w:color="auto" w:fill="auto"/>
            <w:noWrap/>
            <w:vAlign w:val="center"/>
            <w:hideMark/>
          </w:tcPr>
          <w:p w14:paraId="5238B39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1.91%</w:t>
            </w:r>
          </w:p>
        </w:tc>
        <w:tc>
          <w:tcPr>
            <w:tcW w:w="1445" w:type="dxa"/>
            <w:tcBorders>
              <w:top w:val="nil"/>
              <w:left w:val="nil"/>
              <w:bottom w:val="single" w:sz="8" w:space="0" w:color="auto"/>
              <w:right w:val="nil"/>
            </w:tcBorders>
            <w:shd w:val="clear" w:color="auto" w:fill="auto"/>
            <w:noWrap/>
            <w:vAlign w:val="center"/>
            <w:hideMark/>
          </w:tcPr>
          <w:p w14:paraId="644DDD60"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2.55%</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1A3296F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2.44%</w:t>
            </w:r>
          </w:p>
        </w:tc>
        <w:tc>
          <w:tcPr>
            <w:tcW w:w="960" w:type="dxa"/>
            <w:tcBorders>
              <w:top w:val="nil"/>
              <w:left w:val="single" w:sz="4" w:space="0" w:color="auto"/>
              <w:bottom w:val="single" w:sz="8" w:space="0" w:color="auto"/>
              <w:right w:val="nil"/>
            </w:tcBorders>
            <w:shd w:val="clear" w:color="auto" w:fill="auto"/>
            <w:noWrap/>
            <w:vAlign w:val="center"/>
            <w:hideMark/>
          </w:tcPr>
          <w:p w14:paraId="21D5B169"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88%</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E03C76A"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87%</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205DED0"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91%</w:t>
            </w:r>
          </w:p>
        </w:tc>
      </w:tr>
      <w:tr w:rsidR="004F0937" w:rsidRPr="004F0937" w14:paraId="1DCFCCC2"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0CB3FAC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1216</w:t>
            </w:r>
          </w:p>
        </w:tc>
        <w:tc>
          <w:tcPr>
            <w:tcW w:w="1124" w:type="dxa"/>
            <w:tcBorders>
              <w:top w:val="nil"/>
              <w:left w:val="nil"/>
              <w:bottom w:val="single" w:sz="8" w:space="0" w:color="auto"/>
              <w:right w:val="nil"/>
            </w:tcBorders>
            <w:shd w:val="clear" w:color="auto" w:fill="auto"/>
            <w:noWrap/>
            <w:vAlign w:val="center"/>
            <w:hideMark/>
          </w:tcPr>
          <w:p w14:paraId="6FA88FD0"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1.10%</w:t>
            </w:r>
          </w:p>
        </w:tc>
        <w:tc>
          <w:tcPr>
            <w:tcW w:w="1445" w:type="dxa"/>
            <w:tcBorders>
              <w:top w:val="nil"/>
              <w:left w:val="nil"/>
              <w:bottom w:val="single" w:sz="8" w:space="0" w:color="auto"/>
              <w:right w:val="nil"/>
            </w:tcBorders>
            <w:shd w:val="clear" w:color="auto" w:fill="auto"/>
            <w:noWrap/>
            <w:vAlign w:val="center"/>
            <w:hideMark/>
          </w:tcPr>
          <w:p w14:paraId="30A21181"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1.59%</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54864DEA"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1.37%</w:t>
            </w:r>
          </w:p>
        </w:tc>
        <w:tc>
          <w:tcPr>
            <w:tcW w:w="960" w:type="dxa"/>
            <w:tcBorders>
              <w:top w:val="nil"/>
              <w:left w:val="single" w:sz="4" w:space="0" w:color="auto"/>
              <w:bottom w:val="single" w:sz="8" w:space="0" w:color="auto"/>
              <w:right w:val="nil"/>
            </w:tcBorders>
            <w:shd w:val="clear" w:color="auto" w:fill="auto"/>
            <w:noWrap/>
            <w:vAlign w:val="center"/>
            <w:hideMark/>
          </w:tcPr>
          <w:p w14:paraId="3F67F1D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92%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1B6555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91%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F400CF"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94%</w:t>
            </w:r>
          </w:p>
        </w:tc>
      </w:tr>
      <w:tr w:rsidR="004F0937" w:rsidRPr="004F0937" w14:paraId="725197B7"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191C370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1248</w:t>
            </w:r>
          </w:p>
        </w:tc>
        <w:tc>
          <w:tcPr>
            <w:tcW w:w="1124" w:type="dxa"/>
            <w:tcBorders>
              <w:top w:val="nil"/>
              <w:left w:val="nil"/>
              <w:bottom w:val="single" w:sz="8" w:space="0" w:color="auto"/>
              <w:right w:val="nil"/>
            </w:tcBorders>
            <w:shd w:val="clear" w:color="auto" w:fill="auto"/>
            <w:noWrap/>
            <w:vAlign w:val="center"/>
            <w:hideMark/>
          </w:tcPr>
          <w:p w14:paraId="6A77098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0.68%</w:t>
            </w:r>
          </w:p>
        </w:tc>
        <w:tc>
          <w:tcPr>
            <w:tcW w:w="1445" w:type="dxa"/>
            <w:tcBorders>
              <w:top w:val="nil"/>
              <w:left w:val="nil"/>
              <w:bottom w:val="single" w:sz="8" w:space="0" w:color="auto"/>
              <w:right w:val="nil"/>
            </w:tcBorders>
            <w:shd w:val="clear" w:color="auto" w:fill="auto"/>
            <w:noWrap/>
            <w:vAlign w:val="center"/>
            <w:hideMark/>
          </w:tcPr>
          <w:p w14:paraId="73B4D2D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1.15%</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7B0A2DD1"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1.08%</w:t>
            </w:r>
          </w:p>
        </w:tc>
        <w:tc>
          <w:tcPr>
            <w:tcW w:w="960" w:type="dxa"/>
            <w:tcBorders>
              <w:top w:val="nil"/>
              <w:left w:val="single" w:sz="4" w:space="0" w:color="auto"/>
              <w:bottom w:val="single" w:sz="8" w:space="0" w:color="auto"/>
              <w:right w:val="nil"/>
            </w:tcBorders>
            <w:shd w:val="clear" w:color="auto" w:fill="auto"/>
            <w:noWrap/>
            <w:vAlign w:val="center"/>
            <w:hideMark/>
          </w:tcPr>
          <w:p w14:paraId="508C9A5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94%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D09FFB4"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96%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3A37F25"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97%</w:t>
            </w:r>
          </w:p>
        </w:tc>
      </w:tr>
      <w:tr w:rsidR="004F0937" w:rsidRPr="004F0937" w14:paraId="6817A816"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5CCF29D7"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1280</w:t>
            </w:r>
          </w:p>
        </w:tc>
        <w:tc>
          <w:tcPr>
            <w:tcW w:w="1124" w:type="dxa"/>
            <w:tcBorders>
              <w:top w:val="nil"/>
              <w:left w:val="nil"/>
              <w:bottom w:val="single" w:sz="8" w:space="0" w:color="auto"/>
              <w:right w:val="nil"/>
            </w:tcBorders>
            <w:shd w:val="clear" w:color="auto" w:fill="auto"/>
            <w:noWrap/>
            <w:vAlign w:val="center"/>
            <w:hideMark/>
          </w:tcPr>
          <w:p w14:paraId="1285078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0.00%</w:t>
            </w:r>
          </w:p>
        </w:tc>
        <w:tc>
          <w:tcPr>
            <w:tcW w:w="1445" w:type="dxa"/>
            <w:tcBorders>
              <w:top w:val="nil"/>
              <w:left w:val="nil"/>
              <w:bottom w:val="single" w:sz="8" w:space="0" w:color="auto"/>
              <w:right w:val="nil"/>
            </w:tcBorders>
            <w:shd w:val="clear" w:color="auto" w:fill="auto"/>
            <w:noWrap/>
            <w:vAlign w:val="center"/>
            <w:hideMark/>
          </w:tcPr>
          <w:p w14:paraId="147DB70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0.00%</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35E284B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0.00%</w:t>
            </w:r>
          </w:p>
        </w:tc>
        <w:tc>
          <w:tcPr>
            <w:tcW w:w="960" w:type="dxa"/>
            <w:tcBorders>
              <w:top w:val="nil"/>
              <w:left w:val="single" w:sz="4" w:space="0" w:color="auto"/>
              <w:bottom w:val="single" w:sz="8" w:space="0" w:color="auto"/>
              <w:right w:val="nil"/>
            </w:tcBorders>
            <w:shd w:val="clear" w:color="auto" w:fill="auto"/>
            <w:noWrap/>
            <w:vAlign w:val="center"/>
            <w:hideMark/>
          </w:tcPr>
          <w:p w14:paraId="4E0A5B2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E5734D0"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2920D5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100%</w:t>
            </w:r>
          </w:p>
        </w:tc>
      </w:tr>
      <w:tr w:rsidR="00507E5A" w:rsidRPr="004F0937" w14:paraId="1E8F6D51"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43D9EC14" w14:textId="06DEBCB4" w:rsidR="00507E5A" w:rsidRPr="004F0937" w:rsidRDefault="00507E5A" w:rsidP="0050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13</w:t>
            </w:r>
            <w:r>
              <w:rPr>
                <w:rFonts w:ascii="Arial" w:hAnsi="Arial" w:cs="Arial"/>
                <w:b/>
                <w:bCs/>
                <w:color w:val="000000"/>
                <w:sz w:val="18"/>
                <w:szCs w:val="18"/>
                <w:lang w:val="en-IN" w:eastAsia="ja-JP"/>
              </w:rPr>
              <w:t>12</w:t>
            </w:r>
          </w:p>
        </w:tc>
        <w:tc>
          <w:tcPr>
            <w:tcW w:w="1124" w:type="dxa"/>
            <w:tcBorders>
              <w:top w:val="nil"/>
              <w:left w:val="nil"/>
              <w:bottom w:val="single" w:sz="8" w:space="0" w:color="auto"/>
              <w:right w:val="nil"/>
            </w:tcBorders>
            <w:shd w:val="clear" w:color="auto" w:fill="auto"/>
            <w:noWrap/>
            <w:vAlign w:val="center"/>
            <w:hideMark/>
          </w:tcPr>
          <w:p w14:paraId="1A428838" w14:textId="0387DBAD" w:rsidR="00507E5A" w:rsidRPr="004F0937" w:rsidRDefault="00507E5A" w:rsidP="0050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Pr>
                <w:rFonts w:ascii="Arial" w:hAnsi="Arial" w:cs="Arial"/>
                <w:color w:val="000000"/>
                <w:sz w:val="18"/>
                <w:szCs w:val="18"/>
              </w:rPr>
              <w:t>-0.18%</w:t>
            </w:r>
          </w:p>
        </w:tc>
        <w:tc>
          <w:tcPr>
            <w:tcW w:w="1445" w:type="dxa"/>
            <w:tcBorders>
              <w:top w:val="nil"/>
              <w:left w:val="nil"/>
              <w:bottom w:val="single" w:sz="8" w:space="0" w:color="auto"/>
              <w:right w:val="nil"/>
            </w:tcBorders>
            <w:shd w:val="clear" w:color="auto" w:fill="auto"/>
            <w:noWrap/>
            <w:vAlign w:val="center"/>
            <w:hideMark/>
          </w:tcPr>
          <w:p w14:paraId="057094BA" w14:textId="2BD68DD8" w:rsidR="00507E5A" w:rsidRPr="004F0937" w:rsidRDefault="00507E5A" w:rsidP="0050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Pr>
                <w:rFonts w:ascii="Arial" w:hAnsi="Arial" w:cs="Arial"/>
                <w:color w:val="000000"/>
                <w:sz w:val="18"/>
                <w:szCs w:val="18"/>
              </w:rPr>
              <w:t>-0.13%</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4B0668E1" w14:textId="30B7EB2C" w:rsidR="00507E5A" w:rsidRPr="004F0937" w:rsidRDefault="00507E5A" w:rsidP="0050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Pr>
                <w:rFonts w:ascii="Arial" w:hAnsi="Arial" w:cs="Arial"/>
                <w:color w:val="000000"/>
                <w:sz w:val="18"/>
                <w:szCs w:val="18"/>
              </w:rPr>
              <w:t>-0.07%</w:t>
            </w:r>
          </w:p>
        </w:tc>
        <w:tc>
          <w:tcPr>
            <w:tcW w:w="960" w:type="dxa"/>
            <w:tcBorders>
              <w:top w:val="nil"/>
              <w:left w:val="single" w:sz="4" w:space="0" w:color="auto"/>
              <w:bottom w:val="single" w:sz="8" w:space="0" w:color="auto"/>
              <w:right w:val="nil"/>
            </w:tcBorders>
            <w:shd w:val="clear" w:color="auto" w:fill="auto"/>
            <w:noWrap/>
            <w:vAlign w:val="center"/>
            <w:hideMark/>
          </w:tcPr>
          <w:p w14:paraId="4FF25A40" w14:textId="77699255" w:rsidR="00507E5A" w:rsidRPr="004F0937" w:rsidRDefault="00507E5A" w:rsidP="0050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Pr>
                <w:rFonts w:ascii="Arial" w:hAnsi="Arial" w:cs="Arial"/>
                <w:color w:val="000000"/>
                <w:sz w:val="18"/>
                <w:szCs w:val="18"/>
              </w:rPr>
              <w:t>120%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F7D3347" w14:textId="642B5923" w:rsidR="00507E5A" w:rsidRPr="004F0937" w:rsidRDefault="00507E5A" w:rsidP="0050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Pr>
                <w:rFonts w:ascii="Arial" w:hAnsi="Arial" w:cs="Arial"/>
                <w:color w:val="000000"/>
                <w:sz w:val="18"/>
                <w:szCs w:val="18"/>
              </w:rPr>
              <w:t>105%</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124DF18" w14:textId="2E72CD37" w:rsidR="00507E5A" w:rsidRPr="004F0937" w:rsidRDefault="00507E5A" w:rsidP="0050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Pr>
                <w:rFonts w:ascii="Arial" w:hAnsi="Arial" w:cs="Arial"/>
                <w:color w:val="000000"/>
                <w:sz w:val="18"/>
                <w:szCs w:val="18"/>
              </w:rPr>
              <w:t>103%</w:t>
            </w:r>
          </w:p>
        </w:tc>
      </w:tr>
      <w:tr w:rsidR="004F0937" w:rsidRPr="004F0937" w14:paraId="31A6E081"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7F618ED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1344</w:t>
            </w:r>
          </w:p>
        </w:tc>
        <w:tc>
          <w:tcPr>
            <w:tcW w:w="1124" w:type="dxa"/>
            <w:tcBorders>
              <w:top w:val="nil"/>
              <w:left w:val="nil"/>
              <w:bottom w:val="single" w:sz="8" w:space="0" w:color="auto"/>
              <w:right w:val="nil"/>
            </w:tcBorders>
            <w:shd w:val="clear" w:color="auto" w:fill="auto"/>
            <w:noWrap/>
            <w:vAlign w:val="center"/>
            <w:hideMark/>
          </w:tcPr>
          <w:p w14:paraId="5CB1ED2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-0.60%</w:t>
            </w:r>
          </w:p>
        </w:tc>
        <w:tc>
          <w:tcPr>
            <w:tcW w:w="1445" w:type="dxa"/>
            <w:tcBorders>
              <w:top w:val="nil"/>
              <w:left w:val="nil"/>
              <w:bottom w:val="single" w:sz="8" w:space="0" w:color="auto"/>
              <w:right w:val="nil"/>
            </w:tcBorders>
            <w:shd w:val="clear" w:color="auto" w:fill="auto"/>
            <w:noWrap/>
            <w:vAlign w:val="center"/>
            <w:hideMark/>
          </w:tcPr>
          <w:p w14:paraId="30E4C92A"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-1.08%</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540626B9"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-1.00%</w:t>
            </w:r>
          </w:p>
        </w:tc>
        <w:tc>
          <w:tcPr>
            <w:tcW w:w="960" w:type="dxa"/>
            <w:tcBorders>
              <w:top w:val="nil"/>
              <w:left w:val="single" w:sz="4" w:space="0" w:color="auto"/>
              <w:bottom w:val="single" w:sz="8" w:space="0" w:color="auto"/>
              <w:right w:val="nil"/>
            </w:tcBorders>
            <w:shd w:val="clear" w:color="auto" w:fill="auto"/>
            <w:noWrap/>
            <w:vAlign w:val="center"/>
            <w:hideMark/>
          </w:tcPr>
          <w:p w14:paraId="0B087894"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132%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F06726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5607CF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106%</w:t>
            </w:r>
          </w:p>
        </w:tc>
      </w:tr>
      <w:tr w:rsidR="004F0937" w:rsidRPr="004F0937" w14:paraId="43059BFB"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69FF875B"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1376</w:t>
            </w:r>
          </w:p>
        </w:tc>
        <w:tc>
          <w:tcPr>
            <w:tcW w:w="1124" w:type="dxa"/>
            <w:tcBorders>
              <w:top w:val="nil"/>
              <w:left w:val="nil"/>
              <w:bottom w:val="single" w:sz="8" w:space="0" w:color="auto"/>
              <w:right w:val="nil"/>
            </w:tcBorders>
            <w:shd w:val="clear" w:color="auto" w:fill="auto"/>
            <w:noWrap/>
            <w:vAlign w:val="center"/>
            <w:hideMark/>
          </w:tcPr>
          <w:p w14:paraId="0AF8ADB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-0.67%</w:t>
            </w:r>
          </w:p>
        </w:tc>
        <w:tc>
          <w:tcPr>
            <w:tcW w:w="1445" w:type="dxa"/>
            <w:tcBorders>
              <w:top w:val="nil"/>
              <w:left w:val="nil"/>
              <w:bottom w:val="single" w:sz="8" w:space="0" w:color="auto"/>
              <w:right w:val="nil"/>
            </w:tcBorders>
            <w:shd w:val="clear" w:color="auto" w:fill="auto"/>
            <w:noWrap/>
            <w:vAlign w:val="center"/>
            <w:hideMark/>
          </w:tcPr>
          <w:p w14:paraId="012DF2E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-1.32%</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5ACCF13E"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-1.16%</w:t>
            </w:r>
          </w:p>
        </w:tc>
        <w:tc>
          <w:tcPr>
            <w:tcW w:w="960" w:type="dxa"/>
            <w:tcBorders>
              <w:top w:val="nil"/>
              <w:left w:val="single" w:sz="4" w:space="0" w:color="auto"/>
              <w:bottom w:val="single" w:sz="8" w:space="0" w:color="auto"/>
              <w:right w:val="nil"/>
            </w:tcBorders>
            <w:shd w:val="clear" w:color="auto" w:fill="auto"/>
            <w:noWrap/>
            <w:vAlign w:val="center"/>
            <w:hideMark/>
          </w:tcPr>
          <w:p w14:paraId="034FC97F"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132%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6F1B04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115%</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10474E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109%</w:t>
            </w:r>
          </w:p>
        </w:tc>
      </w:tr>
      <w:tr w:rsidR="004F0937" w:rsidRPr="004F0937" w14:paraId="3D86264A"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493DD2C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lastRenderedPageBreak/>
              <w:t>1280 vs 1408</w:t>
            </w:r>
          </w:p>
        </w:tc>
        <w:tc>
          <w:tcPr>
            <w:tcW w:w="1124" w:type="dxa"/>
            <w:tcBorders>
              <w:top w:val="nil"/>
              <w:left w:val="nil"/>
              <w:bottom w:val="single" w:sz="8" w:space="0" w:color="auto"/>
              <w:right w:val="nil"/>
            </w:tcBorders>
            <w:shd w:val="clear" w:color="auto" w:fill="auto"/>
            <w:noWrap/>
            <w:vAlign w:val="center"/>
            <w:hideMark/>
          </w:tcPr>
          <w:p w14:paraId="63CB4FD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-1.11%</w:t>
            </w:r>
          </w:p>
        </w:tc>
        <w:tc>
          <w:tcPr>
            <w:tcW w:w="1445" w:type="dxa"/>
            <w:tcBorders>
              <w:top w:val="nil"/>
              <w:left w:val="nil"/>
              <w:bottom w:val="single" w:sz="8" w:space="0" w:color="auto"/>
              <w:right w:val="nil"/>
            </w:tcBorders>
            <w:shd w:val="clear" w:color="auto" w:fill="auto"/>
            <w:noWrap/>
            <w:vAlign w:val="center"/>
            <w:hideMark/>
          </w:tcPr>
          <w:p w14:paraId="09C3C700"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-2.39%</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36B60C30"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-2.20%</w:t>
            </w:r>
          </w:p>
        </w:tc>
        <w:tc>
          <w:tcPr>
            <w:tcW w:w="960" w:type="dxa"/>
            <w:tcBorders>
              <w:top w:val="nil"/>
              <w:left w:val="single" w:sz="4" w:space="0" w:color="auto"/>
              <w:bottom w:val="single" w:sz="8" w:space="0" w:color="auto"/>
              <w:right w:val="nil"/>
            </w:tcBorders>
            <w:shd w:val="clear" w:color="auto" w:fill="auto"/>
            <w:noWrap/>
            <w:vAlign w:val="center"/>
            <w:hideMark/>
          </w:tcPr>
          <w:p w14:paraId="00FE6854"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137%</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AF51EA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120%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8A5D917"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112%</w:t>
            </w:r>
          </w:p>
        </w:tc>
      </w:tr>
      <w:tr w:rsidR="004F0937" w:rsidRPr="004F0937" w14:paraId="5C76DF1F"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5E77C40A"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1440</w:t>
            </w:r>
          </w:p>
        </w:tc>
        <w:tc>
          <w:tcPr>
            <w:tcW w:w="1124" w:type="dxa"/>
            <w:tcBorders>
              <w:top w:val="nil"/>
              <w:left w:val="nil"/>
              <w:bottom w:val="single" w:sz="8" w:space="0" w:color="auto"/>
              <w:right w:val="nil"/>
            </w:tcBorders>
            <w:shd w:val="clear" w:color="auto" w:fill="auto"/>
            <w:noWrap/>
            <w:vAlign w:val="center"/>
            <w:hideMark/>
          </w:tcPr>
          <w:p w14:paraId="33A8A7B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-1.02%</w:t>
            </w:r>
          </w:p>
        </w:tc>
        <w:tc>
          <w:tcPr>
            <w:tcW w:w="1445" w:type="dxa"/>
            <w:tcBorders>
              <w:top w:val="nil"/>
              <w:left w:val="nil"/>
              <w:bottom w:val="single" w:sz="8" w:space="0" w:color="auto"/>
              <w:right w:val="nil"/>
            </w:tcBorders>
            <w:shd w:val="clear" w:color="auto" w:fill="auto"/>
            <w:noWrap/>
            <w:vAlign w:val="center"/>
            <w:hideMark/>
          </w:tcPr>
          <w:p w14:paraId="68363F5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-2.44%</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0429BB9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-2.14%</w:t>
            </w:r>
          </w:p>
        </w:tc>
        <w:tc>
          <w:tcPr>
            <w:tcW w:w="960" w:type="dxa"/>
            <w:tcBorders>
              <w:top w:val="nil"/>
              <w:left w:val="single" w:sz="4" w:space="0" w:color="auto"/>
              <w:bottom w:val="single" w:sz="8" w:space="0" w:color="auto"/>
              <w:right w:val="nil"/>
            </w:tcBorders>
            <w:shd w:val="clear" w:color="auto" w:fill="auto"/>
            <w:noWrap/>
            <w:vAlign w:val="center"/>
            <w:hideMark/>
          </w:tcPr>
          <w:p w14:paraId="500F2DEE"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143%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161F0A1"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126%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5594347"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115%</w:t>
            </w:r>
          </w:p>
        </w:tc>
      </w:tr>
      <w:tr w:rsidR="004F0937" w:rsidRPr="004F0937" w14:paraId="3551B9E0"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575A8A6B"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1472</w:t>
            </w:r>
          </w:p>
        </w:tc>
        <w:tc>
          <w:tcPr>
            <w:tcW w:w="1124" w:type="dxa"/>
            <w:tcBorders>
              <w:top w:val="nil"/>
              <w:left w:val="nil"/>
              <w:bottom w:val="single" w:sz="8" w:space="0" w:color="auto"/>
              <w:right w:val="nil"/>
            </w:tcBorders>
            <w:shd w:val="clear" w:color="auto" w:fill="auto"/>
            <w:noWrap/>
            <w:vAlign w:val="center"/>
            <w:hideMark/>
          </w:tcPr>
          <w:p w14:paraId="477D02C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-1.25%</w:t>
            </w:r>
          </w:p>
        </w:tc>
        <w:tc>
          <w:tcPr>
            <w:tcW w:w="1445" w:type="dxa"/>
            <w:tcBorders>
              <w:top w:val="single" w:sz="8" w:space="0" w:color="auto"/>
              <w:left w:val="nil"/>
              <w:bottom w:val="single" w:sz="8" w:space="0" w:color="auto"/>
              <w:right w:val="nil"/>
            </w:tcBorders>
            <w:shd w:val="clear" w:color="000000" w:fill="CCFFCC"/>
            <w:noWrap/>
            <w:vAlign w:val="center"/>
            <w:hideMark/>
          </w:tcPr>
          <w:p w14:paraId="21DFCF27"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4F0937">
              <w:rPr>
                <w:rFonts w:ascii="Arial" w:hAnsi="Arial" w:cs="Arial"/>
                <w:sz w:val="18"/>
                <w:szCs w:val="18"/>
                <w:lang w:val="en-IN" w:eastAsia="ja-JP"/>
              </w:rPr>
              <w:t>-3.27%</w:t>
            </w:r>
          </w:p>
        </w:tc>
        <w:tc>
          <w:tcPr>
            <w:tcW w:w="1445" w:type="dxa"/>
            <w:tcBorders>
              <w:top w:val="single" w:sz="8" w:space="0" w:color="auto"/>
              <w:left w:val="nil"/>
              <w:bottom w:val="single" w:sz="8" w:space="0" w:color="auto"/>
              <w:right w:val="single" w:sz="8" w:space="0" w:color="auto"/>
            </w:tcBorders>
            <w:shd w:val="clear" w:color="auto" w:fill="auto"/>
            <w:noWrap/>
            <w:vAlign w:val="center"/>
            <w:hideMark/>
          </w:tcPr>
          <w:p w14:paraId="221ADC9E"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-2.92%</w:t>
            </w:r>
          </w:p>
        </w:tc>
        <w:tc>
          <w:tcPr>
            <w:tcW w:w="960" w:type="dxa"/>
            <w:tcBorders>
              <w:top w:val="nil"/>
              <w:left w:val="single" w:sz="4" w:space="0" w:color="auto"/>
              <w:bottom w:val="single" w:sz="8" w:space="0" w:color="auto"/>
              <w:right w:val="nil"/>
            </w:tcBorders>
            <w:shd w:val="clear" w:color="auto" w:fill="auto"/>
            <w:noWrap/>
            <w:vAlign w:val="center"/>
            <w:hideMark/>
          </w:tcPr>
          <w:p w14:paraId="7B8E5DE1"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150%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FB481B1"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132%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AE02E01"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118%</w:t>
            </w:r>
          </w:p>
        </w:tc>
      </w:tr>
      <w:tr w:rsidR="004F0937" w:rsidRPr="004F0937" w14:paraId="3606374C"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1B54943A"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1504</w:t>
            </w:r>
          </w:p>
        </w:tc>
        <w:tc>
          <w:tcPr>
            <w:tcW w:w="1124" w:type="dxa"/>
            <w:tcBorders>
              <w:top w:val="nil"/>
              <w:left w:val="nil"/>
              <w:bottom w:val="single" w:sz="8" w:space="0" w:color="auto"/>
              <w:right w:val="nil"/>
            </w:tcBorders>
            <w:shd w:val="clear" w:color="auto" w:fill="auto"/>
            <w:noWrap/>
            <w:vAlign w:val="center"/>
            <w:hideMark/>
          </w:tcPr>
          <w:p w14:paraId="16C74459"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-1.21%</w:t>
            </w:r>
          </w:p>
        </w:tc>
        <w:tc>
          <w:tcPr>
            <w:tcW w:w="1445" w:type="dxa"/>
            <w:tcBorders>
              <w:top w:val="single" w:sz="8" w:space="0" w:color="auto"/>
              <w:left w:val="nil"/>
              <w:bottom w:val="single" w:sz="8" w:space="0" w:color="auto"/>
              <w:right w:val="nil"/>
            </w:tcBorders>
            <w:shd w:val="clear" w:color="000000" w:fill="CCFFCC"/>
            <w:noWrap/>
            <w:vAlign w:val="center"/>
            <w:hideMark/>
          </w:tcPr>
          <w:p w14:paraId="7595C48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4F0937">
              <w:rPr>
                <w:rFonts w:ascii="Arial" w:hAnsi="Arial" w:cs="Arial"/>
                <w:sz w:val="18"/>
                <w:szCs w:val="18"/>
                <w:lang w:val="en-IN" w:eastAsia="ja-JP"/>
              </w:rPr>
              <w:t>-3.50%</w:t>
            </w:r>
          </w:p>
        </w:tc>
        <w:tc>
          <w:tcPr>
            <w:tcW w:w="1445" w:type="dxa"/>
            <w:tcBorders>
              <w:top w:val="single" w:sz="8" w:space="0" w:color="auto"/>
              <w:left w:val="nil"/>
              <w:bottom w:val="single" w:sz="8" w:space="0" w:color="auto"/>
              <w:right w:val="single" w:sz="8" w:space="0" w:color="auto"/>
            </w:tcBorders>
            <w:shd w:val="clear" w:color="000000" w:fill="CCFFCC"/>
            <w:noWrap/>
            <w:vAlign w:val="center"/>
            <w:hideMark/>
          </w:tcPr>
          <w:p w14:paraId="0DA2343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4F0937">
              <w:rPr>
                <w:rFonts w:ascii="Arial" w:hAnsi="Arial" w:cs="Arial"/>
                <w:sz w:val="18"/>
                <w:szCs w:val="18"/>
                <w:lang w:val="en-IN" w:eastAsia="ja-JP"/>
              </w:rPr>
              <w:t>-3.32%</w:t>
            </w:r>
          </w:p>
        </w:tc>
        <w:tc>
          <w:tcPr>
            <w:tcW w:w="960" w:type="dxa"/>
            <w:tcBorders>
              <w:top w:val="nil"/>
              <w:left w:val="single" w:sz="4" w:space="0" w:color="auto"/>
              <w:bottom w:val="single" w:sz="8" w:space="0" w:color="auto"/>
              <w:right w:val="nil"/>
            </w:tcBorders>
            <w:shd w:val="clear" w:color="auto" w:fill="auto"/>
            <w:noWrap/>
            <w:vAlign w:val="center"/>
            <w:hideMark/>
          </w:tcPr>
          <w:p w14:paraId="22BAA190"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156%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CD4DAE4"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138%</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CDE44E7"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122%</w:t>
            </w:r>
          </w:p>
        </w:tc>
      </w:tr>
      <w:tr w:rsidR="004F0937" w:rsidRPr="004F0937" w14:paraId="792F162A" w14:textId="77777777" w:rsidTr="00DA395E">
        <w:trPr>
          <w:trHeight w:val="31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27842F3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1536</w:t>
            </w:r>
          </w:p>
        </w:tc>
        <w:tc>
          <w:tcPr>
            <w:tcW w:w="1124" w:type="dxa"/>
            <w:tcBorders>
              <w:top w:val="nil"/>
              <w:left w:val="nil"/>
              <w:bottom w:val="single" w:sz="8" w:space="0" w:color="auto"/>
              <w:right w:val="nil"/>
            </w:tcBorders>
            <w:shd w:val="clear" w:color="auto" w:fill="auto"/>
            <w:noWrap/>
            <w:vAlign w:val="center"/>
            <w:hideMark/>
          </w:tcPr>
          <w:p w14:paraId="1514D55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-1.52%</w:t>
            </w:r>
          </w:p>
        </w:tc>
        <w:tc>
          <w:tcPr>
            <w:tcW w:w="1445" w:type="dxa"/>
            <w:tcBorders>
              <w:top w:val="single" w:sz="8" w:space="0" w:color="auto"/>
              <w:left w:val="nil"/>
              <w:bottom w:val="single" w:sz="8" w:space="0" w:color="auto"/>
              <w:right w:val="nil"/>
            </w:tcBorders>
            <w:shd w:val="clear" w:color="000000" w:fill="CCFFCC"/>
            <w:noWrap/>
            <w:vAlign w:val="center"/>
            <w:hideMark/>
          </w:tcPr>
          <w:p w14:paraId="5B49E59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4F0937">
              <w:rPr>
                <w:rFonts w:ascii="Arial" w:hAnsi="Arial" w:cs="Arial"/>
                <w:sz w:val="18"/>
                <w:szCs w:val="18"/>
                <w:lang w:val="en-IN" w:eastAsia="ja-JP"/>
              </w:rPr>
              <w:t>-4.23%</w:t>
            </w:r>
          </w:p>
        </w:tc>
        <w:tc>
          <w:tcPr>
            <w:tcW w:w="1445" w:type="dxa"/>
            <w:tcBorders>
              <w:top w:val="single" w:sz="8" w:space="0" w:color="auto"/>
              <w:left w:val="nil"/>
              <w:bottom w:val="single" w:sz="8" w:space="0" w:color="auto"/>
              <w:right w:val="single" w:sz="8" w:space="0" w:color="auto"/>
            </w:tcBorders>
            <w:shd w:val="clear" w:color="000000" w:fill="CCFFCC"/>
            <w:noWrap/>
            <w:vAlign w:val="center"/>
            <w:hideMark/>
          </w:tcPr>
          <w:p w14:paraId="3CFAA4E8"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4F0937">
              <w:rPr>
                <w:rFonts w:ascii="Arial" w:hAnsi="Arial" w:cs="Arial"/>
                <w:sz w:val="18"/>
                <w:szCs w:val="18"/>
                <w:lang w:val="en-IN" w:eastAsia="ja-JP"/>
              </w:rPr>
              <w:t>-3.89%</w:t>
            </w:r>
          </w:p>
        </w:tc>
        <w:tc>
          <w:tcPr>
            <w:tcW w:w="960" w:type="dxa"/>
            <w:tcBorders>
              <w:top w:val="nil"/>
              <w:left w:val="single" w:sz="4" w:space="0" w:color="auto"/>
              <w:bottom w:val="single" w:sz="8" w:space="0" w:color="auto"/>
              <w:right w:val="nil"/>
            </w:tcBorders>
            <w:shd w:val="clear" w:color="auto" w:fill="auto"/>
            <w:noWrap/>
            <w:vAlign w:val="center"/>
            <w:hideMark/>
          </w:tcPr>
          <w:p w14:paraId="76952F3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147%</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44085FA"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143%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A60A88D"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125%</w:t>
            </w:r>
          </w:p>
        </w:tc>
      </w:tr>
      <w:tr w:rsidR="004F0937" w:rsidRPr="004F0937" w14:paraId="00F1922F" w14:textId="77777777" w:rsidTr="00DA395E">
        <w:trPr>
          <w:trHeight w:val="315"/>
          <w:jc w:val="center"/>
        </w:trPr>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724D8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IN" w:eastAsia="ja-JP"/>
              </w:rPr>
            </w:pPr>
            <w:r w:rsidRPr="004F0937">
              <w:rPr>
                <w:rFonts w:ascii="Arial" w:hAnsi="Arial" w:cs="Arial"/>
                <w:b/>
                <w:bCs/>
                <w:color w:val="000000"/>
                <w:sz w:val="18"/>
                <w:szCs w:val="18"/>
                <w:lang w:val="en-IN" w:eastAsia="ja-JP"/>
              </w:rPr>
              <w:t>1280 vs 1568</w:t>
            </w:r>
          </w:p>
        </w:tc>
        <w:tc>
          <w:tcPr>
            <w:tcW w:w="1124" w:type="dxa"/>
            <w:tcBorders>
              <w:top w:val="nil"/>
              <w:left w:val="single" w:sz="8" w:space="0" w:color="auto"/>
              <w:bottom w:val="single" w:sz="8" w:space="0" w:color="auto"/>
              <w:right w:val="nil"/>
            </w:tcBorders>
            <w:shd w:val="clear" w:color="auto" w:fill="auto"/>
            <w:noWrap/>
            <w:vAlign w:val="center"/>
            <w:hideMark/>
          </w:tcPr>
          <w:p w14:paraId="22143EA2"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-1.29%</w:t>
            </w:r>
          </w:p>
        </w:tc>
        <w:tc>
          <w:tcPr>
            <w:tcW w:w="1445" w:type="dxa"/>
            <w:tcBorders>
              <w:top w:val="single" w:sz="8" w:space="0" w:color="auto"/>
              <w:left w:val="nil"/>
              <w:bottom w:val="single" w:sz="8" w:space="0" w:color="auto"/>
              <w:right w:val="nil"/>
            </w:tcBorders>
            <w:shd w:val="clear" w:color="000000" w:fill="CCFFCC"/>
            <w:noWrap/>
            <w:vAlign w:val="center"/>
            <w:hideMark/>
          </w:tcPr>
          <w:p w14:paraId="7DB38E7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4F0937">
              <w:rPr>
                <w:rFonts w:ascii="Arial" w:hAnsi="Arial" w:cs="Arial"/>
                <w:sz w:val="18"/>
                <w:szCs w:val="18"/>
                <w:lang w:val="en-IN" w:eastAsia="ja-JP"/>
              </w:rPr>
              <w:t>-4.45%</w:t>
            </w:r>
          </w:p>
        </w:tc>
        <w:tc>
          <w:tcPr>
            <w:tcW w:w="1445" w:type="dxa"/>
            <w:tcBorders>
              <w:top w:val="single" w:sz="8" w:space="0" w:color="auto"/>
              <w:left w:val="nil"/>
              <w:bottom w:val="single" w:sz="8" w:space="0" w:color="auto"/>
              <w:right w:val="single" w:sz="8" w:space="0" w:color="auto"/>
            </w:tcBorders>
            <w:shd w:val="clear" w:color="000000" w:fill="CCFFCC"/>
            <w:noWrap/>
            <w:vAlign w:val="center"/>
            <w:hideMark/>
          </w:tcPr>
          <w:p w14:paraId="6C6E2FBE"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4F0937">
              <w:rPr>
                <w:rFonts w:ascii="Arial" w:hAnsi="Arial" w:cs="Arial"/>
                <w:sz w:val="18"/>
                <w:szCs w:val="18"/>
                <w:lang w:val="en-IN" w:eastAsia="ja-JP"/>
              </w:rPr>
              <w:t>-4.00%</w:t>
            </w:r>
          </w:p>
        </w:tc>
        <w:tc>
          <w:tcPr>
            <w:tcW w:w="960" w:type="dxa"/>
            <w:tcBorders>
              <w:top w:val="nil"/>
              <w:left w:val="single" w:sz="4" w:space="0" w:color="auto"/>
              <w:bottom w:val="single" w:sz="8" w:space="0" w:color="auto"/>
              <w:right w:val="nil"/>
            </w:tcBorders>
            <w:shd w:val="clear" w:color="auto" w:fill="auto"/>
            <w:noWrap/>
            <w:vAlign w:val="center"/>
            <w:hideMark/>
          </w:tcPr>
          <w:p w14:paraId="5A2A803C"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146%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B867383"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150%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00A29C7" w14:textId="77777777" w:rsidR="004F0937" w:rsidRPr="004F0937" w:rsidRDefault="004F0937" w:rsidP="004F0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4F0937">
              <w:rPr>
                <w:rFonts w:ascii="Arial" w:hAnsi="Arial" w:cs="Arial"/>
                <w:color w:val="000000"/>
                <w:sz w:val="18"/>
                <w:szCs w:val="18"/>
                <w:lang w:val="en-IN" w:eastAsia="ja-JP"/>
              </w:rPr>
              <w:t>128%</w:t>
            </w:r>
          </w:p>
        </w:tc>
      </w:tr>
    </w:tbl>
    <w:p w14:paraId="68D9822D" w14:textId="24AB17CF" w:rsidR="004F0937" w:rsidRDefault="00C4196A" w:rsidP="00C4196A">
      <w:pPr>
        <w:jc w:val="center"/>
        <w:rPr>
          <w:lang w:val="en-CA"/>
        </w:rPr>
      </w:pPr>
      <w:r>
        <w:rPr>
          <w:lang w:val="en-CA"/>
        </w:rPr>
        <w:t>Table 1.Coding efficiency at different face sizes as compared to 1280x1280</w:t>
      </w:r>
    </w:p>
    <w:p w14:paraId="52BD31D5" w14:textId="5F26E5DD" w:rsidR="00507E5A" w:rsidRPr="00CA1CAB" w:rsidRDefault="00507E5A" w:rsidP="00CA1CAB">
      <w:pPr>
        <w:jc w:val="right"/>
        <w:rPr>
          <w:sz w:val="20"/>
          <w:lang w:val="en-CA"/>
        </w:rPr>
      </w:pPr>
      <w:r w:rsidRPr="00CA1CAB">
        <w:rPr>
          <w:sz w:val="20"/>
          <w:lang w:val="en-CA"/>
        </w:rPr>
        <w:t xml:space="preserve">*Encoder times are unreliable due to </w:t>
      </w:r>
      <w:r w:rsidR="00900DE9">
        <w:rPr>
          <w:sz w:val="20"/>
          <w:lang w:val="en-CA"/>
        </w:rPr>
        <w:t>cluster computing</w:t>
      </w:r>
      <w:r w:rsidRPr="00CA1CAB">
        <w:rPr>
          <w:sz w:val="20"/>
          <w:lang w:val="en-CA"/>
        </w:rPr>
        <w:t>.</w:t>
      </w:r>
    </w:p>
    <w:p w14:paraId="598D3C37" w14:textId="6AFBC362" w:rsidR="004F0937" w:rsidRDefault="004F0937" w:rsidP="004F0937">
      <w:pPr>
        <w:jc w:val="center"/>
        <w:rPr>
          <w:lang w:val="en-CA"/>
        </w:rPr>
      </w:pPr>
      <w:r>
        <w:rPr>
          <w:noProof/>
          <w:lang w:val="en-IN" w:eastAsia="en-IN"/>
        </w:rPr>
        <w:drawing>
          <wp:inline distT="0" distB="0" distL="0" distR="0" wp14:anchorId="77306CAA" wp14:editId="63EC0650">
            <wp:extent cx="4572000" cy="2743200"/>
            <wp:effectExtent l="0" t="0" r="0" b="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78380F5" w14:textId="6D64DF50" w:rsidR="004F0937" w:rsidRDefault="00EC35B9" w:rsidP="004F0937">
      <w:pPr>
        <w:jc w:val="center"/>
        <w:rPr>
          <w:lang w:val="en-CA"/>
        </w:rPr>
      </w:pPr>
      <w:r>
        <w:rPr>
          <w:lang w:val="en-CA"/>
        </w:rPr>
        <w:t xml:space="preserve">Fig 1. Plot of </w:t>
      </w:r>
      <w:r w:rsidR="00CC112D">
        <w:rPr>
          <w:lang w:val="en-CA"/>
        </w:rPr>
        <w:t xml:space="preserve">average </w:t>
      </w:r>
      <w:r>
        <w:rPr>
          <w:lang w:val="en-CA"/>
        </w:rPr>
        <w:t>coding efficiency at different face sizes for all sequences</w:t>
      </w:r>
    </w:p>
    <w:p w14:paraId="6D3F2B27" w14:textId="095A4B7B" w:rsidR="00E602B6" w:rsidRDefault="00E602B6" w:rsidP="00E602B6">
      <w:pPr>
        <w:jc w:val="center"/>
        <w:rPr>
          <w:lang w:val="en-CA"/>
        </w:rPr>
      </w:pPr>
      <w:r>
        <w:rPr>
          <w:noProof/>
          <w:lang w:val="en-IN" w:eastAsia="en-IN"/>
        </w:rPr>
        <w:drawing>
          <wp:inline distT="0" distB="0" distL="0" distR="0" wp14:anchorId="76F06B4D" wp14:editId="388ED9E5">
            <wp:extent cx="4572000" cy="2743200"/>
            <wp:effectExtent l="0" t="0" r="0" b="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B4DE5F9" w14:textId="7199B719" w:rsidR="00E602B6" w:rsidRDefault="00E602B6" w:rsidP="00E602B6">
      <w:pPr>
        <w:jc w:val="center"/>
        <w:rPr>
          <w:lang w:val="en-CA"/>
        </w:rPr>
      </w:pPr>
      <w:r>
        <w:rPr>
          <w:lang w:val="en-CA"/>
        </w:rPr>
        <w:t xml:space="preserve">Fig 2. Plot of </w:t>
      </w:r>
      <w:r w:rsidR="00CC112D">
        <w:rPr>
          <w:lang w:val="en-CA"/>
        </w:rPr>
        <w:t xml:space="preserve">average </w:t>
      </w:r>
      <w:r>
        <w:rPr>
          <w:lang w:val="en-CA"/>
        </w:rPr>
        <w:t>coding efficiency for different face sizes for Class S1 sequences.</w:t>
      </w:r>
    </w:p>
    <w:p w14:paraId="0F9959A1" w14:textId="0F766002" w:rsidR="00E602B6" w:rsidRDefault="00E602B6" w:rsidP="00E602B6">
      <w:pPr>
        <w:jc w:val="center"/>
        <w:rPr>
          <w:lang w:val="en-CA"/>
        </w:rPr>
      </w:pPr>
      <w:r>
        <w:rPr>
          <w:lang w:val="en-CA"/>
        </w:rPr>
        <w:lastRenderedPageBreak/>
        <w:br/>
      </w:r>
      <w:r>
        <w:rPr>
          <w:noProof/>
          <w:lang w:val="en-IN" w:eastAsia="en-IN"/>
        </w:rPr>
        <w:drawing>
          <wp:inline distT="0" distB="0" distL="0" distR="0" wp14:anchorId="696DCD4B" wp14:editId="79AE7F6F">
            <wp:extent cx="4572000" cy="2743200"/>
            <wp:effectExtent l="0" t="0" r="0"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D066949" w14:textId="6F01D79E" w:rsidR="00E602B6" w:rsidRDefault="00E602B6" w:rsidP="00E602B6">
      <w:pPr>
        <w:jc w:val="center"/>
        <w:rPr>
          <w:lang w:val="en-CA"/>
        </w:rPr>
      </w:pPr>
      <w:r>
        <w:rPr>
          <w:lang w:val="en-CA"/>
        </w:rPr>
        <w:t xml:space="preserve">Fig 3. Plot of </w:t>
      </w:r>
      <w:r w:rsidR="00CC112D">
        <w:rPr>
          <w:lang w:val="en-CA"/>
        </w:rPr>
        <w:t xml:space="preserve">average </w:t>
      </w:r>
      <w:r>
        <w:rPr>
          <w:lang w:val="en-CA"/>
        </w:rPr>
        <w:t>coding efficiency for different face sizes for Class S2 sequences</w:t>
      </w:r>
    </w:p>
    <w:p w14:paraId="0A0541CC" w14:textId="77777777" w:rsidR="00462674" w:rsidRPr="00370590" w:rsidRDefault="00462674" w:rsidP="00E602B6">
      <w:pPr>
        <w:jc w:val="center"/>
        <w:rPr>
          <w:lang w:val="en-CA"/>
        </w:rPr>
      </w:pPr>
    </w:p>
    <w:p w14:paraId="777180EB" w14:textId="5D795AF1" w:rsidR="0074156F" w:rsidRDefault="004F0937" w:rsidP="00F23F1D">
      <w:pPr>
        <w:pStyle w:val="Heading1"/>
        <w:rPr>
          <w:lang w:val="en-CA"/>
        </w:rPr>
      </w:pPr>
      <w:r>
        <w:rPr>
          <w:lang w:val="en-CA"/>
        </w:rPr>
        <w:t>Conclusion</w:t>
      </w:r>
    </w:p>
    <w:p w14:paraId="13A2AF2A" w14:textId="0AD92B69" w:rsidR="004F0937" w:rsidRPr="00370590" w:rsidRDefault="004F0937" w:rsidP="00370590">
      <w:pPr>
        <w:rPr>
          <w:lang w:val="en-CA"/>
        </w:rPr>
      </w:pPr>
      <w:r>
        <w:rPr>
          <w:lang w:val="en-CA"/>
        </w:rPr>
        <w:t>It is observed that the coding efficiency of 360° videos is highly dependent on the face size. Using face size of 1536x1536 shows 1.5% higher coding efficiency at 25% bitrate increase</w:t>
      </w:r>
      <w:r w:rsidR="00E35EE3">
        <w:rPr>
          <w:lang w:val="en-CA"/>
        </w:rPr>
        <w:t xml:space="preserve"> and </w:t>
      </w:r>
      <w:r w:rsidR="00A659BE">
        <w:rPr>
          <w:lang w:val="en-CA"/>
        </w:rPr>
        <w:t>43% higher decoding complexity</w:t>
      </w:r>
      <w:r>
        <w:rPr>
          <w:lang w:val="en-CA"/>
        </w:rPr>
        <w:t xml:space="preserve">. </w:t>
      </w:r>
    </w:p>
    <w:p w14:paraId="7CB9463A" w14:textId="5BBCDCDA" w:rsidR="00370590" w:rsidRPr="00370590" w:rsidRDefault="00370590" w:rsidP="0037059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917DF0" w:rsidR="00342FF4" w:rsidRPr="005B217D" w:rsidRDefault="00F23F1D" w:rsidP="009234A5">
      <w:pPr>
        <w:rPr>
          <w:szCs w:val="22"/>
          <w:lang w:val="en-CA"/>
        </w:rPr>
      </w:pPr>
      <w:r>
        <w:rPr>
          <w:b/>
          <w:szCs w:val="22"/>
          <w:lang w:val="en-CA"/>
        </w:rPr>
        <w:t xml:space="preserve">Samsung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A34D0" w14:textId="77777777" w:rsidR="00E736A4" w:rsidRDefault="00E736A4">
      <w:r>
        <w:separator/>
      </w:r>
    </w:p>
  </w:endnote>
  <w:endnote w:type="continuationSeparator" w:id="0">
    <w:p w14:paraId="1DEBB55A" w14:textId="77777777" w:rsidR="00E736A4" w:rsidRDefault="00E7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2CEB6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5769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41DB">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8A604" w14:textId="77777777" w:rsidR="00E736A4" w:rsidRDefault="00E736A4">
      <w:r>
        <w:separator/>
      </w:r>
    </w:p>
  </w:footnote>
  <w:footnote w:type="continuationSeparator" w:id="0">
    <w:p w14:paraId="368D8511" w14:textId="77777777" w:rsidR="00E736A4" w:rsidRDefault="00E73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262A"/>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2506"/>
    <w:rsid w:val="0013458C"/>
    <w:rsid w:val="0013526E"/>
    <w:rsid w:val="00146152"/>
    <w:rsid w:val="00155526"/>
    <w:rsid w:val="00171371"/>
    <w:rsid w:val="00175A24"/>
    <w:rsid w:val="00187E58"/>
    <w:rsid w:val="001A297E"/>
    <w:rsid w:val="001A368E"/>
    <w:rsid w:val="001A7329"/>
    <w:rsid w:val="001A792F"/>
    <w:rsid w:val="001B3236"/>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6751"/>
    <w:rsid w:val="002F164D"/>
    <w:rsid w:val="003021BC"/>
    <w:rsid w:val="00306206"/>
    <w:rsid w:val="00317D85"/>
    <w:rsid w:val="00321CF4"/>
    <w:rsid w:val="00327C56"/>
    <w:rsid w:val="003315A1"/>
    <w:rsid w:val="003373EC"/>
    <w:rsid w:val="00342FF4"/>
    <w:rsid w:val="00344E5A"/>
    <w:rsid w:val="00346148"/>
    <w:rsid w:val="003669EA"/>
    <w:rsid w:val="00370590"/>
    <w:rsid w:val="003706CC"/>
    <w:rsid w:val="00377710"/>
    <w:rsid w:val="003A2D8E"/>
    <w:rsid w:val="003A7CE6"/>
    <w:rsid w:val="003C20E4"/>
    <w:rsid w:val="003D6342"/>
    <w:rsid w:val="003E6F90"/>
    <w:rsid w:val="003E73ED"/>
    <w:rsid w:val="003F5D0F"/>
    <w:rsid w:val="00412CAE"/>
    <w:rsid w:val="00414101"/>
    <w:rsid w:val="004219CF"/>
    <w:rsid w:val="004234F0"/>
    <w:rsid w:val="00433DDB"/>
    <w:rsid w:val="00435A29"/>
    <w:rsid w:val="00437619"/>
    <w:rsid w:val="0045769C"/>
    <w:rsid w:val="00462674"/>
    <w:rsid w:val="00465A1E"/>
    <w:rsid w:val="0049445A"/>
    <w:rsid w:val="004A2A63"/>
    <w:rsid w:val="004B210C"/>
    <w:rsid w:val="004D405F"/>
    <w:rsid w:val="004E4F4F"/>
    <w:rsid w:val="004E6789"/>
    <w:rsid w:val="004F0937"/>
    <w:rsid w:val="004F61E3"/>
    <w:rsid w:val="00502E10"/>
    <w:rsid w:val="00507E5A"/>
    <w:rsid w:val="0051015C"/>
    <w:rsid w:val="00516CF1"/>
    <w:rsid w:val="00531AE9"/>
    <w:rsid w:val="00550A66"/>
    <w:rsid w:val="00567EC7"/>
    <w:rsid w:val="00570013"/>
    <w:rsid w:val="005753EC"/>
    <w:rsid w:val="005801A2"/>
    <w:rsid w:val="005841DB"/>
    <w:rsid w:val="00593BF1"/>
    <w:rsid w:val="005952A5"/>
    <w:rsid w:val="005A33A1"/>
    <w:rsid w:val="005B217D"/>
    <w:rsid w:val="005C385F"/>
    <w:rsid w:val="005E1AC6"/>
    <w:rsid w:val="005F6F1B"/>
    <w:rsid w:val="0061134C"/>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156F"/>
    <w:rsid w:val="0074393F"/>
    <w:rsid w:val="00745437"/>
    <w:rsid w:val="00745F6B"/>
    <w:rsid w:val="0075175B"/>
    <w:rsid w:val="0075585E"/>
    <w:rsid w:val="00770571"/>
    <w:rsid w:val="007768FF"/>
    <w:rsid w:val="007824D3"/>
    <w:rsid w:val="00796EE3"/>
    <w:rsid w:val="007A7350"/>
    <w:rsid w:val="007A7D29"/>
    <w:rsid w:val="007B4AB8"/>
    <w:rsid w:val="007B7BA6"/>
    <w:rsid w:val="007D1181"/>
    <w:rsid w:val="007E01A3"/>
    <w:rsid w:val="007F1F8B"/>
    <w:rsid w:val="007F67A1"/>
    <w:rsid w:val="00811C05"/>
    <w:rsid w:val="008206C8"/>
    <w:rsid w:val="0086387C"/>
    <w:rsid w:val="00874A6C"/>
    <w:rsid w:val="00876C65"/>
    <w:rsid w:val="008A4B4C"/>
    <w:rsid w:val="008C239F"/>
    <w:rsid w:val="008E480C"/>
    <w:rsid w:val="00900DE9"/>
    <w:rsid w:val="00907757"/>
    <w:rsid w:val="009212B0"/>
    <w:rsid w:val="00921FA1"/>
    <w:rsid w:val="009234A5"/>
    <w:rsid w:val="00933453"/>
    <w:rsid w:val="009336F7"/>
    <w:rsid w:val="0093636C"/>
    <w:rsid w:val="009374A7"/>
    <w:rsid w:val="00955F6D"/>
    <w:rsid w:val="00977C16"/>
    <w:rsid w:val="00984CEB"/>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59BE"/>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4019"/>
    <w:rsid w:val="00B73A2A"/>
    <w:rsid w:val="00B75A51"/>
    <w:rsid w:val="00B827C6"/>
    <w:rsid w:val="00B94B06"/>
    <w:rsid w:val="00B94C28"/>
    <w:rsid w:val="00BC10BA"/>
    <w:rsid w:val="00BC1BB3"/>
    <w:rsid w:val="00BC5AFD"/>
    <w:rsid w:val="00C00DDE"/>
    <w:rsid w:val="00C04F43"/>
    <w:rsid w:val="00C0609D"/>
    <w:rsid w:val="00C115AB"/>
    <w:rsid w:val="00C26CCB"/>
    <w:rsid w:val="00C30249"/>
    <w:rsid w:val="00C3723B"/>
    <w:rsid w:val="00C4196A"/>
    <w:rsid w:val="00C42466"/>
    <w:rsid w:val="00C606C9"/>
    <w:rsid w:val="00C80288"/>
    <w:rsid w:val="00C84003"/>
    <w:rsid w:val="00C90650"/>
    <w:rsid w:val="00C97D78"/>
    <w:rsid w:val="00CA1CAB"/>
    <w:rsid w:val="00CC112D"/>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395E"/>
    <w:rsid w:val="00DA7887"/>
    <w:rsid w:val="00DB2C26"/>
    <w:rsid w:val="00DD02F4"/>
    <w:rsid w:val="00DD6622"/>
    <w:rsid w:val="00DE1C7C"/>
    <w:rsid w:val="00DE626D"/>
    <w:rsid w:val="00DE6B43"/>
    <w:rsid w:val="00E070E6"/>
    <w:rsid w:val="00E11923"/>
    <w:rsid w:val="00E262D4"/>
    <w:rsid w:val="00E33A16"/>
    <w:rsid w:val="00E35EE3"/>
    <w:rsid w:val="00E36250"/>
    <w:rsid w:val="00E47F2D"/>
    <w:rsid w:val="00E54511"/>
    <w:rsid w:val="00E602B6"/>
    <w:rsid w:val="00E60EDC"/>
    <w:rsid w:val="00E61DAC"/>
    <w:rsid w:val="00E72B80"/>
    <w:rsid w:val="00E736A4"/>
    <w:rsid w:val="00E75FE3"/>
    <w:rsid w:val="00E855F5"/>
    <w:rsid w:val="00E86C4C"/>
    <w:rsid w:val="00E907A3"/>
    <w:rsid w:val="00E9273A"/>
    <w:rsid w:val="00EA5AE0"/>
    <w:rsid w:val="00EB56E1"/>
    <w:rsid w:val="00EB7AB1"/>
    <w:rsid w:val="00EC35B9"/>
    <w:rsid w:val="00EE3757"/>
    <w:rsid w:val="00EE7CD8"/>
    <w:rsid w:val="00EF37F6"/>
    <w:rsid w:val="00EF48CC"/>
    <w:rsid w:val="00F00801"/>
    <w:rsid w:val="00F129BF"/>
    <w:rsid w:val="00F21926"/>
    <w:rsid w:val="00F23F1D"/>
    <w:rsid w:val="00F2488D"/>
    <w:rsid w:val="00F601A0"/>
    <w:rsid w:val="00F712E9"/>
    <w:rsid w:val="00F73032"/>
    <w:rsid w:val="00F848FC"/>
    <w:rsid w:val="00F906F6"/>
    <w:rsid w:val="00F9282A"/>
    <w:rsid w:val="00F96BAD"/>
    <w:rsid w:val="00FA139D"/>
    <w:rsid w:val="00FA5A8E"/>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211649">
      <w:bodyDiv w:val="1"/>
      <w:marLeft w:val="0"/>
      <w:marRight w:val="0"/>
      <w:marTop w:val="0"/>
      <w:marBottom w:val="0"/>
      <w:divBdr>
        <w:top w:val="none" w:sz="0" w:space="0" w:color="auto"/>
        <w:left w:val="none" w:sz="0" w:space="0" w:color="auto"/>
        <w:bottom w:val="none" w:sz="0" w:space="0" w:color="auto"/>
        <w:right w:val="none" w:sz="0" w:space="0" w:color="auto"/>
      </w:divBdr>
    </w:div>
    <w:div w:id="351495114">
      <w:bodyDiv w:val="1"/>
      <w:marLeft w:val="0"/>
      <w:marRight w:val="0"/>
      <w:marTop w:val="0"/>
      <w:marBottom w:val="0"/>
      <w:divBdr>
        <w:top w:val="none" w:sz="0" w:space="0" w:color="auto"/>
        <w:left w:val="none" w:sz="0" w:space="0" w:color="auto"/>
        <w:bottom w:val="none" w:sz="0" w:space="0" w:color="auto"/>
        <w:right w:val="none" w:sz="0" w:space="0" w:color="auto"/>
      </w:divBdr>
    </w:div>
    <w:div w:id="381178101">
      <w:bodyDiv w:val="1"/>
      <w:marLeft w:val="0"/>
      <w:marRight w:val="0"/>
      <w:marTop w:val="0"/>
      <w:marBottom w:val="0"/>
      <w:divBdr>
        <w:top w:val="none" w:sz="0" w:space="0" w:color="auto"/>
        <w:left w:val="none" w:sz="0" w:space="0" w:color="auto"/>
        <w:bottom w:val="none" w:sz="0" w:space="0" w:color="auto"/>
        <w:right w:val="none" w:sz="0" w:space="0" w:color="auto"/>
      </w:divBdr>
    </w:div>
    <w:div w:id="423961689">
      <w:bodyDiv w:val="1"/>
      <w:marLeft w:val="0"/>
      <w:marRight w:val="0"/>
      <w:marTop w:val="0"/>
      <w:marBottom w:val="0"/>
      <w:divBdr>
        <w:top w:val="none" w:sz="0" w:space="0" w:color="auto"/>
        <w:left w:val="none" w:sz="0" w:space="0" w:color="auto"/>
        <w:bottom w:val="none" w:sz="0" w:space="0" w:color="auto"/>
        <w:right w:val="none" w:sz="0" w:space="0" w:color="auto"/>
      </w:divBdr>
    </w:div>
    <w:div w:id="53808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559469">
      <w:bodyDiv w:val="1"/>
      <w:marLeft w:val="0"/>
      <w:marRight w:val="0"/>
      <w:marTop w:val="0"/>
      <w:marBottom w:val="0"/>
      <w:divBdr>
        <w:top w:val="none" w:sz="0" w:space="0" w:color="auto"/>
        <w:left w:val="none" w:sz="0" w:space="0" w:color="auto"/>
        <w:bottom w:val="none" w:sz="0" w:space="0" w:color="auto"/>
        <w:right w:val="none" w:sz="0" w:space="0" w:color="auto"/>
      </w:divBdr>
    </w:div>
    <w:div w:id="197501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j.gadde@samsung.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chirag.p@samsung.com" TargetMode="External"/><Relationship Id="rId4" Type="http://schemas.openxmlformats.org/officeDocument/2006/relationships/webSettings" Target="webSettings.xml"/><Relationship Id="rId9" Type="http://schemas.openxmlformats.org/officeDocument/2006/relationships/hyperlink" Target="mailto:amith.ds@samsung.com"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Overall E2E WS-PSNR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Sheet2!$N$2</c:f>
              <c:strCache>
                <c:ptCount val="1"/>
                <c:pt idx="0">
                  <c:v>Y</c:v>
                </c:pt>
              </c:strCache>
            </c:strRef>
          </c:tx>
          <c:spPr>
            <a:ln w="28575" cap="rnd">
              <a:solidFill>
                <a:schemeClr val="accent1"/>
              </a:solidFill>
              <a:round/>
            </a:ln>
            <a:effectLst/>
          </c:spPr>
          <c:marker>
            <c:symbol val="none"/>
          </c:marker>
          <c:cat>
            <c:numRef>
              <c:f>Sheet2!$M$3:$M$21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Sheet2!$N$3:$N$21</c:f>
              <c:numCache>
                <c:formatCode>0.00%</c:formatCode>
                <c:ptCount val="19"/>
                <c:pt idx="0">
                  <c:v>2.4905391812049892E-2</c:v>
                </c:pt>
                <c:pt idx="1">
                  <c:v>2.3572661523426075E-2</c:v>
                </c:pt>
                <c:pt idx="2">
                  <c:v>1.9107266981469539E-2</c:v>
                </c:pt>
                <c:pt idx="3">
                  <c:v>1.6564986079902911E-2</c:v>
                </c:pt>
                <c:pt idx="4">
                  <c:v>1.1037399353213129E-2</c:v>
                </c:pt>
                <c:pt idx="5">
                  <c:v>1.0695458082030141E-2</c:v>
                </c:pt>
                <c:pt idx="6">
                  <c:v>6.8249122930670088E-3</c:v>
                </c:pt>
                <c:pt idx="7">
                  <c:v>5.147394052337018E-3</c:v>
                </c:pt>
                <c:pt idx="8">
                  <c:v>0</c:v>
                </c:pt>
                <c:pt idx="9">
                  <c:v>9.6431212128044179E-4</c:v>
                </c:pt>
                <c:pt idx="10">
                  <c:v>-2.3786596367448174E-3</c:v>
                </c:pt>
                <c:pt idx="11">
                  <c:v>-5.984167659184747E-3</c:v>
                </c:pt>
                <c:pt idx="12">
                  <c:v>-6.6934265023428918E-3</c:v>
                </c:pt>
                <c:pt idx="13">
                  <c:v>-1.1080982427930985E-2</c:v>
                </c:pt>
                <c:pt idx="14">
                  <c:v>-1.0244448114625649E-2</c:v>
                </c:pt>
                <c:pt idx="15">
                  <c:v>-1.253291102690679E-2</c:v>
                </c:pt>
                <c:pt idx="16">
                  <c:v>-1.2118041028071357E-2</c:v>
                </c:pt>
                <c:pt idx="17">
                  <c:v>-1.516422090044316E-2</c:v>
                </c:pt>
                <c:pt idx="18">
                  <c:v>-1.285184676276353E-2</c:v>
                </c:pt>
              </c:numCache>
            </c:numRef>
          </c:val>
          <c:smooth val="0"/>
          <c:extLst>
            <c:ext xmlns:c16="http://schemas.microsoft.com/office/drawing/2014/chart" uri="{C3380CC4-5D6E-409C-BE32-E72D297353CC}">
              <c16:uniqueId val="{00000000-D057-48DA-AE92-AEA42BE70365}"/>
            </c:ext>
          </c:extLst>
        </c:ser>
        <c:ser>
          <c:idx val="1"/>
          <c:order val="1"/>
          <c:tx>
            <c:strRef>
              <c:f>Sheet2!$O$2</c:f>
              <c:strCache>
                <c:ptCount val="1"/>
                <c:pt idx="0">
                  <c:v>U</c:v>
                </c:pt>
              </c:strCache>
            </c:strRef>
          </c:tx>
          <c:spPr>
            <a:ln w="28575" cap="rnd">
              <a:solidFill>
                <a:schemeClr val="accent2"/>
              </a:solidFill>
              <a:round/>
            </a:ln>
            <a:effectLst/>
          </c:spPr>
          <c:marker>
            <c:symbol val="none"/>
          </c:marker>
          <c:cat>
            <c:numRef>
              <c:f>Sheet2!$M$3:$M$21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Sheet2!$O$3:$O$21</c:f>
              <c:numCache>
                <c:formatCode>0.00%</c:formatCode>
                <c:ptCount val="19"/>
                <c:pt idx="0">
                  <c:v>3.0743306052061437E-2</c:v>
                </c:pt>
                <c:pt idx="1">
                  <c:v>3.1445960845790141E-2</c:v>
                </c:pt>
                <c:pt idx="2">
                  <c:v>2.5495387484399369E-2</c:v>
                </c:pt>
                <c:pt idx="3">
                  <c:v>2.4538354724994927E-2</c:v>
                </c:pt>
                <c:pt idx="4">
                  <c:v>1.5858420201566959E-2</c:v>
                </c:pt>
                <c:pt idx="5">
                  <c:v>1.6468691884289344E-2</c:v>
                </c:pt>
                <c:pt idx="6">
                  <c:v>1.1473761673756289E-2</c:v>
                </c:pt>
                <c:pt idx="7">
                  <c:v>9.0810615824123975E-3</c:v>
                </c:pt>
                <c:pt idx="8">
                  <c:v>0</c:v>
                </c:pt>
                <c:pt idx="9">
                  <c:v>3.2934768446729935E-3</c:v>
                </c:pt>
                <c:pt idx="10">
                  <c:v>-3.0999234098494253E-3</c:v>
                </c:pt>
                <c:pt idx="11">
                  <c:v>-1.0757340523912385E-2</c:v>
                </c:pt>
                <c:pt idx="12">
                  <c:v>-1.3217465024111696E-2</c:v>
                </c:pt>
                <c:pt idx="13">
                  <c:v>-2.3932232224234851E-2</c:v>
                </c:pt>
                <c:pt idx="14">
                  <c:v>-2.4415115975444303E-2</c:v>
                </c:pt>
                <c:pt idx="15">
                  <c:v>-3.2655173703090568E-2</c:v>
                </c:pt>
                <c:pt idx="16">
                  <c:v>-3.4973931076143605E-2</c:v>
                </c:pt>
                <c:pt idx="17">
                  <c:v>-4.2302473536895216E-2</c:v>
                </c:pt>
                <c:pt idx="18">
                  <c:v>-4.4534332465519841E-2</c:v>
                </c:pt>
              </c:numCache>
            </c:numRef>
          </c:val>
          <c:smooth val="0"/>
          <c:extLst>
            <c:ext xmlns:c16="http://schemas.microsoft.com/office/drawing/2014/chart" uri="{C3380CC4-5D6E-409C-BE32-E72D297353CC}">
              <c16:uniqueId val="{00000001-D057-48DA-AE92-AEA42BE70365}"/>
            </c:ext>
          </c:extLst>
        </c:ser>
        <c:ser>
          <c:idx val="2"/>
          <c:order val="2"/>
          <c:tx>
            <c:strRef>
              <c:f>Sheet2!$P$2</c:f>
              <c:strCache>
                <c:ptCount val="1"/>
                <c:pt idx="0">
                  <c:v>V</c:v>
                </c:pt>
              </c:strCache>
            </c:strRef>
          </c:tx>
          <c:spPr>
            <a:ln w="28575" cap="rnd">
              <a:solidFill>
                <a:schemeClr val="accent3"/>
              </a:solidFill>
              <a:round/>
            </a:ln>
            <a:effectLst/>
          </c:spPr>
          <c:marker>
            <c:symbol val="none"/>
          </c:marker>
          <c:cat>
            <c:numRef>
              <c:f>Sheet2!$M$3:$M$21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Sheet2!$P$3:$P$21</c:f>
              <c:numCache>
                <c:formatCode>0.00%</c:formatCode>
                <c:ptCount val="19"/>
                <c:pt idx="0">
                  <c:v>2.8153412238197249E-2</c:v>
                </c:pt>
                <c:pt idx="1">
                  <c:v>3.1201760293339341E-2</c:v>
                </c:pt>
                <c:pt idx="2">
                  <c:v>2.4400863297260676E-2</c:v>
                </c:pt>
                <c:pt idx="3">
                  <c:v>2.3763675691122588E-2</c:v>
                </c:pt>
                <c:pt idx="4">
                  <c:v>1.3717570541823477E-2</c:v>
                </c:pt>
                <c:pt idx="5">
                  <c:v>1.6265538603548825E-2</c:v>
                </c:pt>
                <c:pt idx="6">
                  <c:v>1.0805909036373795E-2</c:v>
                </c:pt>
                <c:pt idx="7">
                  <c:v>1.0382065677371965E-2</c:v>
                </c:pt>
                <c:pt idx="8">
                  <c:v>0</c:v>
                </c:pt>
                <c:pt idx="9">
                  <c:v>5.3639194419654035E-3</c:v>
                </c:pt>
                <c:pt idx="10">
                  <c:v>-2.7632087707730401E-3</c:v>
                </c:pt>
                <c:pt idx="11">
                  <c:v>-9.9590264452849679E-3</c:v>
                </c:pt>
                <c:pt idx="12">
                  <c:v>-1.1627913000648782E-2</c:v>
                </c:pt>
                <c:pt idx="13">
                  <c:v>-2.2007952542427555E-2</c:v>
                </c:pt>
                <c:pt idx="14">
                  <c:v>-2.1352187149904289E-2</c:v>
                </c:pt>
                <c:pt idx="15">
                  <c:v>-2.9156298113250479E-2</c:v>
                </c:pt>
                <c:pt idx="16">
                  <c:v>-3.3155471524904355E-2</c:v>
                </c:pt>
                <c:pt idx="17">
                  <c:v>-3.8877273671707624E-2</c:v>
                </c:pt>
                <c:pt idx="18">
                  <c:v>-3.9967751192402722E-2</c:v>
                </c:pt>
              </c:numCache>
            </c:numRef>
          </c:val>
          <c:smooth val="0"/>
          <c:extLst>
            <c:ext xmlns:c16="http://schemas.microsoft.com/office/drawing/2014/chart" uri="{C3380CC4-5D6E-409C-BE32-E72D297353CC}">
              <c16:uniqueId val="{00000002-D057-48DA-AE92-AEA42BE70365}"/>
            </c:ext>
          </c:extLst>
        </c:ser>
        <c:dLbls>
          <c:showLegendKey val="0"/>
          <c:showVal val="0"/>
          <c:showCatName val="0"/>
          <c:showSerName val="0"/>
          <c:showPercent val="0"/>
          <c:showBubbleSize val="0"/>
        </c:dLbls>
        <c:smooth val="0"/>
        <c:axId val="1709782399"/>
        <c:axId val="1709783231"/>
      </c:lineChart>
      <c:catAx>
        <c:axId val="17097823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09783231"/>
        <c:crosses val="autoZero"/>
        <c:auto val="1"/>
        <c:lblAlgn val="ctr"/>
        <c:lblOffset val="100"/>
        <c:noMultiLvlLbl val="0"/>
      </c:catAx>
      <c:valAx>
        <c:axId val="170978323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097823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Class S1 </a:t>
            </a:r>
            <a:r>
              <a:rPr lang="en-IN" sz="1400" b="0" i="0" u="none" strike="noStrike" baseline="0">
                <a:effectLst/>
              </a:rPr>
              <a:t>E2E WS-PSNR</a:t>
            </a:r>
            <a:endParaRPr lang="en-I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Sheet2!$B$2</c:f>
              <c:strCache>
                <c:ptCount val="1"/>
                <c:pt idx="0">
                  <c:v>Y</c:v>
                </c:pt>
              </c:strCache>
            </c:strRef>
          </c:tx>
          <c:spPr>
            <a:ln w="28575" cap="rnd">
              <a:solidFill>
                <a:schemeClr val="accent1"/>
              </a:solidFill>
              <a:round/>
            </a:ln>
            <a:effectLst/>
          </c:spPr>
          <c:marker>
            <c:symbol val="none"/>
          </c:marker>
          <c:cat>
            <c:numRef>
              <c:f>Sheet2!$A$3:$A$21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Sheet2!$B$3:$B$21</c:f>
              <c:numCache>
                <c:formatCode>0.00%</c:formatCode>
                <c:ptCount val="19"/>
                <c:pt idx="0">
                  <c:v>3.1723648173118048E-2</c:v>
                </c:pt>
                <c:pt idx="1">
                  <c:v>2.8584547716186237E-2</c:v>
                </c:pt>
                <c:pt idx="2">
                  <c:v>2.3255604701254096E-2</c:v>
                </c:pt>
                <c:pt idx="3">
                  <c:v>1.9684854095595578E-2</c:v>
                </c:pt>
                <c:pt idx="4">
                  <c:v>1.3737840605917503E-2</c:v>
                </c:pt>
                <c:pt idx="5">
                  <c:v>1.2262727032479622E-2</c:v>
                </c:pt>
                <c:pt idx="6">
                  <c:v>7.6619198289799018E-3</c:v>
                </c:pt>
                <c:pt idx="7">
                  <c:v>4.8690797718097629E-3</c:v>
                </c:pt>
                <c:pt idx="8">
                  <c:v>0</c:v>
                </c:pt>
                <c:pt idx="9">
                  <c:v>-2.9681266967470272E-5</c:v>
                </c:pt>
                <c:pt idx="10">
                  <c:v>-4.8972575870904755E-3</c:v>
                </c:pt>
                <c:pt idx="11">
                  <c:v>-8.3470771711219305E-3</c:v>
                </c:pt>
                <c:pt idx="12">
                  <c:v>-1.0257990009287213E-2</c:v>
                </c:pt>
                <c:pt idx="13">
                  <c:v>-1.4756361078744914E-2</c:v>
                </c:pt>
                <c:pt idx="14">
                  <c:v>-1.5141514767885667E-2</c:v>
                </c:pt>
                <c:pt idx="15">
                  <c:v>-1.7814093252148482E-2</c:v>
                </c:pt>
                <c:pt idx="16">
                  <c:v>-1.8195460266396107E-2</c:v>
                </c:pt>
                <c:pt idx="17">
                  <c:v>-2.0869603214717442E-2</c:v>
                </c:pt>
                <c:pt idx="18">
                  <c:v>-1.9773284629205745E-2</c:v>
                </c:pt>
              </c:numCache>
            </c:numRef>
          </c:val>
          <c:smooth val="0"/>
          <c:extLst>
            <c:ext xmlns:c16="http://schemas.microsoft.com/office/drawing/2014/chart" uri="{C3380CC4-5D6E-409C-BE32-E72D297353CC}">
              <c16:uniqueId val="{00000000-0568-43C7-B405-9D1D133E46F6}"/>
            </c:ext>
          </c:extLst>
        </c:ser>
        <c:ser>
          <c:idx val="1"/>
          <c:order val="1"/>
          <c:tx>
            <c:strRef>
              <c:f>Sheet2!$C$2</c:f>
              <c:strCache>
                <c:ptCount val="1"/>
                <c:pt idx="0">
                  <c:v>U</c:v>
                </c:pt>
              </c:strCache>
            </c:strRef>
          </c:tx>
          <c:spPr>
            <a:ln w="28575" cap="rnd">
              <a:solidFill>
                <a:schemeClr val="accent2"/>
              </a:solidFill>
              <a:round/>
            </a:ln>
            <a:effectLst/>
          </c:spPr>
          <c:marker>
            <c:symbol val="none"/>
          </c:marker>
          <c:cat>
            <c:numRef>
              <c:f>Sheet2!$A$3:$A$21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Sheet2!$C$3:$C$21</c:f>
              <c:numCache>
                <c:formatCode>0.00%</c:formatCode>
                <c:ptCount val="19"/>
                <c:pt idx="0">
                  <c:v>2.1993477458161454E-2</c:v>
                </c:pt>
                <c:pt idx="1">
                  <c:v>2.259551765095184E-2</c:v>
                </c:pt>
                <c:pt idx="2">
                  <c:v>1.7764553178049296E-2</c:v>
                </c:pt>
                <c:pt idx="3">
                  <c:v>1.7945424608123612E-2</c:v>
                </c:pt>
                <c:pt idx="4">
                  <c:v>1.0801291763888554E-2</c:v>
                </c:pt>
                <c:pt idx="5">
                  <c:v>1.2420866926696342E-2</c:v>
                </c:pt>
                <c:pt idx="6">
                  <c:v>8.9193145221249468E-3</c:v>
                </c:pt>
                <c:pt idx="7">
                  <c:v>7.8686996659141171E-3</c:v>
                </c:pt>
                <c:pt idx="8">
                  <c:v>0</c:v>
                </c:pt>
                <c:pt idx="9">
                  <c:v>3.5339092508496575E-3</c:v>
                </c:pt>
                <c:pt idx="10">
                  <c:v>-5.4240267859382663E-4</c:v>
                </c:pt>
                <c:pt idx="11">
                  <c:v>-6.5830543193643454E-3</c:v>
                </c:pt>
                <c:pt idx="12">
                  <c:v>-7.7379894127654891E-3</c:v>
                </c:pt>
                <c:pt idx="13">
                  <c:v>-1.5484667134643193E-2</c:v>
                </c:pt>
                <c:pt idx="14">
                  <c:v>-1.4668752137276364E-2</c:v>
                </c:pt>
                <c:pt idx="15">
                  <c:v>-2.1447421380404286E-2</c:v>
                </c:pt>
                <c:pt idx="16">
                  <c:v>-2.2369747663698109E-2</c:v>
                </c:pt>
                <c:pt idx="17">
                  <c:v>-2.7747534401252199E-2</c:v>
                </c:pt>
                <c:pt idx="18">
                  <c:v>-2.8470585709248947E-2</c:v>
                </c:pt>
              </c:numCache>
            </c:numRef>
          </c:val>
          <c:smooth val="0"/>
          <c:extLst>
            <c:ext xmlns:c16="http://schemas.microsoft.com/office/drawing/2014/chart" uri="{C3380CC4-5D6E-409C-BE32-E72D297353CC}">
              <c16:uniqueId val="{00000001-0568-43C7-B405-9D1D133E46F6}"/>
            </c:ext>
          </c:extLst>
        </c:ser>
        <c:ser>
          <c:idx val="2"/>
          <c:order val="2"/>
          <c:tx>
            <c:strRef>
              <c:f>Sheet2!$D$2</c:f>
              <c:strCache>
                <c:ptCount val="1"/>
                <c:pt idx="0">
                  <c:v>V</c:v>
                </c:pt>
              </c:strCache>
            </c:strRef>
          </c:tx>
          <c:spPr>
            <a:ln w="28575" cap="rnd">
              <a:solidFill>
                <a:schemeClr val="accent3"/>
              </a:solidFill>
              <a:round/>
            </a:ln>
            <a:effectLst/>
          </c:spPr>
          <c:marker>
            <c:symbol val="none"/>
          </c:marker>
          <c:cat>
            <c:numRef>
              <c:f>Sheet2!$A$3:$A$21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Sheet2!$D$3:$D$21</c:f>
              <c:numCache>
                <c:formatCode>0.00%</c:formatCode>
                <c:ptCount val="19"/>
                <c:pt idx="0">
                  <c:v>1.9539184705475554E-2</c:v>
                </c:pt>
                <c:pt idx="1">
                  <c:v>2.3509244122932722E-2</c:v>
                </c:pt>
                <c:pt idx="2">
                  <c:v>1.67477220120054E-2</c:v>
                </c:pt>
                <c:pt idx="3">
                  <c:v>1.8538761952908305E-2</c:v>
                </c:pt>
                <c:pt idx="4">
                  <c:v>9.3288754864416425E-3</c:v>
                </c:pt>
                <c:pt idx="5">
                  <c:v>1.3118854910261324E-2</c:v>
                </c:pt>
                <c:pt idx="6">
                  <c:v>9.1742713962806501E-3</c:v>
                </c:pt>
                <c:pt idx="7">
                  <c:v>8.7180429379631521E-3</c:v>
                </c:pt>
                <c:pt idx="8">
                  <c:v>0</c:v>
                </c:pt>
                <c:pt idx="9">
                  <c:v>7.2185475810841266E-3</c:v>
                </c:pt>
                <c:pt idx="10">
                  <c:v>-1.1238085610606647E-3</c:v>
                </c:pt>
                <c:pt idx="11">
                  <c:v>-5.842260554486149E-3</c:v>
                </c:pt>
                <c:pt idx="12">
                  <c:v>-6.3217631118643132E-3</c:v>
                </c:pt>
                <c:pt idx="13">
                  <c:v>-1.3668263132691908E-2</c:v>
                </c:pt>
                <c:pt idx="14">
                  <c:v>-1.2060629743569288E-2</c:v>
                </c:pt>
                <c:pt idx="15">
                  <c:v>-1.7939970109993986E-2</c:v>
                </c:pt>
                <c:pt idx="16">
                  <c:v>-2.1122379753219955E-2</c:v>
                </c:pt>
                <c:pt idx="17">
                  <c:v>-2.4181294065124242E-2</c:v>
                </c:pt>
                <c:pt idx="18">
                  <c:v>-2.4963962276903468E-2</c:v>
                </c:pt>
              </c:numCache>
            </c:numRef>
          </c:val>
          <c:smooth val="0"/>
          <c:extLst>
            <c:ext xmlns:c16="http://schemas.microsoft.com/office/drawing/2014/chart" uri="{C3380CC4-5D6E-409C-BE32-E72D297353CC}">
              <c16:uniqueId val="{00000002-0568-43C7-B405-9D1D133E46F6}"/>
            </c:ext>
          </c:extLst>
        </c:ser>
        <c:dLbls>
          <c:showLegendKey val="0"/>
          <c:showVal val="0"/>
          <c:showCatName val="0"/>
          <c:showSerName val="0"/>
          <c:showPercent val="0"/>
          <c:showBubbleSize val="0"/>
        </c:dLbls>
        <c:smooth val="0"/>
        <c:axId val="1604837775"/>
        <c:axId val="1604838191"/>
      </c:lineChart>
      <c:catAx>
        <c:axId val="16048377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4838191"/>
        <c:crosses val="autoZero"/>
        <c:auto val="1"/>
        <c:lblAlgn val="ctr"/>
        <c:lblOffset val="100"/>
        <c:noMultiLvlLbl val="0"/>
      </c:catAx>
      <c:valAx>
        <c:axId val="160483819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4837775"/>
        <c:crosses val="autoZero"/>
        <c:crossBetween val="between"/>
      </c:valAx>
      <c:spPr>
        <a:noFill/>
        <a:ln>
          <a:noFill/>
        </a:ln>
        <a:effectLst/>
      </c:spPr>
    </c:plotArea>
    <c:legend>
      <c:legendPos val="b"/>
      <c:layout>
        <c:manualLayout>
          <c:xMode val="edge"/>
          <c:yMode val="edge"/>
          <c:x val="0.35455818022747154"/>
          <c:y val="0.85705963837853605"/>
          <c:w val="0.29088363954505686"/>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Class</a:t>
            </a:r>
            <a:r>
              <a:rPr lang="en-IN" baseline="0"/>
              <a:t> S2 </a:t>
            </a:r>
            <a:r>
              <a:rPr lang="en-IN" sz="1400" b="0" i="0" u="none" strike="noStrike" baseline="0">
                <a:effectLst/>
              </a:rPr>
              <a:t>E2E WS-PSNR</a:t>
            </a:r>
            <a:r>
              <a:rPr lang="en-IN" sz="1400" b="0" i="0" u="none" strike="noStrike" baseline="0"/>
              <a:t> </a:t>
            </a:r>
            <a:endParaRPr lang="en-I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Sheet2!$H$2</c:f>
              <c:strCache>
                <c:ptCount val="1"/>
                <c:pt idx="0">
                  <c:v>Y</c:v>
                </c:pt>
              </c:strCache>
            </c:strRef>
          </c:tx>
          <c:spPr>
            <a:ln w="28575" cap="rnd">
              <a:solidFill>
                <a:schemeClr val="accent1"/>
              </a:solidFill>
              <a:round/>
            </a:ln>
            <a:effectLst/>
          </c:spPr>
          <c:marker>
            <c:symbol val="none"/>
          </c:marker>
          <c:cat>
            <c:numRef>
              <c:f>Sheet2!$G$3:$G$21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Sheet2!$H$3:$H$21</c:f>
              <c:numCache>
                <c:formatCode>0.00%</c:formatCode>
                <c:ptCount val="19"/>
                <c:pt idx="0">
                  <c:v>1.4678007270447657E-2</c:v>
                </c:pt>
                <c:pt idx="1">
                  <c:v>1.6054832234285832E-2</c:v>
                </c:pt>
                <c:pt idx="2">
                  <c:v>1.2884760401792705E-2</c:v>
                </c:pt>
                <c:pt idx="3">
                  <c:v>1.1885184056363907E-2</c:v>
                </c:pt>
                <c:pt idx="4">
                  <c:v>6.986737474156568E-3</c:v>
                </c:pt>
                <c:pt idx="5">
                  <c:v>8.3445546563559181E-3</c:v>
                </c:pt>
                <c:pt idx="6">
                  <c:v>5.5694009891976703E-3</c:v>
                </c:pt>
                <c:pt idx="7">
                  <c:v>5.5648654731279001E-3</c:v>
                </c:pt>
                <c:pt idx="8">
                  <c:v>0</c:v>
                </c:pt>
                <c:pt idx="9">
                  <c:v>2.4553022036523098E-3</c:v>
                </c:pt>
                <c:pt idx="10">
                  <c:v>1.3992372887736693E-3</c:v>
                </c:pt>
                <c:pt idx="11">
                  <c:v>-2.4398033912789718E-3</c:v>
                </c:pt>
                <c:pt idx="12">
                  <c:v>-1.3465812419264089E-3</c:v>
                </c:pt>
                <c:pt idx="13">
                  <c:v>-5.5679144517100931E-3</c:v>
                </c:pt>
                <c:pt idx="14">
                  <c:v>-2.898848134735621E-3</c:v>
                </c:pt>
                <c:pt idx="15">
                  <c:v>-4.6111376890442535E-3</c:v>
                </c:pt>
                <c:pt idx="16">
                  <c:v>-3.0019121705842366E-3</c:v>
                </c:pt>
                <c:pt idx="17">
                  <c:v>-6.6061474290317335E-3</c:v>
                </c:pt>
                <c:pt idx="18">
                  <c:v>-2.4696899631002078E-3</c:v>
                </c:pt>
              </c:numCache>
            </c:numRef>
          </c:val>
          <c:smooth val="0"/>
          <c:extLst>
            <c:ext xmlns:c16="http://schemas.microsoft.com/office/drawing/2014/chart" uri="{C3380CC4-5D6E-409C-BE32-E72D297353CC}">
              <c16:uniqueId val="{00000000-6C3B-4FB3-AFEF-757A588B645A}"/>
            </c:ext>
          </c:extLst>
        </c:ser>
        <c:ser>
          <c:idx val="1"/>
          <c:order val="1"/>
          <c:tx>
            <c:strRef>
              <c:f>Sheet2!$I$2</c:f>
              <c:strCache>
                <c:ptCount val="1"/>
                <c:pt idx="0">
                  <c:v>U</c:v>
                </c:pt>
              </c:strCache>
            </c:strRef>
          </c:tx>
          <c:spPr>
            <a:ln w="28575" cap="rnd">
              <a:solidFill>
                <a:schemeClr val="accent2"/>
              </a:solidFill>
              <a:round/>
            </a:ln>
            <a:effectLst/>
          </c:spPr>
          <c:marker>
            <c:symbol val="none"/>
          </c:marker>
          <c:cat>
            <c:numRef>
              <c:f>Sheet2!$G$3:$G$21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Sheet2!$I$3:$I$21</c:f>
              <c:numCache>
                <c:formatCode>0.00%</c:formatCode>
                <c:ptCount val="19"/>
                <c:pt idx="0">
                  <c:v>4.3868048942911408E-2</c:v>
                </c:pt>
                <c:pt idx="1">
                  <c:v>4.4721625638047602E-2</c:v>
                </c:pt>
                <c:pt idx="2">
                  <c:v>3.7091638943924476E-2</c:v>
                </c:pt>
                <c:pt idx="3">
                  <c:v>3.4427749900301896E-2</c:v>
                </c:pt>
                <c:pt idx="4">
                  <c:v>2.3444112858084565E-2</c:v>
                </c:pt>
                <c:pt idx="5">
                  <c:v>2.2540429320678845E-2</c:v>
                </c:pt>
                <c:pt idx="6">
                  <c:v>1.5305432401203301E-2</c:v>
                </c:pt>
                <c:pt idx="7">
                  <c:v>1.0899604457159817E-2</c:v>
                </c:pt>
                <c:pt idx="8">
                  <c:v>0</c:v>
                </c:pt>
                <c:pt idx="9">
                  <c:v>2.9328282354079971E-3</c:v>
                </c:pt>
                <c:pt idx="10">
                  <c:v>-6.9362045067328237E-3</c:v>
                </c:pt>
                <c:pt idx="11">
                  <c:v>-1.7018769830734443E-2</c:v>
                </c:pt>
                <c:pt idx="12">
                  <c:v>-2.1436678441131007E-2</c:v>
                </c:pt>
                <c:pt idx="13">
                  <c:v>-3.6603579858622337E-2</c:v>
                </c:pt>
                <c:pt idx="14">
                  <c:v>-3.9034661732696208E-2</c:v>
                </c:pt>
                <c:pt idx="15">
                  <c:v>-4.946680218711999E-2</c:v>
                </c:pt>
                <c:pt idx="16">
                  <c:v>-5.3880206194811847E-2</c:v>
                </c:pt>
                <c:pt idx="17">
                  <c:v>-6.4134882240359736E-2</c:v>
                </c:pt>
                <c:pt idx="18">
                  <c:v>-6.8629952599926186E-2</c:v>
                </c:pt>
              </c:numCache>
            </c:numRef>
          </c:val>
          <c:smooth val="0"/>
          <c:extLst>
            <c:ext xmlns:c16="http://schemas.microsoft.com/office/drawing/2014/chart" uri="{C3380CC4-5D6E-409C-BE32-E72D297353CC}">
              <c16:uniqueId val="{00000001-6C3B-4FB3-AFEF-757A588B645A}"/>
            </c:ext>
          </c:extLst>
        </c:ser>
        <c:ser>
          <c:idx val="2"/>
          <c:order val="2"/>
          <c:tx>
            <c:strRef>
              <c:f>Sheet2!$J$2</c:f>
              <c:strCache>
                <c:ptCount val="1"/>
                <c:pt idx="0">
                  <c:v>V</c:v>
                </c:pt>
              </c:strCache>
            </c:strRef>
          </c:tx>
          <c:spPr>
            <a:ln w="28575" cap="rnd">
              <a:solidFill>
                <a:schemeClr val="accent3"/>
              </a:solidFill>
              <a:round/>
            </a:ln>
            <a:effectLst/>
          </c:spPr>
          <c:marker>
            <c:symbol val="none"/>
          </c:marker>
          <c:cat>
            <c:numRef>
              <c:f>Sheet2!$G$3:$G$21</c:f>
              <c:numCache>
                <c:formatCode>General</c:formatCode>
                <c:ptCount val="19"/>
                <c:pt idx="0">
                  <c:v>1152</c:v>
                </c:pt>
                <c:pt idx="1">
                  <c:v>1168</c:v>
                </c:pt>
                <c:pt idx="2">
                  <c:v>1184</c:v>
                </c:pt>
                <c:pt idx="3">
                  <c:v>1200</c:v>
                </c:pt>
                <c:pt idx="4">
                  <c:v>1216</c:v>
                </c:pt>
                <c:pt idx="5">
                  <c:v>1232</c:v>
                </c:pt>
                <c:pt idx="6">
                  <c:v>1248</c:v>
                </c:pt>
                <c:pt idx="7">
                  <c:v>1264</c:v>
                </c:pt>
                <c:pt idx="8">
                  <c:v>1280</c:v>
                </c:pt>
                <c:pt idx="9">
                  <c:v>1296</c:v>
                </c:pt>
                <c:pt idx="10">
                  <c:v>1328</c:v>
                </c:pt>
                <c:pt idx="11">
                  <c:v>1344</c:v>
                </c:pt>
                <c:pt idx="12">
                  <c:v>1376</c:v>
                </c:pt>
                <c:pt idx="13">
                  <c:v>1408</c:v>
                </c:pt>
                <c:pt idx="14">
                  <c:v>1440</c:v>
                </c:pt>
                <c:pt idx="15">
                  <c:v>1472</c:v>
                </c:pt>
                <c:pt idx="16">
                  <c:v>1504</c:v>
                </c:pt>
                <c:pt idx="17">
                  <c:v>1536</c:v>
                </c:pt>
                <c:pt idx="18">
                  <c:v>1568</c:v>
                </c:pt>
              </c:numCache>
            </c:numRef>
          </c:cat>
          <c:val>
            <c:numRef>
              <c:f>Sheet2!$J$3:$J$21</c:f>
              <c:numCache>
                <c:formatCode>0.00%</c:formatCode>
                <c:ptCount val="19"/>
                <c:pt idx="0">
                  <c:v>4.1074753537279796E-2</c:v>
                </c:pt>
                <c:pt idx="1">
                  <c:v>4.2740534548949272E-2</c:v>
                </c:pt>
                <c:pt idx="2">
                  <c:v>3.5880575225143596E-2</c:v>
                </c:pt>
                <c:pt idx="3">
                  <c:v>3.1601046298444013E-2</c:v>
                </c:pt>
                <c:pt idx="4">
                  <c:v>2.0300613124896227E-2</c:v>
                </c:pt>
                <c:pt idx="5">
                  <c:v>2.0985564143480073E-2</c:v>
                </c:pt>
                <c:pt idx="6">
                  <c:v>1.3253365496513514E-2</c:v>
                </c:pt>
                <c:pt idx="7">
                  <c:v>1.2878099786485186E-2</c:v>
                </c:pt>
                <c:pt idx="8">
                  <c:v>0</c:v>
                </c:pt>
                <c:pt idx="9">
                  <c:v>2.5819772332873192E-3</c:v>
                </c:pt>
                <c:pt idx="10">
                  <c:v>-5.2223090853416032E-3</c:v>
                </c:pt>
                <c:pt idx="11">
                  <c:v>-1.6134175281483198E-2</c:v>
                </c:pt>
                <c:pt idx="12">
                  <c:v>-1.9587137833825485E-2</c:v>
                </c:pt>
                <c:pt idx="13">
                  <c:v>-3.4517486657031027E-2</c:v>
                </c:pt>
                <c:pt idx="14">
                  <c:v>-3.5289523259406791E-2</c:v>
                </c:pt>
                <c:pt idx="15">
                  <c:v>-4.5980790118135217E-2</c:v>
                </c:pt>
                <c:pt idx="16">
                  <c:v>-5.1205109182430958E-2</c:v>
                </c:pt>
                <c:pt idx="17">
                  <c:v>-6.0921243081582699E-2</c:v>
                </c:pt>
                <c:pt idx="18">
                  <c:v>-6.2473434565651603E-2</c:v>
                </c:pt>
              </c:numCache>
            </c:numRef>
          </c:val>
          <c:smooth val="0"/>
          <c:extLst>
            <c:ext xmlns:c16="http://schemas.microsoft.com/office/drawing/2014/chart" uri="{C3380CC4-5D6E-409C-BE32-E72D297353CC}">
              <c16:uniqueId val="{00000002-6C3B-4FB3-AFEF-757A588B645A}"/>
            </c:ext>
          </c:extLst>
        </c:ser>
        <c:dLbls>
          <c:showLegendKey val="0"/>
          <c:showVal val="0"/>
          <c:showCatName val="0"/>
          <c:showSerName val="0"/>
          <c:showPercent val="0"/>
          <c:showBubbleSize val="0"/>
        </c:dLbls>
        <c:smooth val="0"/>
        <c:axId val="1709806527"/>
        <c:axId val="1709806111"/>
      </c:lineChart>
      <c:catAx>
        <c:axId val="17098065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09806111"/>
        <c:crosses val="autoZero"/>
        <c:auto val="1"/>
        <c:lblAlgn val="ctr"/>
        <c:lblOffset val="100"/>
        <c:noMultiLvlLbl val="0"/>
      </c:catAx>
      <c:valAx>
        <c:axId val="170980611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098065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3</Pages>
  <Words>557</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41</cp:revision>
  <cp:lastPrinted>1900-01-01T08:00:00Z</cp:lastPrinted>
  <dcterms:created xsi:type="dcterms:W3CDTF">2018-08-09T13:44:00Z</dcterms:created>
  <dcterms:modified xsi:type="dcterms:W3CDTF">2019-03-13T11:12:00Z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