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3C9BC1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F7210">
              <w:rPr>
                <w:lang w:val="en-CA"/>
              </w:rPr>
              <w:t>0062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E30F5D" w:rsidR="00E61DAC" w:rsidRPr="005B217D" w:rsidRDefault="00724DAF" w:rsidP="009D7CE6">
            <w:pPr>
              <w:spacing w:before="60" w:after="60"/>
              <w:rPr>
                <w:b/>
                <w:szCs w:val="22"/>
                <w:lang w:val="en-CA"/>
              </w:rPr>
            </w:pPr>
            <w:r>
              <w:rPr>
                <w:b/>
                <w:szCs w:val="22"/>
                <w:lang w:val="en-CA"/>
              </w:rPr>
              <w:t>AHG1</w:t>
            </w:r>
            <w:r w:rsidR="00741013">
              <w:rPr>
                <w:b/>
                <w:szCs w:val="22"/>
                <w:lang w:val="en-CA"/>
              </w:rPr>
              <w:t>9</w:t>
            </w:r>
            <w:r>
              <w:rPr>
                <w:b/>
                <w:szCs w:val="22"/>
                <w:lang w:val="en-CA"/>
              </w:rPr>
              <w:t xml:space="preserve">: </w:t>
            </w:r>
            <w:r w:rsidR="00741013" w:rsidRPr="00741013">
              <w:rPr>
                <w:b/>
                <w:szCs w:val="22"/>
                <w:lang w:val="en-CA"/>
              </w:rPr>
              <w:t>Signalling HRD models for HFR backwards compatible bitstreams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DA42D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8DBE7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24DA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F69BB97" w:rsidR="00E61DAC" w:rsidRPr="005B217D" w:rsidRDefault="00724DAF">
            <w:pPr>
              <w:spacing w:before="60" w:after="60"/>
              <w:rPr>
                <w:szCs w:val="22"/>
                <w:lang w:val="en-CA"/>
              </w:rPr>
            </w:pPr>
            <w:r>
              <w:rPr>
                <w:szCs w:val="22"/>
                <w:lang w:val="en-CA"/>
              </w:rPr>
              <w:t>Virginie Drugeon</w:t>
            </w:r>
            <w:r w:rsidR="00E61DAC" w:rsidRPr="005B217D">
              <w:rPr>
                <w:szCs w:val="22"/>
                <w:lang w:val="en-CA"/>
              </w:rPr>
              <w:br/>
            </w:r>
            <w:proofErr w:type="spellStart"/>
            <w:r>
              <w:rPr>
                <w:szCs w:val="22"/>
                <w:lang w:val="en-CA"/>
              </w:rPr>
              <w:t>Monzastr</w:t>
            </w:r>
            <w:proofErr w:type="spellEnd"/>
            <w:r>
              <w:rPr>
                <w:szCs w:val="22"/>
                <w:lang w:val="en-CA"/>
              </w:rPr>
              <w:t>. 4c</w:t>
            </w:r>
            <w:r w:rsidR="00E61DAC" w:rsidRPr="005B217D">
              <w:rPr>
                <w:szCs w:val="22"/>
                <w:lang w:val="en-CA"/>
              </w:rPr>
              <w:br/>
            </w:r>
            <w:r>
              <w:rPr>
                <w:szCs w:val="22"/>
                <w:lang w:val="en-CA"/>
              </w:rPr>
              <w:t xml:space="preserve">63225 </w:t>
            </w:r>
            <w:proofErr w:type="spellStart"/>
            <w:r>
              <w:rPr>
                <w:szCs w:val="22"/>
                <w:lang w:val="en-CA"/>
              </w:rPr>
              <w:t>Langen</w:t>
            </w:r>
            <w:proofErr w:type="spellEnd"/>
            <w:r w:rsidR="00E61DAC" w:rsidRPr="005B217D">
              <w:rPr>
                <w:szCs w:val="22"/>
                <w:lang w:val="en-CA"/>
              </w:rPr>
              <w:br/>
            </w:r>
            <w:r>
              <w:rPr>
                <w:szCs w:val="22"/>
                <w:lang w:val="en-CA"/>
              </w:rPr>
              <w:t>Germany</w:t>
            </w:r>
          </w:p>
        </w:tc>
        <w:tc>
          <w:tcPr>
            <w:tcW w:w="992"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48" w:type="dxa"/>
          </w:tcPr>
          <w:p w14:paraId="32C2ABFD" w14:textId="50E5A385" w:rsidR="00E61DAC" w:rsidRPr="005B217D" w:rsidRDefault="00E61DAC" w:rsidP="005952A5">
            <w:pPr>
              <w:spacing w:before="60" w:after="60"/>
              <w:rPr>
                <w:szCs w:val="22"/>
                <w:lang w:val="en-CA"/>
              </w:rPr>
            </w:pPr>
            <w:r w:rsidRPr="005B217D">
              <w:rPr>
                <w:szCs w:val="22"/>
                <w:lang w:val="en-CA"/>
              </w:rPr>
              <w:br/>
            </w:r>
            <w:r w:rsidR="00724DAF">
              <w:rPr>
                <w:szCs w:val="22"/>
                <w:lang w:val="en-CA"/>
              </w:rPr>
              <w:t>+49-6103-766240</w:t>
            </w:r>
            <w:r w:rsidRPr="005B217D">
              <w:rPr>
                <w:szCs w:val="22"/>
                <w:lang w:val="en-CA"/>
              </w:rPr>
              <w:br/>
            </w:r>
            <w:hyperlink r:id="rId9" w:history="1">
              <w:r w:rsidR="00724DAF" w:rsidRPr="00617E1D">
                <w:rPr>
                  <w:rStyle w:val="Hyperlink"/>
                  <w:szCs w:val="22"/>
                  <w:lang w:val="en-CA"/>
                </w:rPr>
                <w:t>virginie.drugeon@eu.panasonic.com</w:t>
              </w:r>
            </w:hyperlink>
            <w:r w:rsidR="00724DA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DC7F74" w:rsidR="00E61DAC" w:rsidRPr="005B217D" w:rsidRDefault="00724DAF">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EBF85F9" w:rsidR="00263398" w:rsidRPr="00074594" w:rsidRDefault="00074594" w:rsidP="009234A5">
      <w:r>
        <w:rPr>
          <w:lang w:val="en-CA"/>
        </w:rPr>
        <w:t xml:space="preserve">An issue about decoding time stamps is reported when using temporal scalability to enable backwards compatibility of High Frame Rate (HFR) bitstreams to standard frame rate receivers. It is suggested to signal </w:t>
      </w:r>
      <w:r w:rsidRPr="00881F8D">
        <w:rPr>
          <w:rFonts w:hint="eastAsia"/>
          <w:lang w:val="de-DE"/>
        </w:rPr>
        <w:t>CPB removal delays and DPB output</w:t>
      </w:r>
      <w:r w:rsidRPr="00C12906">
        <w:rPr>
          <w:lang w:val="de-DE"/>
        </w:rPr>
        <w:t xml:space="preserve"> </w:t>
      </w:r>
      <w:r w:rsidRPr="00881F8D">
        <w:rPr>
          <w:rFonts w:hint="eastAsia"/>
          <w:lang w:val="de-DE"/>
        </w:rPr>
        <w:t>delays</w:t>
      </w:r>
      <w:r>
        <w:rPr>
          <w:lang w:val="de-DE"/>
        </w:rPr>
        <w:t xml:space="preserve"> </w:t>
      </w:r>
      <w:r w:rsidRPr="00881F8D">
        <w:rPr>
          <w:rFonts w:hint="eastAsia"/>
          <w:lang w:val="de-DE"/>
        </w:rPr>
        <w:t>for each temporal sub-layer contained in the bi</w:t>
      </w:r>
      <w:r>
        <w:rPr>
          <w:lang w:val="de-DE"/>
        </w:rPr>
        <w:t>tstream to solve this issue.</w:t>
      </w:r>
      <w:r>
        <w:t xml:space="preserve"> </w:t>
      </w:r>
    </w:p>
    <w:p w14:paraId="7D2AC1F0" w14:textId="07581AE7" w:rsidR="00745F6B" w:rsidRPr="005B217D" w:rsidRDefault="00745F6B" w:rsidP="00E11923">
      <w:pPr>
        <w:pStyle w:val="Heading1"/>
        <w:rPr>
          <w:lang w:val="en-CA"/>
        </w:rPr>
      </w:pPr>
      <w:r w:rsidRPr="005B217D">
        <w:rPr>
          <w:lang w:val="en-CA"/>
        </w:rPr>
        <w:t>Introduction</w:t>
      </w:r>
    </w:p>
    <w:p w14:paraId="124E4A93" w14:textId="77777777" w:rsidR="00FC7CE9" w:rsidRPr="00FC7CE9" w:rsidRDefault="00FC7CE9" w:rsidP="00FC7CE9">
      <w:pPr>
        <w:rPr>
          <w:szCs w:val="22"/>
          <w:lang w:val="en-CA"/>
        </w:rPr>
      </w:pPr>
      <w:r w:rsidRPr="00FC7CE9">
        <w:rPr>
          <w:szCs w:val="22"/>
          <w:lang w:val="en-CA"/>
        </w:rPr>
        <w:t xml:space="preserve">Temporal scalability has been used for several purposes in video coding, including trick-play operations and encapsulation of versions of different frame rates of the same content within the same bitstream. </w:t>
      </w:r>
    </w:p>
    <w:p w14:paraId="608FA8B8" w14:textId="61F78762" w:rsidR="00FC7CE9" w:rsidRDefault="00FC7CE9" w:rsidP="00FC7CE9">
      <w:pPr>
        <w:rPr>
          <w:szCs w:val="22"/>
          <w:lang w:val="en-CA"/>
        </w:rPr>
      </w:pPr>
      <w:r w:rsidRPr="00FC7CE9">
        <w:rPr>
          <w:szCs w:val="22"/>
          <w:lang w:val="en-CA"/>
        </w:rPr>
        <w:t xml:space="preserve">The second example is exemplified in </w:t>
      </w:r>
      <w:r w:rsidR="00EB38F8">
        <w:rPr>
          <w:szCs w:val="22"/>
          <w:lang w:val="en-CA"/>
        </w:rPr>
        <w:fldChar w:fldCharType="begin"/>
      </w:r>
      <w:r w:rsidR="00EB38F8">
        <w:rPr>
          <w:szCs w:val="22"/>
          <w:lang w:val="en-CA"/>
        </w:rPr>
        <w:instrText xml:space="preserve"> REF _Ref2933639 \h </w:instrText>
      </w:r>
      <w:r w:rsidR="00EB38F8">
        <w:rPr>
          <w:szCs w:val="22"/>
          <w:lang w:val="en-CA"/>
        </w:rPr>
      </w:r>
      <w:r w:rsidR="00EB38F8">
        <w:rPr>
          <w:szCs w:val="22"/>
          <w:lang w:val="en-CA"/>
        </w:rPr>
        <w:fldChar w:fldCharType="separate"/>
      </w:r>
      <w:r w:rsidR="00EB38F8" w:rsidRPr="00EB38F8">
        <w:t xml:space="preserve">Figure </w:t>
      </w:r>
      <w:r w:rsidR="00EB38F8" w:rsidRPr="00EB38F8">
        <w:rPr>
          <w:noProof/>
        </w:rPr>
        <w:t>1</w:t>
      </w:r>
      <w:r w:rsidR="00EB38F8">
        <w:rPr>
          <w:szCs w:val="22"/>
          <w:lang w:val="en-CA"/>
        </w:rPr>
        <w:fldChar w:fldCharType="end"/>
      </w:r>
      <w:r w:rsidRPr="00FC7CE9">
        <w:rPr>
          <w:szCs w:val="22"/>
          <w:lang w:val="en-CA"/>
        </w:rPr>
        <w:t xml:space="preserve"> below, where a standard frame rate sub-bitstream with a frame rate that is less than or equal to 60Hz can be encapsulated within an HFR bitstream with a frame rate that can go up to 120Hz.</w:t>
      </w:r>
    </w:p>
    <w:p w14:paraId="620D45D2" w14:textId="77777777" w:rsidR="00EB38F8" w:rsidRDefault="00EB38F8" w:rsidP="00EB38F8">
      <w:pPr>
        <w:keepNext/>
        <w:jc w:val="center"/>
      </w:pPr>
      <w:r w:rsidRPr="00BC09A8">
        <w:rPr>
          <w:noProof/>
        </w:rPr>
        <w:drawing>
          <wp:inline distT="0" distB="0" distL="0" distR="0" wp14:anchorId="48769BBB" wp14:editId="09413E5D">
            <wp:extent cx="5757544" cy="169072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02555" cy="1703940"/>
                    </a:xfrm>
                    <a:prstGeom prst="rect">
                      <a:avLst/>
                    </a:prstGeom>
                    <a:noFill/>
                  </pic:spPr>
                </pic:pic>
              </a:graphicData>
            </a:graphic>
          </wp:inline>
        </w:drawing>
      </w:r>
    </w:p>
    <w:p w14:paraId="20201195" w14:textId="4B48FCEA" w:rsidR="00EB38F8" w:rsidRPr="00EB38F8" w:rsidRDefault="00EB38F8" w:rsidP="00EB38F8">
      <w:pPr>
        <w:pStyle w:val="Caption"/>
        <w:jc w:val="center"/>
        <w:rPr>
          <w:sz w:val="22"/>
          <w:szCs w:val="22"/>
          <w:lang w:val="en-CA"/>
        </w:rPr>
      </w:pPr>
      <w:bookmarkStart w:id="0" w:name="_Ref2933639"/>
      <w:r w:rsidRPr="00EB38F8">
        <w:rPr>
          <w:sz w:val="22"/>
        </w:rPr>
        <w:t xml:space="preserve">Figure </w:t>
      </w:r>
      <w:r w:rsidRPr="00EB38F8">
        <w:rPr>
          <w:sz w:val="22"/>
        </w:rPr>
        <w:fldChar w:fldCharType="begin"/>
      </w:r>
      <w:r w:rsidRPr="00EB38F8">
        <w:rPr>
          <w:sz w:val="22"/>
        </w:rPr>
        <w:instrText xml:space="preserve"> SEQ Figure \* ARABIC </w:instrText>
      </w:r>
      <w:r w:rsidRPr="00EB38F8">
        <w:rPr>
          <w:sz w:val="22"/>
        </w:rPr>
        <w:fldChar w:fldCharType="separate"/>
      </w:r>
      <w:r w:rsidRPr="00EB38F8">
        <w:rPr>
          <w:noProof/>
          <w:sz w:val="22"/>
        </w:rPr>
        <w:t>1</w:t>
      </w:r>
      <w:r w:rsidRPr="00EB38F8">
        <w:rPr>
          <w:sz w:val="22"/>
        </w:rPr>
        <w:fldChar w:fldCharType="end"/>
      </w:r>
      <w:bookmarkEnd w:id="0"/>
      <w:r w:rsidRPr="00EB38F8">
        <w:rPr>
          <w:sz w:val="22"/>
        </w:rPr>
        <w:t>: HFR bitstream containing a standard frame rate version encapsulated within the same bitstream</w:t>
      </w:r>
    </w:p>
    <w:p w14:paraId="7C124A25" w14:textId="19E76D3A" w:rsidR="0033266B" w:rsidRDefault="0033266B" w:rsidP="0033266B">
      <w:pPr>
        <w:rPr>
          <w:szCs w:val="22"/>
          <w:lang w:val="en-CA"/>
        </w:rPr>
      </w:pPr>
      <w:r>
        <w:rPr>
          <w:szCs w:val="22"/>
          <w:lang w:val="en-CA"/>
        </w:rPr>
        <w:t xml:space="preserve">However, there is an issue related to Hypothetical Reference Decoder times for the standard frame rate version of the content to be decodable by a non-HFR receiver. In the following explanation, it is assumed that the content is 3840x2160 with a frame rate of 100fps and that the bitstream is backwards compatible to non-HFR receivers and contains a sub-bitstream that has a frame rate of 50fps. The whole bitstream satisfies Level 5.2, while the sub-bitstream </w:t>
      </w:r>
      <w:r w:rsidR="00CD3AEF">
        <w:rPr>
          <w:szCs w:val="22"/>
          <w:lang w:val="en-CA"/>
        </w:rPr>
        <w:t>must</w:t>
      </w:r>
      <w:r>
        <w:rPr>
          <w:szCs w:val="22"/>
          <w:lang w:val="en-CA"/>
        </w:rPr>
        <w:t xml:space="preserve"> satisfy Level 5.1 to be backwards compatible. Two consecutive frames in decoding order may have decoding time stamps</w:t>
      </w:r>
      <w:r w:rsidR="00CD3AEF">
        <w:rPr>
          <w:szCs w:val="22"/>
          <w:lang w:val="en-CA"/>
        </w:rPr>
        <w:t xml:space="preserve"> </w:t>
      </w:r>
      <w:r w:rsidR="00CD3AEF" w:rsidRPr="00FC7CE9">
        <w:rPr>
          <w:szCs w:val="22"/>
          <w:lang w:val="en-CA"/>
        </w:rPr>
        <w:t>(controlled by the Hypothetical Reference Decoder CPB removal delay)</w:t>
      </w:r>
      <w:r>
        <w:rPr>
          <w:szCs w:val="22"/>
          <w:lang w:val="en-CA"/>
        </w:rPr>
        <w:t xml:space="preserve"> that are only 0.01s apart because of the frame rate of 100fps. Unfortunately, this would violate the constraints of a Level 5.1 decoder, as stated in the HEVC</w:t>
      </w:r>
      <w:r w:rsidR="00E81130">
        <w:rPr>
          <w:szCs w:val="22"/>
          <w:lang w:val="en-CA"/>
        </w:rPr>
        <w:t xml:space="preserve"> </w:t>
      </w:r>
      <w:r w:rsidR="00E81130">
        <w:rPr>
          <w:szCs w:val="22"/>
          <w:lang w:val="en-CA"/>
        </w:rPr>
        <w:fldChar w:fldCharType="begin"/>
      </w:r>
      <w:r w:rsidR="00E81130">
        <w:rPr>
          <w:szCs w:val="22"/>
          <w:lang w:val="en-CA"/>
        </w:rPr>
        <w:instrText xml:space="preserve"> REF _Ref2942970 \n \h </w:instrText>
      </w:r>
      <w:r w:rsidR="00E81130">
        <w:rPr>
          <w:szCs w:val="22"/>
          <w:lang w:val="en-CA"/>
        </w:rPr>
      </w:r>
      <w:r w:rsidR="00E81130">
        <w:rPr>
          <w:szCs w:val="22"/>
          <w:lang w:val="en-CA"/>
        </w:rPr>
        <w:fldChar w:fldCharType="separate"/>
      </w:r>
      <w:r w:rsidR="00E81130">
        <w:rPr>
          <w:szCs w:val="22"/>
          <w:lang w:val="en-CA"/>
        </w:rPr>
        <w:t>[1]</w:t>
      </w:r>
      <w:r w:rsidR="00E81130">
        <w:rPr>
          <w:szCs w:val="22"/>
          <w:lang w:val="en-CA"/>
        </w:rPr>
        <w:fldChar w:fldCharType="end"/>
      </w:r>
      <w:r>
        <w:rPr>
          <w:szCs w:val="22"/>
          <w:lang w:val="en-CA"/>
        </w:rPr>
        <w:t xml:space="preserve"> standard Annex A.4.2.</w:t>
      </w:r>
      <w:r w:rsidR="00CD3AEF">
        <w:rPr>
          <w:szCs w:val="22"/>
          <w:lang w:val="en-CA"/>
        </w:rPr>
        <w:t xml:space="preserve"> For the base layer to be decodable by a receiver conforming to Level 5.1, two consecutive frames in decoding order </w:t>
      </w:r>
      <w:r w:rsidR="00FF7210">
        <w:rPr>
          <w:szCs w:val="22"/>
          <w:lang w:val="en-CA"/>
        </w:rPr>
        <w:t>are expected to</w:t>
      </w:r>
      <w:bookmarkStart w:id="1" w:name="_GoBack"/>
      <w:bookmarkEnd w:id="1"/>
      <w:r w:rsidR="00CD3AEF">
        <w:rPr>
          <w:szCs w:val="22"/>
          <w:lang w:val="en-CA"/>
        </w:rPr>
        <w:t xml:space="preserve"> only be 0.02s apart.</w:t>
      </w:r>
    </w:p>
    <w:p w14:paraId="21958566" w14:textId="58883CCD" w:rsidR="0033266B" w:rsidRDefault="00CD3AEF" w:rsidP="00FC7CE9">
      <w:pPr>
        <w:rPr>
          <w:szCs w:val="22"/>
          <w:lang w:val="en-CA"/>
        </w:rPr>
      </w:pPr>
      <w:r w:rsidRPr="00FC7CE9">
        <w:rPr>
          <w:szCs w:val="22"/>
          <w:lang w:val="en-CA"/>
        </w:rPr>
        <w:lastRenderedPageBreak/>
        <w:t>This has been solved in some application standards such as</w:t>
      </w:r>
      <w:r>
        <w:rPr>
          <w:szCs w:val="22"/>
          <w:lang w:val="en-CA"/>
        </w:rPr>
        <w:t xml:space="preserve"> Rec. ITU-R BT.2073</w:t>
      </w:r>
      <w:r w:rsidR="0022554A">
        <w:rPr>
          <w:szCs w:val="22"/>
          <w:lang w:val="en-CA"/>
        </w:rPr>
        <w:t xml:space="preserve"> </w:t>
      </w:r>
      <w:r w:rsidR="0022554A">
        <w:rPr>
          <w:szCs w:val="22"/>
          <w:lang w:val="en-CA"/>
        </w:rPr>
        <w:fldChar w:fldCharType="begin"/>
      </w:r>
      <w:r w:rsidR="0022554A">
        <w:rPr>
          <w:szCs w:val="22"/>
          <w:lang w:val="en-CA"/>
        </w:rPr>
        <w:instrText xml:space="preserve"> REF _Ref2943601 \n \h </w:instrText>
      </w:r>
      <w:r w:rsidR="0022554A">
        <w:rPr>
          <w:szCs w:val="22"/>
          <w:lang w:val="en-CA"/>
        </w:rPr>
      </w:r>
      <w:r w:rsidR="0022554A">
        <w:rPr>
          <w:szCs w:val="22"/>
          <w:lang w:val="en-CA"/>
        </w:rPr>
        <w:fldChar w:fldCharType="separate"/>
      </w:r>
      <w:r w:rsidR="0022554A">
        <w:rPr>
          <w:szCs w:val="22"/>
          <w:lang w:val="en-CA"/>
        </w:rPr>
        <w:t>[2]</w:t>
      </w:r>
      <w:r w:rsidR="0022554A">
        <w:rPr>
          <w:szCs w:val="22"/>
          <w:lang w:val="en-CA"/>
        </w:rPr>
        <w:fldChar w:fldCharType="end"/>
      </w:r>
      <w:r>
        <w:rPr>
          <w:szCs w:val="22"/>
          <w:lang w:val="en-CA"/>
        </w:rPr>
        <w:t xml:space="preserve"> and</w:t>
      </w:r>
      <w:r w:rsidRPr="00FC7CE9">
        <w:rPr>
          <w:szCs w:val="22"/>
          <w:lang w:val="en-CA"/>
        </w:rPr>
        <w:t xml:space="preserve"> the DVB standard ETSI TS 101 154</w:t>
      </w:r>
      <w:r>
        <w:rPr>
          <w:szCs w:val="22"/>
          <w:lang w:val="en-CA"/>
        </w:rPr>
        <w:t xml:space="preserve"> </w:t>
      </w:r>
      <w:r w:rsidR="0022554A">
        <w:rPr>
          <w:szCs w:val="22"/>
          <w:lang w:val="en-CA"/>
        </w:rPr>
        <w:fldChar w:fldCharType="begin"/>
      </w:r>
      <w:r w:rsidR="0022554A">
        <w:rPr>
          <w:szCs w:val="22"/>
          <w:lang w:val="en-CA"/>
        </w:rPr>
        <w:instrText xml:space="preserve"> REF _Ref2943612 \n \h </w:instrText>
      </w:r>
      <w:r w:rsidR="0022554A">
        <w:rPr>
          <w:szCs w:val="22"/>
          <w:lang w:val="en-CA"/>
        </w:rPr>
      </w:r>
      <w:r w:rsidR="0022554A">
        <w:rPr>
          <w:szCs w:val="22"/>
          <w:lang w:val="en-CA"/>
        </w:rPr>
        <w:fldChar w:fldCharType="separate"/>
      </w:r>
      <w:r w:rsidR="0022554A">
        <w:rPr>
          <w:szCs w:val="22"/>
          <w:lang w:val="en-CA"/>
        </w:rPr>
        <w:t>[3]</w:t>
      </w:r>
      <w:r w:rsidR="0022554A">
        <w:rPr>
          <w:szCs w:val="22"/>
          <w:lang w:val="en-CA"/>
        </w:rPr>
        <w:fldChar w:fldCharType="end"/>
      </w:r>
      <w:r>
        <w:rPr>
          <w:szCs w:val="22"/>
          <w:lang w:val="en-CA"/>
        </w:rPr>
        <w:t xml:space="preserve"> by mandating that the d</w:t>
      </w:r>
      <w:r w:rsidR="0033266B" w:rsidRPr="00FC7CE9">
        <w:rPr>
          <w:szCs w:val="22"/>
          <w:lang w:val="en-CA"/>
        </w:rPr>
        <w:t xml:space="preserve">ecoding </w:t>
      </w:r>
      <w:r>
        <w:rPr>
          <w:szCs w:val="22"/>
          <w:lang w:val="en-CA"/>
        </w:rPr>
        <w:t>t</w:t>
      </w:r>
      <w:r w:rsidR="0033266B" w:rsidRPr="00FC7CE9">
        <w:rPr>
          <w:szCs w:val="22"/>
          <w:lang w:val="en-CA"/>
        </w:rPr>
        <w:t xml:space="preserve">ime </w:t>
      </w:r>
      <w:r>
        <w:rPr>
          <w:szCs w:val="22"/>
          <w:lang w:val="en-CA"/>
        </w:rPr>
        <w:t>s</w:t>
      </w:r>
      <w:r w:rsidR="0033266B" w:rsidRPr="00FC7CE9">
        <w:rPr>
          <w:szCs w:val="22"/>
          <w:lang w:val="en-CA"/>
        </w:rPr>
        <w:t xml:space="preserve">tamps must be the same for both the standard frame rate and the High Frame Rate version of the content. This introduces some constraints on the coding structure of the bitstream that </w:t>
      </w:r>
      <w:r w:rsidR="0033266B">
        <w:rPr>
          <w:szCs w:val="22"/>
          <w:lang w:val="en-CA"/>
        </w:rPr>
        <w:t>may</w:t>
      </w:r>
      <w:r w:rsidR="0033266B" w:rsidRPr="00FC7CE9">
        <w:rPr>
          <w:szCs w:val="22"/>
          <w:lang w:val="en-CA"/>
        </w:rPr>
        <w:t xml:space="preserve"> </w:t>
      </w:r>
      <w:r w:rsidR="0033266B">
        <w:rPr>
          <w:szCs w:val="22"/>
          <w:lang w:val="en-CA"/>
        </w:rPr>
        <w:t>seriously impact</w:t>
      </w:r>
      <w:r w:rsidR="0033266B" w:rsidRPr="00FC7CE9">
        <w:rPr>
          <w:szCs w:val="22"/>
          <w:lang w:val="en-CA"/>
        </w:rPr>
        <w:t xml:space="preserve"> the coding efficiency compared to an HFR bitstream that is not intended to be backwards compatible.</w:t>
      </w:r>
    </w:p>
    <w:p w14:paraId="34014D11" w14:textId="0A1184C8" w:rsidR="00EB38F8" w:rsidRDefault="00CD3AEF" w:rsidP="00EB38F8">
      <w:pPr>
        <w:rPr>
          <w:szCs w:val="22"/>
          <w:lang w:val="en-CA"/>
        </w:rPr>
      </w:pPr>
      <w:r>
        <w:rPr>
          <w:szCs w:val="22"/>
          <w:lang w:val="en-CA"/>
        </w:rPr>
        <w:t>T</w:t>
      </w:r>
      <w:r w:rsidR="00EB38F8">
        <w:rPr>
          <w:szCs w:val="22"/>
          <w:lang w:val="en-CA"/>
        </w:rPr>
        <w:t>he</w:t>
      </w:r>
      <w:r>
        <w:rPr>
          <w:szCs w:val="22"/>
          <w:lang w:val="en-CA"/>
        </w:rPr>
        <w:t xml:space="preserve"> relevant</w:t>
      </w:r>
      <w:r w:rsidR="00EB38F8">
        <w:rPr>
          <w:szCs w:val="22"/>
          <w:lang w:val="en-CA"/>
        </w:rPr>
        <w:t xml:space="preserve"> </w:t>
      </w:r>
      <w:r w:rsidR="00EB38F8" w:rsidRPr="00390835">
        <w:rPr>
          <w:szCs w:val="22"/>
          <w:lang w:val="en-CA"/>
        </w:rPr>
        <w:t>excerpt</w:t>
      </w:r>
      <w:r w:rsidR="00EB38F8">
        <w:rPr>
          <w:szCs w:val="22"/>
          <w:lang w:val="en-CA"/>
        </w:rPr>
        <w:t xml:space="preserve"> from ETSI TS 101 154 </w:t>
      </w:r>
      <w:r>
        <w:rPr>
          <w:szCs w:val="22"/>
          <w:lang w:val="en-CA"/>
        </w:rPr>
        <w:t>is shown below:</w:t>
      </w:r>
    </w:p>
    <w:p w14:paraId="36BA91CB" w14:textId="0E346012" w:rsidR="003A663B" w:rsidRDefault="00CD3AEF" w:rsidP="00EB38F8">
      <w:pPr>
        <w:rPr>
          <w:szCs w:val="22"/>
          <w:lang w:val="en-CA"/>
        </w:rPr>
      </w:pPr>
      <w:r w:rsidRPr="00CD3AEF">
        <w:rPr>
          <w:noProof/>
          <w:szCs w:val="22"/>
        </w:rPr>
        <w:drawing>
          <wp:inline distT="0" distB="0" distL="0" distR="0" wp14:anchorId="5E3C3E2E" wp14:editId="482A5C14">
            <wp:extent cx="5862320" cy="3190240"/>
            <wp:effectExtent l="0" t="0" r="5080" b="0"/>
            <wp:docPr id="25" name="Picture 1">
              <a:extLst xmlns:a="http://schemas.openxmlformats.org/drawingml/2006/main">
                <a:ext uri="{FF2B5EF4-FFF2-40B4-BE49-F238E27FC236}">
                  <a16:creationId xmlns:a16="http://schemas.microsoft.com/office/drawing/2014/main" id="{FF772477-9F51-438D-8ECA-6FCF385584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F772477-9F51-438D-8ECA-6FCF3855846E}"/>
                        </a:ext>
                      </a:extLst>
                    </pic:cNvPr>
                    <pic:cNvPicPr>
                      <a:picLocks noChangeAspect="1"/>
                    </pic:cNvPicPr>
                  </pic:nvPicPr>
                  <pic:blipFill rotWithShape="1">
                    <a:blip r:embed="rId11"/>
                    <a:srcRect l="38981" t="25777" r="7592" b="27704"/>
                    <a:stretch/>
                  </pic:blipFill>
                  <pic:spPr>
                    <a:xfrm>
                      <a:off x="0" y="0"/>
                      <a:ext cx="5862320" cy="3190240"/>
                    </a:xfrm>
                    <a:prstGeom prst="rect">
                      <a:avLst/>
                    </a:prstGeom>
                  </pic:spPr>
                </pic:pic>
              </a:graphicData>
            </a:graphic>
          </wp:inline>
        </w:drawing>
      </w:r>
    </w:p>
    <w:p w14:paraId="0A56547B" w14:textId="3DF75799" w:rsidR="0022554A" w:rsidRDefault="0022554A" w:rsidP="00EB38F8">
      <w:pPr>
        <w:rPr>
          <w:szCs w:val="22"/>
          <w:lang w:val="en-CA"/>
        </w:rPr>
      </w:pPr>
      <w:r>
        <w:rPr>
          <w:szCs w:val="22"/>
          <w:lang w:val="en-CA"/>
        </w:rPr>
        <w:t xml:space="preserve">Rec. ITU-R BT.2073 </w:t>
      </w:r>
      <w:r>
        <w:rPr>
          <w:szCs w:val="22"/>
          <w:lang w:val="en-CA"/>
        </w:rPr>
        <w:fldChar w:fldCharType="begin"/>
      </w:r>
      <w:r>
        <w:rPr>
          <w:szCs w:val="22"/>
          <w:lang w:val="en-CA"/>
        </w:rPr>
        <w:instrText xml:space="preserve"> REF _Ref2943601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goes even further into documenting at least one coding structure that fulfils this constraint</w:t>
      </w:r>
      <w:r w:rsidR="00BE6C05">
        <w:rPr>
          <w:szCs w:val="22"/>
          <w:lang w:val="en-CA"/>
        </w:rPr>
        <w:t xml:space="preserve">, as illustrated in the figure below copied from Rec. ITU-R BT.2073 </w:t>
      </w:r>
      <w:r w:rsidR="00BE6C05">
        <w:rPr>
          <w:szCs w:val="22"/>
          <w:lang w:val="en-CA"/>
        </w:rPr>
        <w:fldChar w:fldCharType="begin"/>
      </w:r>
      <w:r w:rsidR="00BE6C05">
        <w:rPr>
          <w:szCs w:val="22"/>
          <w:lang w:val="en-CA"/>
        </w:rPr>
        <w:instrText xml:space="preserve"> REF _Ref2943601 \n \h </w:instrText>
      </w:r>
      <w:r w:rsidR="00BE6C05">
        <w:rPr>
          <w:szCs w:val="22"/>
          <w:lang w:val="en-CA"/>
        </w:rPr>
      </w:r>
      <w:r w:rsidR="00BE6C05">
        <w:rPr>
          <w:szCs w:val="22"/>
          <w:lang w:val="en-CA"/>
        </w:rPr>
        <w:fldChar w:fldCharType="separate"/>
      </w:r>
      <w:r w:rsidR="00BE6C05">
        <w:rPr>
          <w:szCs w:val="22"/>
          <w:lang w:val="en-CA"/>
        </w:rPr>
        <w:t>[2]</w:t>
      </w:r>
      <w:r w:rsidR="00BE6C05">
        <w:rPr>
          <w:szCs w:val="22"/>
          <w:lang w:val="en-CA"/>
        </w:rPr>
        <w:fldChar w:fldCharType="end"/>
      </w:r>
      <w:r>
        <w:rPr>
          <w:szCs w:val="22"/>
          <w:lang w:val="en-CA"/>
        </w:rPr>
        <w:t xml:space="preserve">. </w:t>
      </w:r>
    </w:p>
    <w:p w14:paraId="04322B4F" w14:textId="54E85502" w:rsidR="00BE6C05" w:rsidRDefault="00BE6C05" w:rsidP="00EB38F8">
      <w:pPr>
        <w:rPr>
          <w:szCs w:val="22"/>
          <w:lang w:val="en-CA"/>
        </w:rPr>
      </w:pPr>
      <w:r w:rsidRPr="00BE6C05">
        <w:rPr>
          <w:noProof/>
          <w:szCs w:val="22"/>
        </w:rPr>
        <w:lastRenderedPageBreak/>
        <w:drawing>
          <wp:inline distT="0" distB="0" distL="0" distR="0" wp14:anchorId="34BA0146" wp14:editId="62EC42E8">
            <wp:extent cx="5943600" cy="4536440"/>
            <wp:effectExtent l="0" t="0" r="0" b="0"/>
            <wp:docPr id="29" name="Picture 1">
              <a:extLst xmlns:a="http://schemas.openxmlformats.org/drawingml/2006/main">
                <a:ext uri="{FF2B5EF4-FFF2-40B4-BE49-F238E27FC236}">
                  <a16:creationId xmlns:a16="http://schemas.microsoft.com/office/drawing/2014/main" id="{30E1B66A-145B-4252-A52A-29D5CE790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E1B66A-145B-4252-A52A-29D5CE790234}"/>
                        </a:ext>
                      </a:extLst>
                    </pic:cNvPr>
                    <pic:cNvPicPr>
                      <a:picLocks noChangeAspect="1"/>
                    </pic:cNvPicPr>
                  </pic:nvPicPr>
                  <pic:blipFill rotWithShape="1">
                    <a:blip r:embed="rId12"/>
                    <a:srcRect l="22963" t="18222" r="22685" b="15408"/>
                    <a:stretch/>
                  </pic:blipFill>
                  <pic:spPr>
                    <a:xfrm>
                      <a:off x="0" y="0"/>
                      <a:ext cx="5943600" cy="4536440"/>
                    </a:xfrm>
                    <a:prstGeom prst="rect">
                      <a:avLst/>
                    </a:prstGeom>
                  </pic:spPr>
                </pic:pic>
              </a:graphicData>
            </a:graphic>
          </wp:inline>
        </w:drawing>
      </w:r>
    </w:p>
    <w:p w14:paraId="7012120E" w14:textId="07C985F1" w:rsidR="00C82904" w:rsidRDefault="00C82904" w:rsidP="00EB38F8">
      <w:pPr>
        <w:rPr>
          <w:szCs w:val="22"/>
          <w:lang w:val="en-CA"/>
        </w:rPr>
      </w:pPr>
      <w:r>
        <w:rPr>
          <w:szCs w:val="22"/>
          <w:lang w:val="en-CA"/>
        </w:rPr>
        <w:t xml:space="preserve">To avoid such constraints, it would be desirable to enable signalling of different decoding time stamps for each frame rate version of the content intended to be decodable by receivers. </w:t>
      </w:r>
    </w:p>
    <w:p w14:paraId="4C328E32" w14:textId="592420AD" w:rsidR="00C453DE" w:rsidRDefault="00C453DE" w:rsidP="00E11923">
      <w:pPr>
        <w:pStyle w:val="Heading1"/>
      </w:pPr>
      <w:proofErr w:type="spellStart"/>
      <w:r w:rsidRPr="00C12906">
        <w:t>Signalling</w:t>
      </w:r>
      <w:proofErr w:type="spellEnd"/>
      <w:r w:rsidRPr="00C12906">
        <w:t xml:space="preserve"> CPB removal delays and DPB output delays</w:t>
      </w:r>
      <w:r>
        <w:t xml:space="preserve"> for every version of the content</w:t>
      </w:r>
    </w:p>
    <w:p w14:paraId="5A067A8B" w14:textId="4A9DFE7C" w:rsidR="00C82904" w:rsidRDefault="00C82904" w:rsidP="00C82904">
      <w:pPr>
        <w:pStyle w:val="Heading2"/>
      </w:pPr>
      <w:r>
        <w:t>Introduction</w:t>
      </w:r>
    </w:p>
    <w:p w14:paraId="2A38BF61" w14:textId="3119D33B" w:rsidR="00D47CD2" w:rsidRDefault="00D47CD2" w:rsidP="00D47CD2">
      <w:pPr>
        <w:rPr>
          <w:lang w:val="de-DE"/>
        </w:rPr>
      </w:pPr>
      <w:r>
        <w:rPr>
          <w:lang w:val="de-DE"/>
        </w:rPr>
        <w:t xml:space="preserve">It is suggested to enable signalling of </w:t>
      </w:r>
      <w:r w:rsidRPr="00881F8D">
        <w:rPr>
          <w:rFonts w:hint="eastAsia"/>
          <w:lang w:val="de-DE"/>
        </w:rPr>
        <w:t>different CPB removal delays and DPB output</w:t>
      </w:r>
      <w:r w:rsidRPr="00C12906">
        <w:rPr>
          <w:lang w:val="de-DE"/>
        </w:rPr>
        <w:t xml:space="preserve"> </w:t>
      </w:r>
      <w:r w:rsidRPr="00881F8D">
        <w:rPr>
          <w:rFonts w:hint="eastAsia"/>
          <w:lang w:val="de-DE"/>
        </w:rPr>
        <w:t>delays</w:t>
      </w:r>
      <w:r w:rsidR="00AA330B">
        <w:rPr>
          <w:lang w:val="de-DE"/>
        </w:rPr>
        <w:t xml:space="preserve"> </w:t>
      </w:r>
      <w:r w:rsidRPr="00881F8D">
        <w:rPr>
          <w:rFonts w:hint="eastAsia"/>
          <w:lang w:val="de-DE"/>
        </w:rPr>
        <w:t>for each temporal sub-layer contained in the bi</w:t>
      </w:r>
      <w:r w:rsidR="00AA330B">
        <w:rPr>
          <w:lang w:val="de-DE"/>
        </w:rPr>
        <w:t>tstream.</w:t>
      </w:r>
    </w:p>
    <w:p w14:paraId="46C95833" w14:textId="51DE8424" w:rsidR="00AA330B" w:rsidRPr="00D47CD2" w:rsidRDefault="00AA330B" w:rsidP="00D47CD2">
      <w:r w:rsidRPr="00881F8D">
        <w:rPr>
          <w:rFonts w:hint="eastAsia"/>
          <w:lang w:val="de-DE"/>
        </w:rPr>
        <w:t xml:space="preserve">In order for the necessary timing information to be present for each </w:t>
      </w:r>
      <w:r>
        <w:rPr>
          <w:lang w:val="de-DE"/>
        </w:rPr>
        <w:t xml:space="preserve">frame rate </w:t>
      </w:r>
      <w:r w:rsidRPr="00881F8D">
        <w:rPr>
          <w:rFonts w:hint="eastAsia"/>
          <w:lang w:val="de-DE"/>
        </w:rPr>
        <w:t>version</w:t>
      </w:r>
      <w:r w:rsidRPr="00C12906">
        <w:rPr>
          <w:lang w:val="de-DE"/>
        </w:rPr>
        <w:t xml:space="preserve"> </w:t>
      </w:r>
      <w:r w:rsidRPr="00881F8D">
        <w:rPr>
          <w:rFonts w:hint="eastAsia"/>
          <w:lang w:val="de-DE"/>
        </w:rPr>
        <w:t xml:space="preserve">of the video sequence, the flag sub_layer_delays_present_flag[i] is expected to be equal to 1 for every value of i that corresponds to the maximum temporal ID value associated to </w:t>
      </w:r>
      <w:r w:rsidR="00E35162">
        <w:rPr>
          <w:lang w:val="de-DE"/>
        </w:rPr>
        <w:t>a</w:t>
      </w:r>
      <w:r>
        <w:rPr>
          <w:lang w:val="de-DE"/>
        </w:rPr>
        <w:t xml:space="preserve"> frame rate</w:t>
      </w:r>
      <w:r w:rsidRPr="00881F8D">
        <w:rPr>
          <w:rFonts w:hint="eastAsia"/>
          <w:lang w:val="de-DE"/>
        </w:rPr>
        <w:t xml:space="preserve"> version of the coded video sequence.</w:t>
      </w:r>
    </w:p>
    <w:p w14:paraId="1D15CAE1" w14:textId="42A7DD7F" w:rsidR="00C82904" w:rsidRDefault="00C82904" w:rsidP="00C82904">
      <w:pPr>
        <w:pStyle w:val="Heading2"/>
      </w:pPr>
      <w:r>
        <w:t>Modifications to the Picture Timing SEI message</w:t>
      </w:r>
    </w:p>
    <w:p w14:paraId="3CE939E3" w14:textId="2D8D8D64" w:rsidR="00AE369F" w:rsidRDefault="00AE369F" w:rsidP="00AE369F">
      <w:r>
        <w:t xml:space="preserve">The modifications suggested below are based on the syntax and semantics of the picture timing SEI message specified in Annex D of HEVC </w:t>
      </w:r>
      <w:r>
        <w:fldChar w:fldCharType="begin"/>
      </w:r>
      <w:r>
        <w:instrText xml:space="preserve"> REF _Ref2942970 \n \h </w:instrText>
      </w:r>
      <w:r>
        <w:fldChar w:fldCharType="separate"/>
      </w:r>
      <w:r>
        <w:t>[1]</w:t>
      </w:r>
      <w:r>
        <w:fldChar w:fldCharType="end"/>
      </w:r>
      <w:r>
        <w:t>.</w:t>
      </w:r>
    </w:p>
    <w:p w14:paraId="2A760AAC" w14:textId="77777777" w:rsidR="00862052" w:rsidRDefault="00862052" w:rsidP="00AE369F"/>
    <w:tbl>
      <w:tblPr>
        <w:tblW w:w="0" w:type="auto"/>
        <w:jc w:val="center"/>
        <w:tblLayout w:type="fixed"/>
        <w:tblLook w:val="04A0" w:firstRow="1" w:lastRow="0" w:firstColumn="1" w:lastColumn="0" w:noHBand="0" w:noVBand="1"/>
      </w:tblPr>
      <w:tblGrid>
        <w:gridCol w:w="7920"/>
        <w:gridCol w:w="1152"/>
      </w:tblGrid>
      <w:tr w:rsidR="00862052" w14:paraId="48E861B8"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A77870C" w14:textId="77777777" w:rsidR="00862052" w:rsidRDefault="00862052">
            <w:pPr>
              <w:pStyle w:val="tablesyntax"/>
              <w:rPr>
                <w:noProof/>
              </w:rPr>
            </w:pPr>
            <w:r>
              <w:rPr>
                <w:noProof/>
              </w:rPr>
              <w:lastRenderedPageBreak/>
              <w:t>pic_timing( payloadSize ) {</w:t>
            </w:r>
          </w:p>
        </w:tc>
        <w:tc>
          <w:tcPr>
            <w:tcW w:w="1152" w:type="dxa"/>
            <w:tcBorders>
              <w:top w:val="single" w:sz="6" w:space="0" w:color="auto"/>
              <w:left w:val="single" w:sz="6" w:space="0" w:color="auto"/>
              <w:bottom w:val="single" w:sz="4" w:space="0" w:color="auto"/>
              <w:right w:val="single" w:sz="6" w:space="0" w:color="auto"/>
            </w:tcBorders>
            <w:hideMark/>
          </w:tcPr>
          <w:p w14:paraId="26849F84" w14:textId="77777777" w:rsidR="00862052" w:rsidRDefault="00862052">
            <w:pPr>
              <w:pStyle w:val="tableheading"/>
              <w:rPr>
                <w:noProof/>
              </w:rPr>
            </w:pPr>
            <w:r>
              <w:rPr>
                <w:noProof/>
              </w:rPr>
              <w:t>Descriptor</w:t>
            </w:r>
          </w:p>
        </w:tc>
      </w:tr>
      <w:tr w:rsidR="00862052" w14:paraId="618DF340"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15F9B6B9" w14:textId="77777777" w:rsidR="00862052" w:rsidRDefault="00862052">
            <w:pPr>
              <w:pStyle w:val="tablesyntax"/>
              <w:rPr>
                <w:noProof/>
              </w:rPr>
            </w:pPr>
            <w:r>
              <w:rPr>
                <w:noProof/>
              </w:rPr>
              <w:tab/>
              <w:t>if( frame_field_info_present_flag ) {</w:t>
            </w:r>
          </w:p>
        </w:tc>
        <w:tc>
          <w:tcPr>
            <w:tcW w:w="1152" w:type="dxa"/>
            <w:tcBorders>
              <w:top w:val="single" w:sz="6" w:space="0" w:color="auto"/>
              <w:left w:val="single" w:sz="6" w:space="0" w:color="auto"/>
              <w:bottom w:val="single" w:sz="4" w:space="0" w:color="auto"/>
              <w:right w:val="single" w:sz="6" w:space="0" w:color="auto"/>
            </w:tcBorders>
          </w:tcPr>
          <w:p w14:paraId="27E399BF" w14:textId="77777777" w:rsidR="00862052" w:rsidRDefault="00862052">
            <w:pPr>
              <w:pStyle w:val="tableheading"/>
              <w:rPr>
                <w:b w:val="0"/>
                <w:bCs w:val="0"/>
                <w:noProof/>
              </w:rPr>
            </w:pPr>
          </w:p>
        </w:tc>
      </w:tr>
      <w:tr w:rsidR="00862052" w14:paraId="078E09BE"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1DB9C74D" w14:textId="77777777" w:rsidR="00862052" w:rsidRDefault="00862052">
            <w:pPr>
              <w:pStyle w:val="tablesyntax"/>
              <w:rPr>
                <w:b/>
                <w:noProof/>
              </w:rPr>
            </w:pPr>
            <w:r>
              <w:rPr>
                <w:noProof/>
              </w:rPr>
              <w:tab/>
            </w:r>
            <w:r>
              <w:rPr>
                <w:noProof/>
              </w:rPr>
              <w:tab/>
            </w:r>
            <w:r>
              <w:rPr>
                <w:b/>
                <w:noProof/>
              </w:rPr>
              <w:t>pic_struct</w:t>
            </w:r>
          </w:p>
        </w:tc>
        <w:tc>
          <w:tcPr>
            <w:tcW w:w="1152" w:type="dxa"/>
            <w:tcBorders>
              <w:top w:val="single" w:sz="6" w:space="0" w:color="auto"/>
              <w:left w:val="single" w:sz="6" w:space="0" w:color="auto"/>
              <w:bottom w:val="single" w:sz="4" w:space="0" w:color="auto"/>
              <w:right w:val="single" w:sz="6" w:space="0" w:color="auto"/>
            </w:tcBorders>
            <w:hideMark/>
          </w:tcPr>
          <w:p w14:paraId="7B1FA1C5" w14:textId="77777777" w:rsidR="00862052" w:rsidRDefault="00862052" w:rsidP="00862052">
            <w:pPr>
              <w:pStyle w:val="tableheading"/>
              <w:jc w:val="center"/>
              <w:rPr>
                <w:b w:val="0"/>
                <w:bCs w:val="0"/>
                <w:noProof/>
              </w:rPr>
            </w:pPr>
            <w:r>
              <w:rPr>
                <w:b w:val="0"/>
                <w:bCs w:val="0"/>
                <w:noProof/>
              </w:rPr>
              <w:t>u(4)</w:t>
            </w:r>
          </w:p>
        </w:tc>
      </w:tr>
      <w:tr w:rsidR="00862052" w14:paraId="25355475"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F186535" w14:textId="77777777" w:rsidR="00862052" w:rsidRDefault="00862052">
            <w:pPr>
              <w:pStyle w:val="tablesyntax"/>
              <w:rPr>
                <w:b/>
                <w:noProof/>
              </w:rPr>
            </w:pPr>
            <w:r>
              <w:rPr>
                <w:noProof/>
              </w:rPr>
              <w:tab/>
            </w:r>
            <w:r>
              <w:rPr>
                <w:noProof/>
              </w:rPr>
              <w:tab/>
            </w:r>
            <w:r>
              <w:rPr>
                <w:b/>
                <w:noProof/>
              </w:rPr>
              <w:t>source_scan_type</w:t>
            </w:r>
          </w:p>
        </w:tc>
        <w:tc>
          <w:tcPr>
            <w:tcW w:w="1152" w:type="dxa"/>
            <w:tcBorders>
              <w:top w:val="single" w:sz="6" w:space="0" w:color="auto"/>
              <w:left w:val="single" w:sz="6" w:space="0" w:color="auto"/>
              <w:bottom w:val="single" w:sz="4" w:space="0" w:color="auto"/>
              <w:right w:val="single" w:sz="6" w:space="0" w:color="auto"/>
            </w:tcBorders>
            <w:hideMark/>
          </w:tcPr>
          <w:p w14:paraId="15EFA262" w14:textId="77777777" w:rsidR="00862052" w:rsidRDefault="00862052" w:rsidP="00862052">
            <w:pPr>
              <w:pStyle w:val="tableheading"/>
              <w:jc w:val="center"/>
              <w:rPr>
                <w:b w:val="0"/>
                <w:bCs w:val="0"/>
                <w:noProof/>
              </w:rPr>
            </w:pPr>
            <w:r>
              <w:rPr>
                <w:b w:val="0"/>
                <w:bCs w:val="0"/>
                <w:noProof/>
              </w:rPr>
              <w:t>u(2)</w:t>
            </w:r>
          </w:p>
        </w:tc>
      </w:tr>
      <w:tr w:rsidR="00862052" w14:paraId="746CCC40"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9F5D197" w14:textId="77777777" w:rsidR="00862052" w:rsidRDefault="00862052">
            <w:pPr>
              <w:pStyle w:val="tablesyntax"/>
              <w:rPr>
                <w:b/>
                <w:noProof/>
              </w:rPr>
            </w:pPr>
            <w:r>
              <w:rPr>
                <w:noProof/>
              </w:rPr>
              <w:tab/>
            </w:r>
            <w:r>
              <w:rPr>
                <w:noProof/>
              </w:rPr>
              <w:tab/>
            </w:r>
            <w:r>
              <w:rPr>
                <w:b/>
                <w:noProof/>
              </w:rPr>
              <w:t>duplicate_flag</w:t>
            </w:r>
          </w:p>
        </w:tc>
        <w:tc>
          <w:tcPr>
            <w:tcW w:w="1152" w:type="dxa"/>
            <w:tcBorders>
              <w:top w:val="single" w:sz="6" w:space="0" w:color="auto"/>
              <w:left w:val="single" w:sz="6" w:space="0" w:color="auto"/>
              <w:bottom w:val="single" w:sz="4" w:space="0" w:color="auto"/>
              <w:right w:val="single" w:sz="6" w:space="0" w:color="auto"/>
            </w:tcBorders>
            <w:hideMark/>
          </w:tcPr>
          <w:p w14:paraId="36765377" w14:textId="77777777" w:rsidR="00862052" w:rsidRDefault="00862052" w:rsidP="00862052">
            <w:pPr>
              <w:pStyle w:val="tableheading"/>
              <w:jc w:val="center"/>
              <w:rPr>
                <w:b w:val="0"/>
                <w:bCs w:val="0"/>
                <w:noProof/>
              </w:rPr>
            </w:pPr>
            <w:r>
              <w:rPr>
                <w:b w:val="0"/>
                <w:bCs w:val="0"/>
                <w:noProof/>
              </w:rPr>
              <w:t>u(1)</w:t>
            </w:r>
          </w:p>
        </w:tc>
      </w:tr>
      <w:tr w:rsidR="00862052" w14:paraId="3C574F43"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CE4B328" w14:textId="77777777" w:rsidR="00862052" w:rsidRDefault="00862052">
            <w:pPr>
              <w:pStyle w:val="tablesyntax"/>
              <w:rPr>
                <w:noProof/>
              </w:rPr>
            </w:pPr>
            <w:r>
              <w:rPr>
                <w:noProof/>
              </w:rPr>
              <w:tab/>
              <w:t>}</w:t>
            </w:r>
          </w:p>
        </w:tc>
        <w:tc>
          <w:tcPr>
            <w:tcW w:w="1152" w:type="dxa"/>
            <w:tcBorders>
              <w:top w:val="single" w:sz="6" w:space="0" w:color="auto"/>
              <w:left w:val="single" w:sz="6" w:space="0" w:color="auto"/>
              <w:bottom w:val="single" w:sz="4" w:space="0" w:color="auto"/>
              <w:right w:val="single" w:sz="6" w:space="0" w:color="auto"/>
            </w:tcBorders>
          </w:tcPr>
          <w:p w14:paraId="3CB9BB68" w14:textId="77777777" w:rsidR="00862052" w:rsidRDefault="00862052" w:rsidP="00862052">
            <w:pPr>
              <w:pStyle w:val="tableheading"/>
              <w:jc w:val="center"/>
              <w:rPr>
                <w:b w:val="0"/>
                <w:bCs w:val="0"/>
                <w:noProof/>
              </w:rPr>
            </w:pPr>
          </w:p>
        </w:tc>
      </w:tr>
      <w:tr w:rsidR="00862052" w14:paraId="12BF1324"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7C8885F1" w14:textId="77777777" w:rsidR="00862052" w:rsidRDefault="00862052">
            <w:pPr>
              <w:pStyle w:val="tablesyntax"/>
              <w:rPr>
                <w:noProof/>
              </w:rPr>
            </w:pPr>
            <w:r>
              <w:tab/>
            </w:r>
            <w:proofErr w:type="gramStart"/>
            <w:r>
              <w:t xml:space="preserve">if( </w:t>
            </w:r>
            <w:proofErr w:type="spellStart"/>
            <w:r>
              <w:t>CpbDpbDelaysPresentFlag</w:t>
            </w:r>
            <w:proofErr w:type="spellEnd"/>
            <w:proofErr w:type="gramEnd"/>
            <w:r>
              <w:t xml:space="preserve"> ) {</w:t>
            </w:r>
          </w:p>
        </w:tc>
        <w:tc>
          <w:tcPr>
            <w:tcW w:w="1152" w:type="dxa"/>
            <w:tcBorders>
              <w:top w:val="single" w:sz="6" w:space="0" w:color="auto"/>
              <w:left w:val="single" w:sz="6" w:space="0" w:color="auto"/>
              <w:bottom w:val="single" w:sz="4" w:space="0" w:color="auto"/>
              <w:right w:val="single" w:sz="6" w:space="0" w:color="auto"/>
            </w:tcBorders>
          </w:tcPr>
          <w:p w14:paraId="1C876F21" w14:textId="77777777" w:rsidR="00862052" w:rsidRDefault="00862052" w:rsidP="00862052">
            <w:pPr>
              <w:pStyle w:val="tableheading"/>
              <w:jc w:val="center"/>
              <w:rPr>
                <w:b w:val="0"/>
                <w:bCs w:val="0"/>
                <w:noProof/>
              </w:rPr>
            </w:pPr>
          </w:p>
        </w:tc>
      </w:tr>
      <w:tr w:rsidR="00862052" w14:paraId="220DE56E"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24E35347" w14:textId="42794C75" w:rsidR="00862052" w:rsidRPr="00862052" w:rsidRDefault="00862052">
            <w:pPr>
              <w:pStyle w:val="tablesyntax"/>
              <w:rPr>
                <w:noProof/>
                <w:highlight w:val="yellow"/>
              </w:rPr>
            </w:pPr>
            <w:r w:rsidRPr="00862052">
              <w:rPr>
                <w:highlight w:val="yellow"/>
              </w:rPr>
              <w:tab/>
            </w:r>
            <w:r w:rsidRPr="00862052">
              <w:rPr>
                <w:highlight w:val="yellow"/>
              </w:rPr>
              <w:tab/>
            </w:r>
            <w:r w:rsidRPr="00862052">
              <w:rPr>
                <w:noProof/>
                <w:highlight w:val="yellow"/>
              </w:rPr>
              <w:t>for( i = 0; i &lt; maxNumSubLayersMinus1 + 1; i++ ) {</w:t>
            </w:r>
          </w:p>
        </w:tc>
        <w:tc>
          <w:tcPr>
            <w:tcW w:w="1152" w:type="dxa"/>
            <w:tcBorders>
              <w:top w:val="single" w:sz="6" w:space="0" w:color="auto"/>
              <w:left w:val="single" w:sz="6" w:space="0" w:color="auto"/>
              <w:bottom w:val="single" w:sz="4" w:space="0" w:color="auto"/>
              <w:right w:val="single" w:sz="6" w:space="0" w:color="auto"/>
            </w:tcBorders>
          </w:tcPr>
          <w:p w14:paraId="3FFE83AA" w14:textId="77777777" w:rsidR="00862052" w:rsidRPr="00862052" w:rsidRDefault="00862052" w:rsidP="00862052">
            <w:pPr>
              <w:pStyle w:val="tableheading"/>
              <w:jc w:val="center"/>
              <w:rPr>
                <w:b w:val="0"/>
                <w:bCs w:val="0"/>
                <w:noProof/>
                <w:highlight w:val="yellow"/>
              </w:rPr>
            </w:pPr>
          </w:p>
        </w:tc>
      </w:tr>
      <w:tr w:rsidR="00862052" w14:paraId="0443BA9A"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0A276A2E" w14:textId="2B3BA4E4" w:rsidR="00862052" w:rsidRPr="00862052" w:rsidRDefault="00862052">
            <w:pPr>
              <w:pStyle w:val="tablesyntax"/>
              <w:rPr>
                <w:noProof/>
                <w:highlight w:val="yellow"/>
              </w:rPr>
            </w:pPr>
            <w:r w:rsidRPr="00862052">
              <w:rPr>
                <w:highlight w:val="yellow"/>
              </w:rPr>
              <w:tab/>
            </w:r>
            <w:r w:rsidRPr="00862052">
              <w:rPr>
                <w:highlight w:val="yellow"/>
              </w:rPr>
              <w:tab/>
            </w:r>
            <w:r w:rsidRPr="00862052">
              <w:rPr>
                <w:highlight w:val="yellow"/>
              </w:rPr>
              <w:tab/>
            </w:r>
            <w:proofErr w:type="spellStart"/>
            <w:r w:rsidRPr="00862052">
              <w:rPr>
                <w:b/>
                <w:highlight w:val="yellow"/>
              </w:rPr>
              <w:t>sub_layer_delays_present_</w:t>
            </w:r>
            <w:proofErr w:type="gramStart"/>
            <w:r w:rsidRPr="00862052">
              <w:rPr>
                <w:b/>
                <w:highlight w:val="yellow"/>
              </w:rPr>
              <w:t>flag</w:t>
            </w:r>
            <w:proofErr w:type="spellEnd"/>
            <w:r w:rsidRPr="00862052">
              <w:rPr>
                <w:highlight w:val="yellow"/>
              </w:rPr>
              <w:t>[</w:t>
            </w:r>
            <w:proofErr w:type="gramEnd"/>
            <w:r w:rsidRPr="00862052">
              <w:rPr>
                <w:highlight w:val="yellow"/>
              </w:rPr>
              <w:t xml:space="preserve"> </w:t>
            </w:r>
            <w:proofErr w:type="spellStart"/>
            <w:r w:rsidRPr="00862052">
              <w:rPr>
                <w:highlight w:val="yellow"/>
              </w:rPr>
              <w:t>i</w:t>
            </w:r>
            <w:proofErr w:type="spellEnd"/>
            <w:r w:rsidRPr="00862052">
              <w:rPr>
                <w:highlight w:val="yellow"/>
              </w:rPr>
              <w:t xml:space="preserve"> ]</w:t>
            </w:r>
          </w:p>
        </w:tc>
        <w:tc>
          <w:tcPr>
            <w:tcW w:w="1152" w:type="dxa"/>
            <w:tcBorders>
              <w:top w:val="single" w:sz="6" w:space="0" w:color="auto"/>
              <w:left w:val="single" w:sz="6" w:space="0" w:color="auto"/>
              <w:bottom w:val="single" w:sz="4" w:space="0" w:color="auto"/>
              <w:right w:val="single" w:sz="6" w:space="0" w:color="auto"/>
            </w:tcBorders>
          </w:tcPr>
          <w:p w14:paraId="2521298D" w14:textId="25BDB247" w:rsidR="00862052" w:rsidRPr="00862052" w:rsidRDefault="00862052" w:rsidP="00862052">
            <w:pPr>
              <w:pStyle w:val="tableheading"/>
              <w:jc w:val="center"/>
              <w:rPr>
                <w:b w:val="0"/>
                <w:bCs w:val="0"/>
                <w:noProof/>
                <w:highlight w:val="yellow"/>
              </w:rPr>
            </w:pPr>
            <w:r w:rsidRPr="00862052">
              <w:rPr>
                <w:b w:val="0"/>
                <w:bCs w:val="0"/>
                <w:noProof/>
                <w:highlight w:val="yellow"/>
              </w:rPr>
              <w:t>u(1)</w:t>
            </w:r>
          </w:p>
        </w:tc>
      </w:tr>
      <w:tr w:rsidR="00862052" w14:paraId="6EB07687"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355A5826" w14:textId="0BD71993" w:rsidR="00862052" w:rsidRPr="00862052" w:rsidRDefault="00862052">
            <w:pPr>
              <w:pStyle w:val="tablesyntax"/>
              <w:rPr>
                <w:noProof/>
                <w:highlight w:val="yellow"/>
              </w:rPr>
            </w:pPr>
            <w:r w:rsidRPr="00862052">
              <w:rPr>
                <w:highlight w:val="yellow"/>
              </w:rPr>
              <w:tab/>
            </w:r>
            <w:r w:rsidRPr="00862052">
              <w:rPr>
                <w:highlight w:val="yellow"/>
              </w:rPr>
              <w:tab/>
            </w:r>
            <w:r w:rsidRPr="00862052">
              <w:rPr>
                <w:highlight w:val="yellow"/>
              </w:rPr>
              <w:tab/>
            </w:r>
            <w:proofErr w:type="gramStart"/>
            <w:r w:rsidRPr="00862052">
              <w:rPr>
                <w:highlight w:val="yellow"/>
              </w:rPr>
              <w:t xml:space="preserve">if( </w:t>
            </w:r>
            <w:proofErr w:type="spellStart"/>
            <w:r w:rsidRPr="00862052">
              <w:rPr>
                <w:highlight w:val="yellow"/>
              </w:rPr>
              <w:t>sub</w:t>
            </w:r>
            <w:proofErr w:type="gramEnd"/>
            <w:r w:rsidRPr="00862052">
              <w:rPr>
                <w:highlight w:val="yellow"/>
              </w:rPr>
              <w:t>_layer_delays_present_flag</w:t>
            </w:r>
            <w:proofErr w:type="spellEnd"/>
            <w:r w:rsidRPr="00862052">
              <w:rPr>
                <w:highlight w:val="yellow"/>
              </w:rPr>
              <w:t xml:space="preserve">[ </w:t>
            </w:r>
            <w:proofErr w:type="spellStart"/>
            <w:r w:rsidRPr="00862052">
              <w:rPr>
                <w:highlight w:val="yellow"/>
              </w:rPr>
              <w:t>i</w:t>
            </w:r>
            <w:proofErr w:type="spellEnd"/>
            <w:r w:rsidRPr="00862052">
              <w:rPr>
                <w:highlight w:val="yellow"/>
              </w:rPr>
              <w:t xml:space="preserve"> ] ) {</w:t>
            </w:r>
          </w:p>
        </w:tc>
        <w:tc>
          <w:tcPr>
            <w:tcW w:w="1152" w:type="dxa"/>
            <w:tcBorders>
              <w:top w:val="single" w:sz="6" w:space="0" w:color="auto"/>
              <w:left w:val="single" w:sz="6" w:space="0" w:color="auto"/>
              <w:bottom w:val="single" w:sz="4" w:space="0" w:color="auto"/>
              <w:right w:val="single" w:sz="6" w:space="0" w:color="auto"/>
            </w:tcBorders>
          </w:tcPr>
          <w:p w14:paraId="65F4781A" w14:textId="77777777" w:rsidR="00862052" w:rsidRPr="00862052" w:rsidRDefault="00862052" w:rsidP="00862052">
            <w:pPr>
              <w:pStyle w:val="tableheading"/>
              <w:jc w:val="center"/>
              <w:rPr>
                <w:b w:val="0"/>
                <w:bCs w:val="0"/>
                <w:noProof/>
                <w:highlight w:val="yellow"/>
              </w:rPr>
            </w:pPr>
          </w:p>
        </w:tc>
      </w:tr>
      <w:tr w:rsidR="00862052" w14:paraId="004C7C75"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02C00744" w14:textId="6BBE8A13" w:rsidR="00862052" w:rsidRPr="00862052" w:rsidRDefault="00862052">
            <w:pPr>
              <w:pStyle w:val="tablesyntax"/>
              <w:rPr>
                <w:noProof/>
                <w:highlight w:val="yellow"/>
              </w:rPr>
            </w:pPr>
            <w:r w:rsidRPr="00862052">
              <w:rPr>
                <w:highlight w:val="yellow"/>
              </w:rPr>
              <w:tab/>
            </w:r>
            <w:r w:rsidRPr="00862052">
              <w:rPr>
                <w:highlight w:val="yellow"/>
              </w:rPr>
              <w:tab/>
            </w:r>
            <w:r w:rsidRPr="00862052">
              <w:rPr>
                <w:highlight w:val="yellow"/>
              </w:rPr>
              <w:tab/>
            </w:r>
            <w:r w:rsidRPr="00862052">
              <w:rPr>
                <w:highlight w:val="yellow"/>
              </w:rPr>
              <w:tab/>
            </w:r>
            <w:r w:rsidRPr="00862052">
              <w:rPr>
                <w:b/>
                <w:highlight w:val="yellow"/>
              </w:rPr>
              <w:t>au_cpb_removal_delay_minus1</w:t>
            </w:r>
            <w:r w:rsidRPr="00862052">
              <w:rPr>
                <w:highlight w:val="yellow"/>
              </w:rPr>
              <w:t xml:space="preserve">[ </w:t>
            </w:r>
            <w:proofErr w:type="spellStart"/>
            <w:proofErr w:type="gramStart"/>
            <w:r w:rsidRPr="00862052">
              <w:rPr>
                <w:highlight w:val="yellow"/>
              </w:rPr>
              <w:t>i</w:t>
            </w:r>
            <w:proofErr w:type="spellEnd"/>
            <w:r w:rsidRPr="00862052">
              <w:rPr>
                <w:highlight w:val="yellow"/>
              </w:rPr>
              <w:t xml:space="preserve"> ]</w:t>
            </w:r>
            <w:proofErr w:type="gramEnd"/>
          </w:p>
        </w:tc>
        <w:tc>
          <w:tcPr>
            <w:tcW w:w="1152" w:type="dxa"/>
            <w:tcBorders>
              <w:top w:val="single" w:sz="6" w:space="0" w:color="auto"/>
              <w:left w:val="single" w:sz="6" w:space="0" w:color="auto"/>
              <w:bottom w:val="single" w:sz="4" w:space="0" w:color="auto"/>
              <w:right w:val="single" w:sz="6" w:space="0" w:color="auto"/>
            </w:tcBorders>
          </w:tcPr>
          <w:p w14:paraId="1BE376AD" w14:textId="121A8064" w:rsidR="00862052" w:rsidRPr="00862052" w:rsidRDefault="00862052" w:rsidP="00862052">
            <w:pPr>
              <w:pStyle w:val="tableheading"/>
              <w:jc w:val="center"/>
              <w:rPr>
                <w:b w:val="0"/>
                <w:bCs w:val="0"/>
                <w:noProof/>
                <w:highlight w:val="yellow"/>
              </w:rPr>
            </w:pPr>
            <w:r w:rsidRPr="00862052">
              <w:rPr>
                <w:b w:val="0"/>
                <w:bCs w:val="0"/>
                <w:noProof/>
                <w:highlight w:val="yellow"/>
              </w:rPr>
              <w:t>u(v)</w:t>
            </w:r>
          </w:p>
        </w:tc>
      </w:tr>
      <w:tr w:rsidR="00862052" w14:paraId="07827649"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76A815EA" w14:textId="3667AD08" w:rsidR="00862052" w:rsidRPr="00862052" w:rsidRDefault="00862052">
            <w:pPr>
              <w:pStyle w:val="tablesyntax"/>
              <w:rPr>
                <w:noProof/>
                <w:highlight w:val="yellow"/>
              </w:rPr>
            </w:pPr>
            <w:r w:rsidRPr="00862052">
              <w:rPr>
                <w:highlight w:val="yellow"/>
              </w:rPr>
              <w:tab/>
            </w:r>
            <w:r w:rsidRPr="00862052">
              <w:rPr>
                <w:highlight w:val="yellow"/>
              </w:rPr>
              <w:tab/>
            </w:r>
            <w:r w:rsidRPr="00862052">
              <w:rPr>
                <w:highlight w:val="yellow"/>
              </w:rPr>
              <w:tab/>
            </w:r>
            <w:r w:rsidRPr="00862052">
              <w:rPr>
                <w:highlight w:val="yellow"/>
              </w:rPr>
              <w:tab/>
            </w:r>
            <w:r w:rsidRPr="00862052">
              <w:rPr>
                <w:b/>
                <w:noProof/>
                <w:highlight w:val="yellow"/>
              </w:rPr>
              <w:t>pic_dpb_output_delay</w:t>
            </w:r>
            <w:r w:rsidRPr="00862052">
              <w:rPr>
                <w:noProof/>
                <w:highlight w:val="yellow"/>
              </w:rPr>
              <w:t>[ i ]</w:t>
            </w:r>
          </w:p>
        </w:tc>
        <w:tc>
          <w:tcPr>
            <w:tcW w:w="1152" w:type="dxa"/>
            <w:tcBorders>
              <w:top w:val="single" w:sz="6" w:space="0" w:color="auto"/>
              <w:left w:val="single" w:sz="6" w:space="0" w:color="auto"/>
              <w:bottom w:val="single" w:sz="4" w:space="0" w:color="auto"/>
              <w:right w:val="single" w:sz="6" w:space="0" w:color="auto"/>
            </w:tcBorders>
          </w:tcPr>
          <w:p w14:paraId="295D9DFB" w14:textId="6FE1398E" w:rsidR="00862052" w:rsidRPr="00862052" w:rsidRDefault="00862052" w:rsidP="00862052">
            <w:pPr>
              <w:pStyle w:val="tableheading"/>
              <w:jc w:val="center"/>
              <w:rPr>
                <w:b w:val="0"/>
                <w:bCs w:val="0"/>
                <w:noProof/>
                <w:highlight w:val="yellow"/>
              </w:rPr>
            </w:pPr>
            <w:r w:rsidRPr="00862052">
              <w:rPr>
                <w:b w:val="0"/>
                <w:bCs w:val="0"/>
                <w:noProof/>
                <w:highlight w:val="yellow"/>
              </w:rPr>
              <w:t>u(v)</w:t>
            </w:r>
          </w:p>
        </w:tc>
      </w:tr>
      <w:tr w:rsidR="00862052" w14:paraId="7F7D6C79"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767AC0E9" w14:textId="71FCFFA5" w:rsidR="00862052" w:rsidRPr="00862052" w:rsidRDefault="00862052">
            <w:pPr>
              <w:pStyle w:val="tablesyntax"/>
              <w:rPr>
                <w:noProof/>
                <w:highlight w:val="yellow"/>
              </w:rPr>
            </w:pPr>
            <w:r w:rsidRPr="00862052">
              <w:rPr>
                <w:highlight w:val="yellow"/>
              </w:rPr>
              <w:tab/>
            </w:r>
            <w:r w:rsidRPr="00862052">
              <w:rPr>
                <w:highlight w:val="yellow"/>
              </w:rPr>
              <w:tab/>
            </w:r>
            <w:r w:rsidRPr="00862052">
              <w:rPr>
                <w:highlight w:val="yellow"/>
              </w:rPr>
              <w:tab/>
              <w:t>}</w:t>
            </w:r>
          </w:p>
        </w:tc>
        <w:tc>
          <w:tcPr>
            <w:tcW w:w="1152" w:type="dxa"/>
            <w:tcBorders>
              <w:top w:val="single" w:sz="6" w:space="0" w:color="auto"/>
              <w:left w:val="single" w:sz="6" w:space="0" w:color="auto"/>
              <w:bottom w:val="single" w:sz="4" w:space="0" w:color="auto"/>
              <w:right w:val="single" w:sz="6" w:space="0" w:color="auto"/>
            </w:tcBorders>
          </w:tcPr>
          <w:p w14:paraId="5E47B1D0" w14:textId="77777777" w:rsidR="00862052" w:rsidRPr="00862052" w:rsidRDefault="00862052" w:rsidP="00862052">
            <w:pPr>
              <w:pStyle w:val="tableheading"/>
              <w:jc w:val="center"/>
              <w:rPr>
                <w:b w:val="0"/>
                <w:bCs w:val="0"/>
                <w:noProof/>
                <w:highlight w:val="yellow"/>
              </w:rPr>
            </w:pPr>
          </w:p>
        </w:tc>
      </w:tr>
      <w:tr w:rsidR="00862052" w14:paraId="08C2C0F5"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114F4210" w14:textId="6972CE5D" w:rsidR="00862052" w:rsidRPr="00862052" w:rsidRDefault="00862052">
            <w:pPr>
              <w:pStyle w:val="tablesyntax"/>
              <w:rPr>
                <w:noProof/>
                <w:highlight w:val="yellow"/>
              </w:rPr>
            </w:pPr>
            <w:r w:rsidRPr="00862052">
              <w:rPr>
                <w:highlight w:val="yellow"/>
              </w:rPr>
              <w:tab/>
            </w:r>
            <w:r w:rsidRPr="00862052">
              <w:rPr>
                <w:highlight w:val="yellow"/>
              </w:rPr>
              <w:tab/>
              <w:t>}</w:t>
            </w:r>
          </w:p>
        </w:tc>
        <w:tc>
          <w:tcPr>
            <w:tcW w:w="1152" w:type="dxa"/>
            <w:tcBorders>
              <w:top w:val="single" w:sz="6" w:space="0" w:color="auto"/>
              <w:left w:val="single" w:sz="6" w:space="0" w:color="auto"/>
              <w:bottom w:val="single" w:sz="4" w:space="0" w:color="auto"/>
              <w:right w:val="single" w:sz="6" w:space="0" w:color="auto"/>
            </w:tcBorders>
          </w:tcPr>
          <w:p w14:paraId="28A62413" w14:textId="77777777" w:rsidR="00862052" w:rsidRPr="00862052" w:rsidRDefault="00862052" w:rsidP="00862052">
            <w:pPr>
              <w:pStyle w:val="tableheading"/>
              <w:jc w:val="center"/>
              <w:rPr>
                <w:b w:val="0"/>
                <w:bCs w:val="0"/>
                <w:noProof/>
                <w:highlight w:val="yellow"/>
              </w:rPr>
            </w:pPr>
          </w:p>
        </w:tc>
      </w:tr>
      <w:tr w:rsidR="00862052" w14:paraId="22824883"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7E998088" w14:textId="77777777" w:rsidR="00862052" w:rsidRDefault="00862052">
            <w:pPr>
              <w:pStyle w:val="tablesyntax"/>
              <w:rPr>
                <w:noProof/>
              </w:rPr>
            </w:pPr>
            <w:r>
              <w:rPr>
                <w:noProof/>
              </w:rPr>
              <w:tab/>
            </w:r>
            <w:r>
              <w:rPr>
                <w:noProof/>
              </w:rPr>
              <w:tab/>
              <w:t>if(</w:t>
            </w:r>
            <w:r>
              <w:rPr>
                <w:noProof/>
                <w:lang w:eastAsia="ja-JP"/>
              </w:rPr>
              <w:t xml:space="preserve"> </w:t>
            </w:r>
            <w:r>
              <w:rPr>
                <w:bCs/>
                <w:noProof/>
              </w:rPr>
              <w:t>sub_pic_hrd_params_present_flag</w:t>
            </w:r>
            <w:r>
              <w:rPr>
                <w:noProof/>
              </w:rPr>
              <w:t xml:space="preserve"> )</w:t>
            </w:r>
          </w:p>
        </w:tc>
        <w:tc>
          <w:tcPr>
            <w:tcW w:w="1152" w:type="dxa"/>
            <w:tcBorders>
              <w:top w:val="single" w:sz="6" w:space="0" w:color="auto"/>
              <w:left w:val="single" w:sz="6" w:space="0" w:color="auto"/>
              <w:bottom w:val="single" w:sz="4" w:space="0" w:color="auto"/>
              <w:right w:val="single" w:sz="6" w:space="0" w:color="auto"/>
            </w:tcBorders>
          </w:tcPr>
          <w:p w14:paraId="61E4D312" w14:textId="77777777" w:rsidR="00862052" w:rsidRDefault="00862052" w:rsidP="00862052">
            <w:pPr>
              <w:pStyle w:val="tableheading"/>
              <w:jc w:val="center"/>
              <w:rPr>
                <w:b w:val="0"/>
                <w:bCs w:val="0"/>
                <w:noProof/>
              </w:rPr>
            </w:pPr>
          </w:p>
        </w:tc>
      </w:tr>
      <w:tr w:rsidR="00862052" w14:paraId="41DF5DC0"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7B247D70" w14:textId="77777777" w:rsidR="00862052" w:rsidRDefault="00862052">
            <w:pPr>
              <w:pStyle w:val="tablesyntax"/>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noProof/>
              </w:rPr>
            </w:pPr>
            <w:r>
              <w:rPr>
                <w:noProof/>
              </w:rPr>
              <w:tab/>
            </w:r>
            <w:r>
              <w:rPr>
                <w:noProof/>
              </w:rPr>
              <w:tab/>
            </w:r>
            <w:r>
              <w:rPr>
                <w:noProof/>
              </w:rPr>
              <w:tab/>
            </w:r>
            <w:r>
              <w:rPr>
                <w:b/>
                <w:noProof/>
              </w:rPr>
              <w:t>pic_dpb_output_du_delay</w:t>
            </w:r>
          </w:p>
        </w:tc>
        <w:tc>
          <w:tcPr>
            <w:tcW w:w="1152" w:type="dxa"/>
            <w:tcBorders>
              <w:top w:val="single" w:sz="6" w:space="0" w:color="auto"/>
              <w:left w:val="single" w:sz="6" w:space="0" w:color="auto"/>
              <w:bottom w:val="single" w:sz="4" w:space="0" w:color="auto"/>
              <w:right w:val="single" w:sz="6" w:space="0" w:color="auto"/>
            </w:tcBorders>
            <w:hideMark/>
          </w:tcPr>
          <w:p w14:paraId="41ED2634" w14:textId="77777777" w:rsidR="00862052" w:rsidRDefault="00862052" w:rsidP="00862052">
            <w:pPr>
              <w:pStyle w:val="tableheading"/>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center"/>
              <w:rPr>
                <w:b w:val="0"/>
                <w:bCs w:val="0"/>
                <w:noProof/>
              </w:rPr>
            </w:pPr>
            <w:r>
              <w:rPr>
                <w:b w:val="0"/>
                <w:bCs w:val="0"/>
                <w:noProof/>
              </w:rPr>
              <w:t>u(v)</w:t>
            </w:r>
          </w:p>
        </w:tc>
      </w:tr>
      <w:tr w:rsidR="00862052" w14:paraId="69D5D87A"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311C65D1" w14:textId="77777777" w:rsidR="00862052" w:rsidRDefault="00862052">
            <w:pPr>
              <w:pStyle w:val="tablesyntax"/>
              <w:rPr>
                <w:noProof/>
              </w:rPr>
            </w:pPr>
            <w:r>
              <w:rPr>
                <w:noProof/>
              </w:rPr>
              <w:tab/>
            </w:r>
            <w:r>
              <w:rPr>
                <w:noProof/>
              </w:rPr>
              <w:tab/>
              <w:t>if(</w:t>
            </w:r>
            <w:r>
              <w:rPr>
                <w:rFonts w:eastAsia="MS Mincho"/>
                <w:noProof/>
                <w:lang w:eastAsia="ja-JP"/>
              </w:rPr>
              <w:t xml:space="preserve"> </w:t>
            </w:r>
            <w:r>
              <w:rPr>
                <w:bCs/>
                <w:noProof/>
              </w:rPr>
              <w:t>sub_pic_hrd_params_present_flag</w:t>
            </w:r>
            <w:r>
              <w:rPr>
                <w:noProof/>
              </w:rPr>
              <w:t xml:space="preserve">  &amp;&amp;  </w:t>
            </w:r>
            <w:r>
              <w:rPr>
                <w:noProof/>
              </w:rPr>
              <w:br/>
            </w:r>
            <w:r>
              <w:rPr>
                <w:noProof/>
              </w:rPr>
              <w:tab/>
            </w:r>
            <w:r>
              <w:rPr>
                <w:noProof/>
              </w:rPr>
              <w:tab/>
            </w:r>
            <w:r>
              <w:rPr>
                <w:noProof/>
              </w:rPr>
              <w:tab/>
              <w:t xml:space="preserve"> </w:t>
            </w:r>
            <w:r>
              <w:rPr>
                <w:bCs/>
                <w:noProof/>
              </w:rPr>
              <w:t xml:space="preserve">sub_pic_cpb_params_in_pic_timing_sei_flag </w:t>
            </w:r>
            <w:r>
              <w:rPr>
                <w:noProof/>
              </w:rPr>
              <w:t>) {</w:t>
            </w:r>
          </w:p>
        </w:tc>
        <w:tc>
          <w:tcPr>
            <w:tcW w:w="1152" w:type="dxa"/>
            <w:tcBorders>
              <w:top w:val="single" w:sz="6" w:space="0" w:color="auto"/>
              <w:left w:val="single" w:sz="6" w:space="0" w:color="auto"/>
              <w:bottom w:val="single" w:sz="4" w:space="0" w:color="auto"/>
              <w:right w:val="single" w:sz="6" w:space="0" w:color="auto"/>
            </w:tcBorders>
          </w:tcPr>
          <w:p w14:paraId="297ADF50" w14:textId="77777777" w:rsidR="00862052" w:rsidRDefault="00862052" w:rsidP="00862052">
            <w:pPr>
              <w:pStyle w:val="tableheading"/>
              <w:jc w:val="center"/>
              <w:rPr>
                <w:b w:val="0"/>
                <w:bCs w:val="0"/>
                <w:noProof/>
              </w:rPr>
            </w:pPr>
          </w:p>
        </w:tc>
      </w:tr>
      <w:tr w:rsidR="00862052" w14:paraId="28520143"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4BDEA70C" w14:textId="77777777" w:rsidR="00862052" w:rsidRDefault="00862052">
            <w:pPr>
              <w:pStyle w:val="tablesyntax"/>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noProof/>
              </w:rPr>
            </w:pPr>
            <w:r>
              <w:rPr>
                <w:noProof/>
              </w:rPr>
              <w:tab/>
            </w:r>
            <w:r>
              <w:rPr>
                <w:noProof/>
              </w:rPr>
              <w:tab/>
            </w:r>
            <w:r>
              <w:rPr>
                <w:noProof/>
              </w:rPr>
              <w:tab/>
            </w:r>
            <w:r>
              <w:rPr>
                <w:b/>
                <w:noProof/>
              </w:rPr>
              <w:t>num_decoding_units_minus1</w:t>
            </w:r>
          </w:p>
        </w:tc>
        <w:tc>
          <w:tcPr>
            <w:tcW w:w="1152" w:type="dxa"/>
            <w:tcBorders>
              <w:top w:val="single" w:sz="6" w:space="0" w:color="auto"/>
              <w:left w:val="single" w:sz="6" w:space="0" w:color="auto"/>
              <w:bottom w:val="single" w:sz="4" w:space="0" w:color="auto"/>
              <w:right w:val="single" w:sz="6" w:space="0" w:color="auto"/>
            </w:tcBorders>
            <w:hideMark/>
          </w:tcPr>
          <w:p w14:paraId="37BB5253" w14:textId="77777777" w:rsidR="00862052" w:rsidRDefault="00862052" w:rsidP="00862052">
            <w:pPr>
              <w:pStyle w:val="tableheading"/>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center"/>
              <w:rPr>
                <w:b w:val="0"/>
                <w:bCs w:val="0"/>
                <w:noProof/>
              </w:rPr>
            </w:pPr>
            <w:r>
              <w:rPr>
                <w:b w:val="0"/>
                <w:bCs w:val="0"/>
                <w:noProof/>
              </w:rPr>
              <w:t>ue(v)</w:t>
            </w:r>
          </w:p>
        </w:tc>
      </w:tr>
      <w:tr w:rsidR="00862052" w14:paraId="6939BCF1"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D072946" w14:textId="77777777" w:rsidR="00862052" w:rsidRDefault="00862052">
            <w:pPr>
              <w:pStyle w:val="tablesyntax"/>
              <w:rPr>
                <w:noProof/>
              </w:rPr>
            </w:pPr>
            <w:r>
              <w:rPr>
                <w:noProof/>
              </w:rPr>
              <w:tab/>
            </w:r>
            <w:r>
              <w:rPr>
                <w:noProof/>
              </w:rPr>
              <w:tab/>
            </w:r>
            <w:r>
              <w:rPr>
                <w:noProof/>
              </w:rPr>
              <w:tab/>
            </w:r>
            <w:r>
              <w:rPr>
                <w:b/>
                <w:noProof/>
              </w:rPr>
              <w:t>du_common_cpb_removal_delay_flag</w:t>
            </w:r>
          </w:p>
        </w:tc>
        <w:tc>
          <w:tcPr>
            <w:tcW w:w="1152" w:type="dxa"/>
            <w:tcBorders>
              <w:top w:val="single" w:sz="6" w:space="0" w:color="auto"/>
              <w:left w:val="single" w:sz="6" w:space="0" w:color="auto"/>
              <w:bottom w:val="single" w:sz="4" w:space="0" w:color="auto"/>
              <w:right w:val="single" w:sz="6" w:space="0" w:color="auto"/>
            </w:tcBorders>
            <w:hideMark/>
          </w:tcPr>
          <w:p w14:paraId="46C75CA3" w14:textId="77777777" w:rsidR="00862052" w:rsidRDefault="00862052" w:rsidP="00862052">
            <w:pPr>
              <w:pStyle w:val="tableheading"/>
              <w:jc w:val="center"/>
              <w:rPr>
                <w:b w:val="0"/>
                <w:bCs w:val="0"/>
                <w:noProof/>
              </w:rPr>
            </w:pPr>
            <w:r>
              <w:rPr>
                <w:rFonts w:eastAsia="MS Mincho"/>
                <w:b w:val="0"/>
                <w:bCs w:val="0"/>
                <w:noProof/>
                <w:lang w:eastAsia="ja-JP"/>
              </w:rPr>
              <w:t>u(1)</w:t>
            </w:r>
          </w:p>
        </w:tc>
      </w:tr>
      <w:tr w:rsidR="00862052" w14:paraId="681405A3"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71260AF" w14:textId="77777777" w:rsidR="00862052" w:rsidRDefault="00862052">
            <w:pPr>
              <w:pStyle w:val="tablesyntax"/>
              <w:rPr>
                <w:noProof/>
              </w:rPr>
            </w:pPr>
            <w:r>
              <w:rPr>
                <w:noProof/>
              </w:rPr>
              <w:tab/>
            </w:r>
            <w:r>
              <w:rPr>
                <w:noProof/>
              </w:rPr>
              <w:tab/>
            </w:r>
            <w:r>
              <w:rPr>
                <w:noProof/>
              </w:rPr>
              <w:tab/>
              <w:t>if(</w:t>
            </w:r>
            <w:r>
              <w:rPr>
                <w:rFonts w:eastAsia="MS Mincho"/>
                <w:noProof/>
                <w:lang w:eastAsia="ja-JP"/>
              </w:rPr>
              <w:t xml:space="preserve"> du_</w:t>
            </w:r>
            <w:r>
              <w:rPr>
                <w:noProof/>
              </w:rPr>
              <w:t>common_cpb_removal_delay_flag</w:t>
            </w:r>
            <w:r>
              <w:rPr>
                <w:rFonts w:eastAsia="MS Mincho"/>
                <w:noProof/>
                <w:lang w:eastAsia="ja-JP"/>
              </w:rPr>
              <w:t xml:space="preserve"> </w:t>
            </w:r>
            <w:r>
              <w:rPr>
                <w:noProof/>
              </w:rPr>
              <w:t>)</w:t>
            </w:r>
          </w:p>
        </w:tc>
        <w:tc>
          <w:tcPr>
            <w:tcW w:w="1152" w:type="dxa"/>
            <w:tcBorders>
              <w:top w:val="single" w:sz="6" w:space="0" w:color="auto"/>
              <w:left w:val="single" w:sz="6" w:space="0" w:color="auto"/>
              <w:bottom w:val="single" w:sz="4" w:space="0" w:color="auto"/>
              <w:right w:val="single" w:sz="6" w:space="0" w:color="auto"/>
            </w:tcBorders>
          </w:tcPr>
          <w:p w14:paraId="4714126F" w14:textId="77777777" w:rsidR="00862052" w:rsidRDefault="00862052" w:rsidP="00862052">
            <w:pPr>
              <w:pStyle w:val="tableheading"/>
              <w:jc w:val="center"/>
              <w:rPr>
                <w:b w:val="0"/>
                <w:bCs w:val="0"/>
                <w:noProof/>
              </w:rPr>
            </w:pPr>
          </w:p>
        </w:tc>
      </w:tr>
      <w:tr w:rsidR="00862052" w14:paraId="78E9F8FF"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3292BD5" w14:textId="77777777" w:rsidR="00862052" w:rsidRDefault="00862052">
            <w:pPr>
              <w:pStyle w:val="tablesyntax"/>
              <w:rPr>
                <w:noProof/>
              </w:rPr>
            </w:pPr>
            <w:r>
              <w:rPr>
                <w:noProof/>
              </w:rPr>
              <w:tab/>
            </w:r>
            <w:r>
              <w:rPr>
                <w:noProof/>
              </w:rPr>
              <w:tab/>
            </w:r>
            <w:r>
              <w:rPr>
                <w:noProof/>
              </w:rPr>
              <w:tab/>
            </w:r>
            <w:r>
              <w:rPr>
                <w:noProof/>
              </w:rPr>
              <w:tab/>
            </w:r>
            <w:r>
              <w:rPr>
                <w:b/>
                <w:noProof/>
              </w:rPr>
              <w:t>du_common_cpb_removal_delay_increment_minus1</w:t>
            </w:r>
          </w:p>
        </w:tc>
        <w:tc>
          <w:tcPr>
            <w:tcW w:w="1152" w:type="dxa"/>
            <w:tcBorders>
              <w:top w:val="single" w:sz="6" w:space="0" w:color="auto"/>
              <w:left w:val="single" w:sz="6" w:space="0" w:color="auto"/>
              <w:bottom w:val="single" w:sz="4" w:space="0" w:color="auto"/>
              <w:right w:val="single" w:sz="6" w:space="0" w:color="auto"/>
            </w:tcBorders>
            <w:hideMark/>
          </w:tcPr>
          <w:p w14:paraId="3D83809E" w14:textId="77777777" w:rsidR="00862052" w:rsidRDefault="00862052" w:rsidP="00862052">
            <w:pPr>
              <w:pStyle w:val="tableheading"/>
              <w:jc w:val="center"/>
              <w:rPr>
                <w:b w:val="0"/>
                <w:bCs w:val="0"/>
                <w:noProof/>
              </w:rPr>
            </w:pPr>
            <w:r>
              <w:rPr>
                <w:rFonts w:eastAsia="MS Mincho"/>
                <w:b w:val="0"/>
                <w:bCs w:val="0"/>
                <w:noProof/>
                <w:lang w:eastAsia="ja-JP"/>
              </w:rPr>
              <w:t>u(v)</w:t>
            </w:r>
          </w:p>
        </w:tc>
      </w:tr>
      <w:tr w:rsidR="00862052" w14:paraId="690A8144"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43025967" w14:textId="77777777" w:rsidR="00862052" w:rsidRDefault="00862052">
            <w:pPr>
              <w:pStyle w:val="tablesyntax"/>
              <w:rPr>
                <w:noProof/>
              </w:rPr>
            </w:pPr>
            <w:r>
              <w:rPr>
                <w:noProof/>
              </w:rPr>
              <w:tab/>
            </w:r>
            <w:r>
              <w:rPr>
                <w:noProof/>
              </w:rPr>
              <w:tab/>
            </w:r>
            <w:r>
              <w:rPr>
                <w:noProof/>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4C2CAD8B" w14:textId="77777777" w:rsidR="00862052" w:rsidRDefault="00862052" w:rsidP="00862052">
            <w:pPr>
              <w:pStyle w:val="tableheading"/>
              <w:jc w:val="center"/>
              <w:rPr>
                <w:b w:val="0"/>
                <w:bCs w:val="0"/>
                <w:noProof/>
              </w:rPr>
            </w:pPr>
          </w:p>
        </w:tc>
      </w:tr>
      <w:tr w:rsidR="00862052" w14:paraId="25D9AFDC"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530DEA63" w14:textId="77777777" w:rsidR="00862052" w:rsidRDefault="00862052">
            <w:pPr>
              <w:pStyle w:val="tablesyntax"/>
              <w:rPr>
                <w:b/>
                <w:noProof/>
              </w:rPr>
            </w:pPr>
            <w:r>
              <w:rPr>
                <w:noProof/>
              </w:rPr>
              <w:tab/>
            </w:r>
            <w:r>
              <w:rPr>
                <w:noProof/>
              </w:rPr>
              <w:tab/>
            </w:r>
            <w:r>
              <w:rPr>
                <w:noProof/>
              </w:rPr>
              <w:tab/>
            </w:r>
            <w:r>
              <w:rPr>
                <w:noProof/>
              </w:rPr>
              <w:tab/>
            </w:r>
            <w:r>
              <w:rPr>
                <w:b/>
                <w:noProof/>
              </w:rPr>
              <w:t>num_nalus_in_du_minus1</w:t>
            </w:r>
            <w:r>
              <w:rPr>
                <w:bCs/>
                <w:noProof/>
              </w:rPr>
              <w:t>[ i ]</w:t>
            </w:r>
          </w:p>
        </w:tc>
        <w:tc>
          <w:tcPr>
            <w:tcW w:w="1152" w:type="dxa"/>
            <w:tcBorders>
              <w:top w:val="single" w:sz="6" w:space="0" w:color="auto"/>
              <w:left w:val="single" w:sz="6" w:space="0" w:color="auto"/>
              <w:bottom w:val="single" w:sz="4" w:space="0" w:color="auto"/>
              <w:right w:val="single" w:sz="6" w:space="0" w:color="auto"/>
            </w:tcBorders>
            <w:hideMark/>
          </w:tcPr>
          <w:p w14:paraId="57E5CC41" w14:textId="77777777" w:rsidR="00862052" w:rsidRDefault="00862052" w:rsidP="00862052">
            <w:pPr>
              <w:pStyle w:val="tableheading"/>
              <w:jc w:val="center"/>
              <w:rPr>
                <w:b w:val="0"/>
                <w:bCs w:val="0"/>
                <w:noProof/>
              </w:rPr>
            </w:pPr>
            <w:r>
              <w:rPr>
                <w:b w:val="0"/>
                <w:bCs w:val="0"/>
                <w:noProof/>
              </w:rPr>
              <w:t>ue(v)</w:t>
            </w:r>
          </w:p>
        </w:tc>
      </w:tr>
      <w:tr w:rsidR="00862052" w14:paraId="61ED5322"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2B3C4106" w14:textId="77777777" w:rsidR="00862052" w:rsidRDefault="00862052">
            <w:pPr>
              <w:pStyle w:val="tablesyntax"/>
              <w:rPr>
                <w:noProof/>
              </w:rPr>
            </w:pPr>
            <w:r>
              <w:rPr>
                <w:noProof/>
              </w:rPr>
              <w:tab/>
            </w:r>
            <w:r>
              <w:rPr>
                <w:noProof/>
              </w:rPr>
              <w:tab/>
            </w:r>
            <w:r>
              <w:rPr>
                <w:noProof/>
              </w:rPr>
              <w:tab/>
            </w:r>
            <w:r>
              <w:rPr>
                <w:noProof/>
              </w:rPr>
              <w:tab/>
              <w:t>if( !du_common_cpb_removal_delay_flag</w:t>
            </w:r>
            <w:r>
              <w:rPr>
                <w:rFonts w:eastAsia="MS Mincho"/>
                <w:noProof/>
                <w:lang w:eastAsia="ja-JP"/>
              </w:rPr>
              <w:t xml:space="preserve"> </w:t>
            </w:r>
            <w:r>
              <w:rPr>
                <w:noProof/>
              </w:rPr>
              <w:t xml:space="preserve"> &amp;&amp; </w:t>
            </w:r>
            <w:r>
              <w:rPr>
                <w:rFonts w:eastAsia="MS Mincho"/>
                <w:noProof/>
                <w:lang w:eastAsia="ja-JP"/>
              </w:rPr>
              <w:t xml:space="preserve"> i &lt; </w:t>
            </w:r>
            <w:r>
              <w:rPr>
                <w:noProof/>
              </w:rPr>
              <w:t>num_decoding_units_minus1 )</w:t>
            </w:r>
          </w:p>
        </w:tc>
        <w:tc>
          <w:tcPr>
            <w:tcW w:w="1152" w:type="dxa"/>
            <w:tcBorders>
              <w:top w:val="single" w:sz="6" w:space="0" w:color="auto"/>
              <w:left w:val="single" w:sz="6" w:space="0" w:color="auto"/>
              <w:bottom w:val="single" w:sz="4" w:space="0" w:color="auto"/>
              <w:right w:val="single" w:sz="6" w:space="0" w:color="auto"/>
            </w:tcBorders>
          </w:tcPr>
          <w:p w14:paraId="41973C33" w14:textId="77777777" w:rsidR="00862052" w:rsidRDefault="00862052" w:rsidP="00862052">
            <w:pPr>
              <w:pStyle w:val="tableheading"/>
              <w:jc w:val="center"/>
              <w:rPr>
                <w:b w:val="0"/>
                <w:bCs w:val="0"/>
                <w:noProof/>
              </w:rPr>
            </w:pPr>
          </w:p>
        </w:tc>
      </w:tr>
      <w:tr w:rsidR="00862052" w14:paraId="5743C729"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89B1AB0" w14:textId="77777777" w:rsidR="00862052" w:rsidRDefault="00862052">
            <w:pPr>
              <w:pStyle w:val="tablesyntax"/>
              <w:rPr>
                <w:noProof/>
              </w:rPr>
            </w:pPr>
            <w:r>
              <w:rPr>
                <w:noProof/>
              </w:rPr>
              <w:tab/>
            </w:r>
            <w:r>
              <w:rPr>
                <w:noProof/>
              </w:rPr>
              <w:tab/>
            </w:r>
            <w:r>
              <w:rPr>
                <w:noProof/>
              </w:rPr>
              <w:tab/>
            </w:r>
            <w:r>
              <w:rPr>
                <w:noProof/>
              </w:rPr>
              <w:tab/>
            </w:r>
            <w:r>
              <w:rPr>
                <w:noProof/>
              </w:rPr>
              <w:tab/>
            </w:r>
            <w:r>
              <w:rPr>
                <w:b/>
                <w:bCs/>
                <w:noProof/>
              </w:rPr>
              <w:t>du_cpb_removal_delay_increment_minus1</w:t>
            </w:r>
            <w:r>
              <w:rPr>
                <w:bCs/>
                <w:noProof/>
              </w:rPr>
              <w:t>[ i ]</w:t>
            </w:r>
          </w:p>
        </w:tc>
        <w:tc>
          <w:tcPr>
            <w:tcW w:w="1152" w:type="dxa"/>
            <w:tcBorders>
              <w:top w:val="single" w:sz="6" w:space="0" w:color="auto"/>
              <w:left w:val="single" w:sz="6" w:space="0" w:color="auto"/>
              <w:bottom w:val="single" w:sz="4" w:space="0" w:color="auto"/>
              <w:right w:val="single" w:sz="6" w:space="0" w:color="auto"/>
            </w:tcBorders>
            <w:hideMark/>
          </w:tcPr>
          <w:p w14:paraId="215BBBE3" w14:textId="77777777" w:rsidR="00862052" w:rsidRDefault="00862052" w:rsidP="00862052">
            <w:pPr>
              <w:pStyle w:val="tableheading"/>
              <w:jc w:val="center"/>
              <w:rPr>
                <w:b w:val="0"/>
                <w:bCs w:val="0"/>
                <w:noProof/>
              </w:rPr>
            </w:pPr>
            <w:r>
              <w:rPr>
                <w:b w:val="0"/>
                <w:bCs w:val="0"/>
                <w:noProof/>
              </w:rPr>
              <w:t>u(v)</w:t>
            </w:r>
          </w:p>
        </w:tc>
      </w:tr>
      <w:tr w:rsidR="00862052" w14:paraId="53BD7D7F"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5E3C459C" w14:textId="77777777" w:rsidR="00862052" w:rsidRDefault="00862052">
            <w:pPr>
              <w:pStyle w:val="tablesyntax"/>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noProof/>
              </w:rPr>
            </w:pPr>
            <w:r>
              <w:rPr>
                <w:noProof/>
              </w:rPr>
              <w:tab/>
            </w:r>
            <w:r>
              <w:rPr>
                <w:noProof/>
              </w:rPr>
              <w:tab/>
            </w:r>
            <w:r>
              <w:rPr>
                <w:noProof/>
              </w:rPr>
              <w:tab/>
              <w:t>}</w:t>
            </w:r>
          </w:p>
        </w:tc>
        <w:tc>
          <w:tcPr>
            <w:tcW w:w="1152" w:type="dxa"/>
            <w:tcBorders>
              <w:top w:val="single" w:sz="6" w:space="0" w:color="auto"/>
              <w:left w:val="single" w:sz="6" w:space="0" w:color="auto"/>
              <w:bottom w:val="single" w:sz="4" w:space="0" w:color="auto"/>
              <w:right w:val="single" w:sz="6" w:space="0" w:color="auto"/>
            </w:tcBorders>
          </w:tcPr>
          <w:p w14:paraId="49476A15" w14:textId="77777777" w:rsidR="00862052" w:rsidRDefault="00862052" w:rsidP="00862052">
            <w:pPr>
              <w:pStyle w:val="tableheading"/>
              <w:jc w:val="center"/>
              <w:rPr>
                <w:b w:val="0"/>
                <w:bCs w:val="0"/>
                <w:noProof/>
              </w:rPr>
            </w:pPr>
          </w:p>
        </w:tc>
      </w:tr>
      <w:tr w:rsidR="00862052" w14:paraId="2D21E833"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2784511F" w14:textId="77777777" w:rsidR="00862052" w:rsidRDefault="00862052">
            <w:pPr>
              <w:pStyle w:val="tablesyntax"/>
              <w:rPr>
                <w:noProof/>
              </w:rPr>
            </w:pPr>
            <w:r>
              <w:rPr>
                <w:noProof/>
              </w:rPr>
              <w:tab/>
            </w:r>
            <w:r>
              <w:rPr>
                <w:noProof/>
              </w:rPr>
              <w:tab/>
              <w:t>}</w:t>
            </w:r>
          </w:p>
        </w:tc>
        <w:tc>
          <w:tcPr>
            <w:tcW w:w="1152" w:type="dxa"/>
            <w:tcBorders>
              <w:top w:val="single" w:sz="6" w:space="0" w:color="auto"/>
              <w:left w:val="single" w:sz="6" w:space="0" w:color="auto"/>
              <w:bottom w:val="single" w:sz="4" w:space="0" w:color="auto"/>
              <w:right w:val="single" w:sz="6" w:space="0" w:color="auto"/>
            </w:tcBorders>
          </w:tcPr>
          <w:p w14:paraId="1A28DFE4" w14:textId="77777777" w:rsidR="00862052" w:rsidRDefault="00862052" w:rsidP="00862052">
            <w:pPr>
              <w:pStyle w:val="tableheading"/>
              <w:jc w:val="center"/>
              <w:rPr>
                <w:b w:val="0"/>
                <w:bCs w:val="0"/>
                <w:noProof/>
              </w:rPr>
            </w:pPr>
          </w:p>
        </w:tc>
      </w:tr>
      <w:tr w:rsidR="00862052" w14:paraId="3A9264C7"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8D5B31D" w14:textId="77777777" w:rsidR="00862052" w:rsidRDefault="00862052">
            <w:pPr>
              <w:pStyle w:val="tablesyntax"/>
              <w:rPr>
                <w:noProof/>
              </w:rPr>
            </w:pPr>
            <w:r>
              <w:rPr>
                <w:noProof/>
              </w:rPr>
              <w:tab/>
              <w:t>}</w:t>
            </w:r>
          </w:p>
        </w:tc>
        <w:tc>
          <w:tcPr>
            <w:tcW w:w="1152" w:type="dxa"/>
            <w:tcBorders>
              <w:top w:val="single" w:sz="6" w:space="0" w:color="auto"/>
              <w:left w:val="single" w:sz="6" w:space="0" w:color="auto"/>
              <w:bottom w:val="single" w:sz="4" w:space="0" w:color="auto"/>
              <w:right w:val="single" w:sz="6" w:space="0" w:color="auto"/>
            </w:tcBorders>
          </w:tcPr>
          <w:p w14:paraId="09451710" w14:textId="77777777" w:rsidR="00862052" w:rsidRDefault="00862052">
            <w:pPr>
              <w:pStyle w:val="tableheading"/>
              <w:rPr>
                <w:b w:val="0"/>
                <w:bCs w:val="0"/>
                <w:noProof/>
              </w:rPr>
            </w:pPr>
          </w:p>
        </w:tc>
      </w:tr>
      <w:tr w:rsidR="00862052" w14:paraId="0C2C7714" w14:textId="77777777" w:rsidTr="00862052">
        <w:trPr>
          <w:cantSplit/>
          <w:jc w:val="center"/>
        </w:trPr>
        <w:tc>
          <w:tcPr>
            <w:tcW w:w="7920" w:type="dxa"/>
            <w:tcBorders>
              <w:top w:val="single" w:sz="2" w:space="0" w:color="auto"/>
              <w:left w:val="single" w:sz="6" w:space="0" w:color="auto"/>
              <w:bottom w:val="single" w:sz="2" w:space="0" w:color="auto"/>
              <w:right w:val="single" w:sz="6" w:space="0" w:color="auto"/>
            </w:tcBorders>
            <w:hideMark/>
          </w:tcPr>
          <w:p w14:paraId="1D310754" w14:textId="77777777" w:rsidR="00862052" w:rsidRDefault="00862052">
            <w:pPr>
              <w:pStyle w:val="tablesyntax"/>
              <w:keepNext w:val="0"/>
              <w:rPr>
                <w:noProof/>
              </w:rPr>
            </w:pPr>
            <w:r>
              <w:rPr>
                <w:noProof/>
              </w:rPr>
              <w:t>}</w:t>
            </w:r>
          </w:p>
        </w:tc>
        <w:tc>
          <w:tcPr>
            <w:tcW w:w="1152" w:type="dxa"/>
            <w:tcBorders>
              <w:top w:val="single" w:sz="2" w:space="0" w:color="auto"/>
              <w:left w:val="single" w:sz="6" w:space="0" w:color="auto"/>
              <w:bottom w:val="single" w:sz="2" w:space="0" w:color="auto"/>
              <w:right w:val="single" w:sz="6" w:space="0" w:color="auto"/>
            </w:tcBorders>
          </w:tcPr>
          <w:p w14:paraId="7CF2DD9B" w14:textId="77777777" w:rsidR="00862052" w:rsidRDefault="00862052">
            <w:pPr>
              <w:pStyle w:val="tablecell"/>
              <w:keepNext w:val="0"/>
              <w:rPr>
                <w:noProof/>
              </w:rPr>
            </w:pPr>
          </w:p>
        </w:tc>
      </w:tr>
    </w:tbl>
    <w:p w14:paraId="75B0826D" w14:textId="2C038021" w:rsidR="00862052" w:rsidRPr="00E35162" w:rsidRDefault="00E35162" w:rsidP="00AE369F">
      <w:pPr>
        <w:rPr>
          <w:bCs/>
          <w:noProof/>
          <w:sz w:val="20"/>
          <w:szCs w:val="22"/>
        </w:rPr>
      </w:pPr>
      <w:r w:rsidRPr="001B08C5">
        <w:rPr>
          <w:b/>
          <w:bCs/>
          <w:noProof/>
          <w:szCs w:val="22"/>
          <w:highlight w:val="yellow"/>
        </w:rPr>
        <w:t>sub_layer_delays_present_flag</w:t>
      </w:r>
      <w:r w:rsidRPr="001B08C5">
        <w:rPr>
          <w:bCs/>
          <w:noProof/>
          <w:szCs w:val="22"/>
          <w:highlight w:val="yellow"/>
        </w:rPr>
        <w:t>[ i ] equal to 1 specifies that au_cpb_removal_delay_minus1[i] and pic_dpb_removal_delay[i] are present for the representation of the sub-layer with TemporalId equal to i. sub_layer_</w:t>
      </w:r>
      <w:r w:rsidR="001B08C5" w:rsidRPr="001B08C5">
        <w:rPr>
          <w:bCs/>
          <w:noProof/>
          <w:szCs w:val="22"/>
          <w:highlight w:val="yellow"/>
        </w:rPr>
        <w:t>delays</w:t>
      </w:r>
      <w:r w:rsidRPr="001B08C5">
        <w:rPr>
          <w:bCs/>
          <w:noProof/>
          <w:szCs w:val="22"/>
          <w:highlight w:val="yellow"/>
        </w:rPr>
        <w:t>_present_flag[ i ] equal to 0 specifies</w:t>
      </w:r>
      <w:r w:rsidR="00A21D12">
        <w:rPr>
          <w:bCs/>
          <w:noProof/>
          <w:szCs w:val="22"/>
          <w:highlight w:val="yellow"/>
        </w:rPr>
        <w:t xml:space="preserve"> that</w:t>
      </w:r>
      <w:r w:rsidRPr="001B08C5">
        <w:rPr>
          <w:bCs/>
          <w:noProof/>
          <w:szCs w:val="22"/>
          <w:highlight w:val="yellow"/>
        </w:rPr>
        <w:t xml:space="preserve"> au_cpb_removal_delay_minus1[i] and pic_dpb_removal_delay[i] are not present for the representation of the sub-layer with TemporalId equal to i.</w:t>
      </w:r>
    </w:p>
    <w:p w14:paraId="2D93AA57" w14:textId="5AA847F6" w:rsidR="00A764F7" w:rsidRDefault="00A764F7" w:rsidP="00E11923">
      <w:pPr>
        <w:pStyle w:val="Heading1"/>
        <w:rPr>
          <w:lang w:val="en-CA"/>
        </w:rPr>
      </w:pPr>
      <w:r>
        <w:rPr>
          <w:lang w:val="en-CA"/>
        </w:rPr>
        <w:t>Conclusion</w:t>
      </w:r>
    </w:p>
    <w:p w14:paraId="416BEAB8" w14:textId="3517AB38" w:rsidR="00C504F0" w:rsidRDefault="00A764F7" w:rsidP="00A764F7">
      <w:r>
        <w:t xml:space="preserve">When using temporal sub-layers for encapsulating a standard frame rate version of the content within a High Frame Rate bitstream, the </w:t>
      </w:r>
      <w:r w:rsidR="00C504F0">
        <w:t xml:space="preserve">decoding time stamps for each frame rate version of the content may have to be different to enable the best possible coding structure while enabling non-HFR capable receivers to decode the standard frame rate version of the content. This proposal suggests </w:t>
      </w:r>
      <w:proofErr w:type="spellStart"/>
      <w:r w:rsidR="00C504F0">
        <w:t>signalling</w:t>
      </w:r>
      <w:proofErr w:type="spellEnd"/>
      <w:r w:rsidR="00C504F0">
        <w:t xml:space="preserve"> </w:t>
      </w:r>
      <w:r w:rsidR="00C504F0" w:rsidRPr="00881F8D">
        <w:rPr>
          <w:rFonts w:hint="eastAsia"/>
          <w:lang w:val="de-DE"/>
        </w:rPr>
        <w:t>CPB removal delays and DPB output</w:t>
      </w:r>
      <w:r w:rsidR="00C504F0" w:rsidRPr="00C12906">
        <w:rPr>
          <w:lang w:val="de-DE"/>
        </w:rPr>
        <w:t xml:space="preserve"> </w:t>
      </w:r>
      <w:r w:rsidR="00C504F0" w:rsidRPr="00881F8D">
        <w:rPr>
          <w:rFonts w:hint="eastAsia"/>
          <w:lang w:val="de-DE"/>
        </w:rPr>
        <w:t>delays</w:t>
      </w:r>
      <w:r w:rsidR="00C504F0">
        <w:rPr>
          <w:lang w:val="de-DE"/>
        </w:rPr>
        <w:t xml:space="preserve"> </w:t>
      </w:r>
      <w:r w:rsidR="00C504F0" w:rsidRPr="00881F8D">
        <w:rPr>
          <w:rFonts w:hint="eastAsia"/>
          <w:lang w:val="de-DE"/>
        </w:rPr>
        <w:t>for each temporal sub-layer contained in the bi</w:t>
      </w:r>
      <w:r w:rsidR="00C504F0">
        <w:rPr>
          <w:lang w:val="de-DE"/>
        </w:rPr>
        <w:t>tstream.</w:t>
      </w:r>
    </w:p>
    <w:p w14:paraId="44B52DF1" w14:textId="19FD82E7" w:rsidR="00EB38F8" w:rsidRDefault="00EB38F8" w:rsidP="00E11923">
      <w:pPr>
        <w:pStyle w:val="Heading1"/>
        <w:rPr>
          <w:lang w:val="en-CA"/>
        </w:rPr>
      </w:pPr>
      <w:r>
        <w:rPr>
          <w:lang w:val="en-CA"/>
        </w:rPr>
        <w:t>References</w:t>
      </w:r>
    </w:p>
    <w:p w14:paraId="6B7CA29C" w14:textId="52BEE7B3" w:rsidR="0033266B" w:rsidRPr="0033266B" w:rsidRDefault="0033266B" w:rsidP="0033266B">
      <w:pPr>
        <w:pStyle w:val="ListParagraph"/>
        <w:numPr>
          <w:ilvl w:val="0"/>
          <w:numId w:val="12"/>
        </w:numPr>
        <w:rPr>
          <w:lang w:val="en-CA"/>
        </w:rPr>
      </w:pPr>
      <w:bookmarkStart w:id="2" w:name="_Ref2942970"/>
      <w:bookmarkStart w:id="3" w:name="_Ref2857605"/>
      <w:r>
        <w:rPr>
          <w:lang w:val="en-CA"/>
        </w:rPr>
        <w:t>High Efficiency Video Coding (HEVC), Rec. ITU-T H.265 and ISO/IEC 23008-2, Feb. 2018</w:t>
      </w:r>
      <w:bookmarkEnd w:id="2"/>
    </w:p>
    <w:p w14:paraId="7D095692" w14:textId="170D9B92" w:rsidR="0022554A" w:rsidRDefault="0022554A" w:rsidP="00EB38F8">
      <w:pPr>
        <w:pStyle w:val="ListParagraph"/>
        <w:numPr>
          <w:ilvl w:val="0"/>
          <w:numId w:val="12"/>
        </w:numPr>
        <w:rPr>
          <w:lang w:val="en-CA"/>
        </w:rPr>
      </w:pPr>
      <w:bookmarkStart w:id="4" w:name="_Ref2943601"/>
      <w:bookmarkStart w:id="5" w:name="_Ref2943524"/>
      <w:r w:rsidRPr="0022554A">
        <w:rPr>
          <w:lang w:val="en-CA"/>
        </w:rPr>
        <w:lastRenderedPageBreak/>
        <w:t>Use of the high efficiency video coding (HEVC) standard for UHDTV and HDTV broadcasting</w:t>
      </w:r>
      <w:r>
        <w:rPr>
          <w:lang w:val="en-CA"/>
        </w:rPr>
        <w:t>, Rec. ITU-R BT-2073</w:t>
      </w:r>
      <w:bookmarkEnd w:id="4"/>
      <w:r w:rsidR="00DB668C">
        <w:rPr>
          <w:lang w:val="en-CA"/>
        </w:rPr>
        <w:t xml:space="preserve">, </w:t>
      </w:r>
      <w:hyperlink r:id="rId13" w:history="1">
        <w:r w:rsidR="00DB668C" w:rsidRPr="00F07973">
          <w:rPr>
            <w:rStyle w:val="Hyperlink"/>
            <w:lang w:val="en-CA"/>
          </w:rPr>
          <w:t>https://www.itu.int/dms_pubrec/itu-r/rec/bt/R-REC-BT.2073-0-201502-I!!PDF-E.pdf</w:t>
        </w:r>
      </w:hyperlink>
      <w:r w:rsidR="00DB668C">
        <w:rPr>
          <w:lang w:val="en-CA"/>
        </w:rPr>
        <w:t xml:space="preserve"> </w:t>
      </w:r>
    </w:p>
    <w:p w14:paraId="22123CCC" w14:textId="0015EDB6" w:rsidR="00EB38F8" w:rsidRPr="00EB38F8" w:rsidRDefault="00EB38F8" w:rsidP="00EB38F8">
      <w:pPr>
        <w:pStyle w:val="ListParagraph"/>
        <w:numPr>
          <w:ilvl w:val="0"/>
          <w:numId w:val="12"/>
        </w:numPr>
        <w:rPr>
          <w:lang w:val="en-CA"/>
        </w:rPr>
      </w:pPr>
      <w:bookmarkStart w:id="6" w:name="_Ref2943612"/>
      <w:r>
        <w:rPr>
          <w:lang w:val="en-CA"/>
        </w:rPr>
        <w:t>ETSI TS 101 154 “</w:t>
      </w:r>
      <w:r w:rsidRPr="00914B92">
        <w:rPr>
          <w:lang w:val="en-CA"/>
        </w:rPr>
        <w:t>Digital Video Broadcasting (DVB); Specification for the use of Video and Audio Coding in Broadcast and Broadband Applications</w:t>
      </w:r>
      <w:r>
        <w:rPr>
          <w:lang w:val="en-CA"/>
        </w:rPr>
        <w:t>”</w:t>
      </w:r>
      <w:r w:rsidR="00DB668C">
        <w:rPr>
          <w:lang w:val="en-CA"/>
        </w:rPr>
        <w:t>,</w:t>
      </w:r>
      <w:r>
        <w:rPr>
          <w:lang w:val="en-CA"/>
        </w:rPr>
        <w:t xml:space="preserve"> </w:t>
      </w:r>
      <w:hyperlink r:id="rId14" w:history="1">
        <w:r w:rsidRPr="00DC4CD8">
          <w:rPr>
            <w:rStyle w:val="Hyperlink"/>
            <w:szCs w:val="22"/>
            <w:lang w:val="en-CA"/>
          </w:rPr>
          <w:t>https://www.etsi.org/deliver/etsi_ts/101100_101199/101154/02.05.01_60/ts_101154v020501p.pdf</w:t>
        </w:r>
      </w:hyperlink>
      <w:bookmarkEnd w:id="3"/>
      <w:bookmarkEnd w:id="5"/>
      <w:bookmarkEnd w:id="6"/>
    </w:p>
    <w:p w14:paraId="5F0CF8E4" w14:textId="75331B8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D801611" w:rsidR="00342FF4" w:rsidRPr="005B217D" w:rsidRDefault="00724DAF" w:rsidP="009234A5">
      <w:pPr>
        <w:rPr>
          <w:szCs w:val="22"/>
          <w:lang w:val="en-CA"/>
        </w:rPr>
      </w:pPr>
      <w:r w:rsidRPr="00390CF4">
        <w:rPr>
          <w:b/>
          <w:szCs w:val="22"/>
          <w:lang w:val="en-CA"/>
        </w:rPr>
        <w:t>Panasonic</w:t>
      </w:r>
      <w:r w:rsidR="009234A5" w:rsidRPr="00390CF4">
        <w:rPr>
          <w:b/>
          <w:szCs w:val="22"/>
          <w:lang w:val="en-CA"/>
        </w:rPr>
        <w:t> </w:t>
      </w:r>
      <w:r w:rsidR="001F2594" w:rsidRPr="00390CF4">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2E95A" w14:textId="77777777" w:rsidR="007B1AEC" w:rsidRDefault="007B1AEC">
      <w:r>
        <w:separator/>
      </w:r>
    </w:p>
  </w:endnote>
  <w:endnote w:type="continuationSeparator" w:id="0">
    <w:p w14:paraId="7EBF7AFD" w14:textId="77777777" w:rsidR="007B1AEC" w:rsidRDefault="007B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6FAE8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F7210">
      <w:rPr>
        <w:rStyle w:val="PageNumber"/>
        <w:noProof/>
      </w:rPr>
      <w:t>2019-03-08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E42D5" w14:textId="77777777" w:rsidR="007B1AEC" w:rsidRDefault="007B1AEC">
      <w:r>
        <w:separator/>
      </w:r>
    </w:p>
  </w:footnote>
  <w:footnote w:type="continuationSeparator" w:id="0">
    <w:p w14:paraId="5D164C49" w14:textId="77777777" w:rsidR="007B1AEC" w:rsidRDefault="007B1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84"/>
    <w:rsid w:val="000308A3"/>
    <w:rsid w:val="000458BC"/>
    <w:rsid w:val="00045C41"/>
    <w:rsid w:val="00046C03"/>
    <w:rsid w:val="00065039"/>
    <w:rsid w:val="00074594"/>
    <w:rsid w:val="0007614F"/>
    <w:rsid w:val="00081398"/>
    <w:rsid w:val="00094479"/>
    <w:rsid w:val="000962AC"/>
    <w:rsid w:val="000B0C0F"/>
    <w:rsid w:val="000B1C6B"/>
    <w:rsid w:val="000B4FF9"/>
    <w:rsid w:val="000C09AC"/>
    <w:rsid w:val="000E00F3"/>
    <w:rsid w:val="000F158C"/>
    <w:rsid w:val="00102F3D"/>
    <w:rsid w:val="00124E38"/>
    <w:rsid w:val="0012580B"/>
    <w:rsid w:val="001304C8"/>
    <w:rsid w:val="00131F90"/>
    <w:rsid w:val="0013458C"/>
    <w:rsid w:val="0013526E"/>
    <w:rsid w:val="00146152"/>
    <w:rsid w:val="00155526"/>
    <w:rsid w:val="00171371"/>
    <w:rsid w:val="00175A24"/>
    <w:rsid w:val="00187E58"/>
    <w:rsid w:val="001A297E"/>
    <w:rsid w:val="001A368E"/>
    <w:rsid w:val="001A7329"/>
    <w:rsid w:val="001A792F"/>
    <w:rsid w:val="001B08C5"/>
    <w:rsid w:val="001B4E28"/>
    <w:rsid w:val="001C3525"/>
    <w:rsid w:val="001C356C"/>
    <w:rsid w:val="001C3AFB"/>
    <w:rsid w:val="001D1BD2"/>
    <w:rsid w:val="001E0248"/>
    <w:rsid w:val="001E02BE"/>
    <w:rsid w:val="001E3B37"/>
    <w:rsid w:val="001F2594"/>
    <w:rsid w:val="002055A6"/>
    <w:rsid w:val="00206460"/>
    <w:rsid w:val="002069B4"/>
    <w:rsid w:val="002153EE"/>
    <w:rsid w:val="00215DFC"/>
    <w:rsid w:val="002212DF"/>
    <w:rsid w:val="00222CD4"/>
    <w:rsid w:val="00225016"/>
    <w:rsid w:val="002253CA"/>
    <w:rsid w:val="0022554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266B"/>
    <w:rsid w:val="003373EC"/>
    <w:rsid w:val="00342FF4"/>
    <w:rsid w:val="00344E5A"/>
    <w:rsid w:val="00346148"/>
    <w:rsid w:val="003535B7"/>
    <w:rsid w:val="003669EA"/>
    <w:rsid w:val="003706CC"/>
    <w:rsid w:val="00377710"/>
    <w:rsid w:val="00390CF4"/>
    <w:rsid w:val="003A2D8E"/>
    <w:rsid w:val="003A663B"/>
    <w:rsid w:val="003A7CE6"/>
    <w:rsid w:val="003C20E4"/>
    <w:rsid w:val="003D6342"/>
    <w:rsid w:val="003E6F90"/>
    <w:rsid w:val="003E73ED"/>
    <w:rsid w:val="003F2C4D"/>
    <w:rsid w:val="003F5D0F"/>
    <w:rsid w:val="00414101"/>
    <w:rsid w:val="004219CF"/>
    <w:rsid w:val="004234F0"/>
    <w:rsid w:val="00433DDB"/>
    <w:rsid w:val="00435A29"/>
    <w:rsid w:val="00437619"/>
    <w:rsid w:val="004622E7"/>
    <w:rsid w:val="00465A1E"/>
    <w:rsid w:val="0049445A"/>
    <w:rsid w:val="004A2A63"/>
    <w:rsid w:val="004B210C"/>
    <w:rsid w:val="004D405F"/>
    <w:rsid w:val="004E4F4F"/>
    <w:rsid w:val="004E6789"/>
    <w:rsid w:val="004F61E3"/>
    <w:rsid w:val="00502E10"/>
    <w:rsid w:val="0051015C"/>
    <w:rsid w:val="00516CF1"/>
    <w:rsid w:val="00530CCE"/>
    <w:rsid w:val="00531AE9"/>
    <w:rsid w:val="00550A66"/>
    <w:rsid w:val="00567EC7"/>
    <w:rsid w:val="00570013"/>
    <w:rsid w:val="005753EC"/>
    <w:rsid w:val="005801A2"/>
    <w:rsid w:val="005952A5"/>
    <w:rsid w:val="005A33A1"/>
    <w:rsid w:val="005A7FF6"/>
    <w:rsid w:val="005B217D"/>
    <w:rsid w:val="005C385F"/>
    <w:rsid w:val="005E1AC6"/>
    <w:rsid w:val="005F6F1B"/>
    <w:rsid w:val="00615995"/>
    <w:rsid w:val="00616155"/>
    <w:rsid w:val="00624B33"/>
    <w:rsid w:val="0063041A"/>
    <w:rsid w:val="00630AA2"/>
    <w:rsid w:val="00641E7A"/>
    <w:rsid w:val="00646707"/>
    <w:rsid w:val="00657F7E"/>
    <w:rsid w:val="00662E58"/>
    <w:rsid w:val="006637F2"/>
    <w:rsid w:val="006642A5"/>
    <w:rsid w:val="00664DCF"/>
    <w:rsid w:val="006A23A7"/>
    <w:rsid w:val="006C5D39"/>
    <w:rsid w:val="006D6D9B"/>
    <w:rsid w:val="006E2810"/>
    <w:rsid w:val="006E5417"/>
    <w:rsid w:val="006F0794"/>
    <w:rsid w:val="006F7528"/>
    <w:rsid w:val="007023DE"/>
    <w:rsid w:val="00712F60"/>
    <w:rsid w:val="00720E3B"/>
    <w:rsid w:val="00724DAF"/>
    <w:rsid w:val="00741013"/>
    <w:rsid w:val="0074393F"/>
    <w:rsid w:val="00745F6B"/>
    <w:rsid w:val="0075175B"/>
    <w:rsid w:val="0075585E"/>
    <w:rsid w:val="00770571"/>
    <w:rsid w:val="007768FF"/>
    <w:rsid w:val="007824D3"/>
    <w:rsid w:val="00796EE3"/>
    <w:rsid w:val="007A7D29"/>
    <w:rsid w:val="007B1AEC"/>
    <w:rsid w:val="007B4AB8"/>
    <w:rsid w:val="007D1181"/>
    <w:rsid w:val="007E01A3"/>
    <w:rsid w:val="007F1F8B"/>
    <w:rsid w:val="007F67A1"/>
    <w:rsid w:val="00802DBE"/>
    <w:rsid w:val="00811C05"/>
    <w:rsid w:val="008206C8"/>
    <w:rsid w:val="008267B1"/>
    <w:rsid w:val="00862052"/>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198B"/>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1D12"/>
    <w:rsid w:val="00A31DA2"/>
    <w:rsid w:val="00A37131"/>
    <w:rsid w:val="00A46843"/>
    <w:rsid w:val="00A56B97"/>
    <w:rsid w:val="00A6093D"/>
    <w:rsid w:val="00A764F7"/>
    <w:rsid w:val="00A767DC"/>
    <w:rsid w:val="00A76A6D"/>
    <w:rsid w:val="00A83253"/>
    <w:rsid w:val="00AA330B"/>
    <w:rsid w:val="00AA34E6"/>
    <w:rsid w:val="00AA6E84"/>
    <w:rsid w:val="00AB1A1C"/>
    <w:rsid w:val="00AD05A8"/>
    <w:rsid w:val="00AE341B"/>
    <w:rsid w:val="00AE369F"/>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6C05"/>
    <w:rsid w:val="00C00DDE"/>
    <w:rsid w:val="00C04F43"/>
    <w:rsid w:val="00C0609D"/>
    <w:rsid w:val="00C115AB"/>
    <w:rsid w:val="00C26CCB"/>
    <w:rsid w:val="00C30249"/>
    <w:rsid w:val="00C3723B"/>
    <w:rsid w:val="00C42466"/>
    <w:rsid w:val="00C453DE"/>
    <w:rsid w:val="00C504F0"/>
    <w:rsid w:val="00C606C9"/>
    <w:rsid w:val="00C80288"/>
    <w:rsid w:val="00C82904"/>
    <w:rsid w:val="00C84003"/>
    <w:rsid w:val="00C90650"/>
    <w:rsid w:val="00C97D78"/>
    <w:rsid w:val="00CA4D6F"/>
    <w:rsid w:val="00CC2AAE"/>
    <w:rsid w:val="00CC5A42"/>
    <w:rsid w:val="00CD0EAB"/>
    <w:rsid w:val="00CD3AEF"/>
    <w:rsid w:val="00CE5E02"/>
    <w:rsid w:val="00CF34DB"/>
    <w:rsid w:val="00CF3917"/>
    <w:rsid w:val="00CF558F"/>
    <w:rsid w:val="00D010C0"/>
    <w:rsid w:val="00D073E2"/>
    <w:rsid w:val="00D446EC"/>
    <w:rsid w:val="00D47CD2"/>
    <w:rsid w:val="00D51BF0"/>
    <w:rsid w:val="00D531DB"/>
    <w:rsid w:val="00D55942"/>
    <w:rsid w:val="00D807BF"/>
    <w:rsid w:val="00D82FCC"/>
    <w:rsid w:val="00DA17FC"/>
    <w:rsid w:val="00DA7887"/>
    <w:rsid w:val="00DB2C26"/>
    <w:rsid w:val="00DB668C"/>
    <w:rsid w:val="00DD02F4"/>
    <w:rsid w:val="00DD6622"/>
    <w:rsid w:val="00DE1C7C"/>
    <w:rsid w:val="00DE6B43"/>
    <w:rsid w:val="00E11923"/>
    <w:rsid w:val="00E262D4"/>
    <w:rsid w:val="00E35162"/>
    <w:rsid w:val="00E36250"/>
    <w:rsid w:val="00E47F2D"/>
    <w:rsid w:val="00E54511"/>
    <w:rsid w:val="00E60EDC"/>
    <w:rsid w:val="00E61DAC"/>
    <w:rsid w:val="00E644BF"/>
    <w:rsid w:val="00E72B80"/>
    <w:rsid w:val="00E75FE3"/>
    <w:rsid w:val="00E81130"/>
    <w:rsid w:val="00E86C4C"/>
    <w:rsid w:val="00E907A3"/>
    <w:rsid w:val="00EA5AE0"/>
    <w:rsid w:val="00EB38F8"/>
    <w:rsid w:val="00EB56E1"/>
    <w:rsid w:val="00EB7AB1"/>
    <w:rsid w:val="00EE7CD8"/>
    <w:rsid w:val="00EF37F6"/>
    <w:rsid w:val="00EF48CC"/>
    <w:rsid w:val="00F00801"/>
    <w:rsid w:val="00F2488D"/>
    <w:rsid w:val="00F601A0"/>
    <w:rsid w:val="00F712E9"/>
    <w:rsid w:val="00F73032"/>
    <w:rsid w:val="00F81BEF"/>
    <w:rsid w:val="00F848FC"/>
    <w:rsid w:val="00F906F6"/>
    <w:rsid w:val="00F9282A"/>
    <w:rsid w:val="00F96BAD"/>
    <w:rsid w:val="00FA139D"/>
    <w:rsid w:val="00FA60F5"/>
    <w:rsid w:val="00FB0E84"/>
    <w:rsid w:val="00FC2405"/>
    <w:rsid w:val="00FC7CE9"/>
    <w:rsid w:val="00FD01C2"/>
    <w:rsid w:val="00FE595C"/>
    <w:rsid w:val="00FF0CE3"/>
    <w:rsid w:val="00FF721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24DAF"/>
    <w:rPr>
      <w:color w:val="605E5C"/>
      <w:shd w:val="clear" w:color="auto" w:fill="E1DFDD"/>
    </w:rPr>
  </w:style>
  <w:style w:type="paragraph" w:styleId="Caption">
    <w:name w:val="caption"/>
    <w:basedOn w:val="Normal"/>
    <w:next w:val="Normal"/>
    <w:unhideWhenUsed/>
    <w:qFormat/>
    <w:rsid w:val="00EB38F8"/>
    <w:pPr>
      <w:spacing w:before="0" w:after="200"/>
    </w:pPr>
    <w:rPr>
      <w:i/>
      <w:iCs/>
      <w:color w:val="44546A" w:themeColor="text2"/>
      <w:sz w:val="18"/>
      <w:szCs w:val="18"/>
    </w:rPr>
  </w:style>
  <w:style w:type="paragraph" w:styleId="ListParagraph">
    <w:name w:val="List Paragraph"/>
    <w:basedOn w:val="Normal"/>
    <w:uiPriority w:val="34"/>
    <w:qFormat/>
    <w:rsid w:val="00EB38F8"/>
    <w:pPr>
      <w:ind w:left="720"/>
      <w:contextualSpacing/>
    </w:pPr>
  </w:style>
  <w:style w:type="paragraph" w:customStyle="1" w:styleId="tablecell">
    <w:name w:val="table cell"/>
    <w:basedOn w:val="Normal"/>
    <w:rsid w:val="004622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4622E7"/>
    <w:rPr>
      <w:rFonts w:eastAsia="Malgun Gothic"/>
      <w:lang w:val="en-GB"/>
    </w:rPr>
  </w:style>
  <w:style w:type="paragraph" w:customStyle="1" w:styleId="tablesyntax">
    <w:name w:val="table syntax"/>
    <w:basedOn w:val="Normal"/>
    <w:link w:val="tablesyntaxChar"/>
    <w:rsid w:val="004622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heading">
    <w:name w:val="table heading"/>
    <w:basedOn w:val="Normal"/>
    <w:rsid w:val="005A7F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36793">
      <w:bodyDiv w:val="1"/>
      <w:marLeft w:val="0"/>
      <w:marRight w:val="0"/>
      <w:marTop w:val="0"/>
      <w:marBottom w:val="0"/>
      <w:divBdr>
        <w:top w:val="none" w:sz="0" w:space="0" w:color="auto"/>
        <w:left w:val="none" w:sz="0" w:space="0" w:color="auto"/>
        <w:bottom w:val="none" w:sz="0" w:space="0" w:color="auto"/>
        <w:right w:val="none" w:sz="0" w:space="0" w:color="auto"/>
      </w:divBdr>
    </w:div>
    <w:div w:id="248392397">
      <w:bodyDiv w:val="1"/>
      <w:marLeft w:val="0"/>
      <w:marRight w:val="0"/>
      <w:marTop w:val="0"/>
      <w:marBottom w:val="0"/>
      <w:divBdr>
        <w:top w:val="none" w:sz="0" w:space="0" w:color="auto"/>
        <w:left w:val="none" w:sz="0" w:space="0" w:color="auto"/>
        <w:bottom w:val="none" w:sz="0" w:space="0" w:color="auto"/>
        <w:right w:val="none" w:sz="0" w:space="0" w:color="auto"/>
      </w:divBdr>
    </w:div>
    <w:div w:id="639312724">
      <w:bodyDiv w:val="1"/>
      <w:marLeft w:val="0"/>
      <w:marRight w:val="0"/>
      <w:marTop w:val="0"/>
      <w:marBottom w:val="0"/>
      <w:divBdr>
        <w:top w:val="none" w:sz="0" w:space="0" w:color="auto"/>
        <w:left w:val="none" w:sz="0" w:space="0" w:color="auto"/>
        <w:bottom w:val="none" w:sz="0" w:space="0" w:color="auto"/>
        <w:right w:val="none" w:sz="0" w:space="0" w:color="auto"/>
      </w:divBdr>
    </w:div>
    <w:div w:id="811946047">
      <w:bodyDiv w:val="1"/>
      <w:marLeft w:val="0"/>
      <w:marRight w:val="0"/>
      <w:marTop w:val="0"/>
      <w:marBottom w:val="0"/>
      <w:divBdr>
        <w:top w:val="none" w:sz="0" w:space="0" w:color="auto"/>
        <w:left w:val="none" w:sz="0" w:space="0" w:color="auto"/>
        <w:bottom w:val="none" w:sz="0" w:space="0" w:color="auto"/>
        <w:right w:val="none" w:sz="0" w:space="0" w:color="auto"/>
      </w:divBdr>
    </w:div>
    <w:div w:id="1204638795">
      <w:bodyDiv w:val="1"/>
      <w:marLeft w:val="0"/>
      <w:marRight w:val="0"/>
      <w:marTop w:val="0"/>
      <w:marBottom w:val="0"/>
      <w:divBdr>
        <w:top w:val="none" w:sz="0" w:space="0" w:color="auto"/>
        <w:left w:val="none" w:sz="0" w:space="0" w:color="auto"/>
        <w:bottom w:val="none" w:sz="0" w:space="0" w:color="auto"/>
        <w:right w:val="none" w:sz="0" w:space="0" w:color="auto"/>
      </w:divBdr>
    </w:div>
    <w:div w:id="12948657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292330">
      <w:bodyDiv w:val="1"/>
      <w:marLeft w:val="0"/>
      <w:marRight w:val="0"/>
      <w:marTop w:val="0"/>
      <w:marBottom w:val="0"/>
      <w:divBdr>
        <w:top w:val="none" w:sz="0" w:space="0" w:color="auto"/>
        <w:left w:val="none" w:sz="0" w:space="0" w:color="auto"/>
        <w:bottom w:val="none" w:sz="0" w:space="0" w:color="auto"/>
        <w:right w:val="none" w:sz="0" w:space="0" w:color="auto"/>
      </w:divBdr>
    </w:div>
    <w:div w:id="180657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itu.int/dms_pubrec/itu-r/rec/bt/R-REC-BT.2073-0-201502-I!!PDF-E.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openxmlformats.org/officeDocument/2006/relationships/hyperlink" Target="https://www.etsi.org/deliver/etsi_ts/101100_101199/101154/02.05.01_60/ts_101154v020501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1014</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44</cp:revision>
  <cp:lastPrinted>1900-01-01T08:00:00Z</cp:lastPrinted>
  <dcterms:created xsi:type="dcterms:W3CDTF">2018-08-09T13:44:00Z</dcterms:created>
  <dcterms:modified xsi:type="dcterms:W3CDTF">2019-03-12T10:42:00Z</dcterms:modified>
</cp:coreProperties>
</file>