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674258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34AF7" w:rsidRPr="003726FB">
              <w:rPr>
                <w:lang w:val="en-CA"/>
              </w:rPr>
              <w:t>0490</w:t>
            </w:r>
            <w:r w:rsidR="00F70B62">
              <w:rPr>
                <w:lang w:val="en-CA"/>
              </w:rPr>
              <w:t>r</w:t>
            </w:r>
            <w:r w:rsidR="001133C0">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791362" w:rsidR="00E61DAC" w:rsidRPr="005B217D" w:rsidRDefault="0071052C" w:rsidP="009D7CE6">
            <w:pPr>
              <w:spacing w:before="60" w:after="60"/>
              <w:rPr>
                <w:b/>
                <w:szCs w:val="22"/>
                <w:lang w:val="en-CA"/>
              </w:rPr>
            </w:pPr>
            <w:r>
              <w:rPr>
                <w:b/>
                <w:szCs w:val="22"/>
                <w:lang w:val="en-CA"/>
              </w:rPr>
              <w:t xml:space="preserve">CE12-related: </w:t>
            </w:r>
            <w:r w:rsidR="000F7637">
              <w:rPr>
                <w:b/>
                <w:szCs w:val="22"/>
                <w:lang w:val="en-CA"/>
              </w:rPr>
              <w:t>HDR Co</w:t>
            </w:r>
            <w:r>
              <w:rPr>
                <w:b/>
                <w:szCs w:val="22"/>
                <w:lang w:val="en-CA"/>
              </w:rPr>
              <w:t>ding</w:t>
            </w:r>
            <w:r w:rsidR="000F7637">
              <w:rPr>
                <w:b/>
                <w:szCs w:val="22"/>
                <w:lang w:val="en-CA"/>
              </w:rPr>
              <w:t xml:space="preserve"> in VVC with Backward Compatibility Options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33CC1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BD96893"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74A54A8" w:rsidR="00E61DAC" w:rsidRPr="005B217D" w:rsidRDefault="003726FB">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r>
              <w:rPr>
                <w:szCs w:val="22"/>
                <w:lang w:val="en-CA"/>
              </w:rPr>
              <w:t>3097 Cortona Dr.</w:t>
            </w:r>
            <w:r w:rsidR="00E61DAC" w:rsidRPr="005B217D">
              <w:rPr>
                <w:szCs w:val="22"/>
                <w:lang w:val="en-CA"/>
              </w:rPr>
              <w:br/>
            </w:r>
            <w:r>
              <w:rPr>
                <w:szCs w:val="22"/>
                <w:lang w:val="en-CA"/>
              </w:rPr>
              <w:t>Melbourne, FL 32940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F76AD8" w:rsidR="00E61DAC" w:rsidRPr="005B217D" w:rsidRDefault="00E61DAC" w:rsidP="005952A5">
            <w:pPr>
              <w:spacing w:before="60" w:after="60"/>
              <w:rPr>
                <w:szCs w:val="22"/>
                <w:lang w:val="en-CA"/>
              </w:rPr>
            </w:pPr>
            <w:r w:rsidRPr="005B217D">
              <w:rPr>
                <w:szCs w:val="22"/>
                <w:lang w:val="en-CA"/>
              </w:rPr>
              <w:br/>
            </w:r>
            <w:r w:rsidR="003726FB">
              <w:rPr>
                <w:szCs w:val="22"/>
                <w:lang w:val="en-CA"/>
              </w:rPr>
              <w:t>321-355-7376</w:t>
            </w:r>
            <w:r w:rsidRPr="005B217D">
              <w:rPr>
                <w:szCs w:val="22"/>
                <w:lang w:val="en-CA"/>
              </w:rPr>
              <w:br/>
            </w:r>
            <w:proofErr w:type="spellStart"/>
            <w:r w:rsidR="003726FB">
              <w:rPr>
                <w:szCs w:val="22"/>
                <w:lang w:val="en-CA"/>
              </w:rPr>
              <w:t>pankajtva</w:t>
            </w:r>
            <w:proofErr w:type="spellEnd"/>
            <w:r w:rsidR="003726FB">
              <w:rPr>
                <w:szCs w:val="22"/>
                <w:lang w:val="en-CA"/>
              </w:rPr>
              <w:t xml:space="preserve"> at </w:t>
            </w:r>
            <w:proofErr w:type="spellStart"/>
            <w:r w:rsidR="003726FB">
              <w:rPr>
                <w:szCs w:val="22"/>
                <w:lang w:val="en-CA"/>
              </w:rPr>
              <w:t>gmail</w:t>
            </w:r>
            <w:proofErr w:type="spellEnd"/>
            <w:r w:rsidR="003726FB">
              <w:rPr>
                <w:szCs w:val="22"/>
                <w:lang w:val="en-CA"/>
              </w:rPr>
              <w:t xml:space="preserve"> dot 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D07454" w:rsidR="00E61DAC" w:rsidRPr="005B217D" w:rsidRDefault="003726FB">
            <w:pPr>
              <w:spacing w:before="60" w:after="60"/>
              <w:rPr>
                <w:szCs w:val="22"/>
                <w:lang w:val="en-CA"/>
              </w:rPr>
            </w:pPr>
            <w:proofErr w:type="spellStart"/>
            <w:r>
              <w:rPr>
                <w:szCs w:val="22"/>
                <w:lang w:val="en-CA"/>
              </w:rPr>
              <w:t>FastVDO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E8DB4ED" w:rsidR="00275BCF" w:rsidRDefault="00275BCF" w:rsidP="009234A5">
      <w:pPr>
        <w:pStyle w:val="Heading1"/>
        <w:numPr>
          <w:ilvl w:val="0"/>
          <w:numId w:val="0"/>
        </w:numPr>
        <w:ind w:left="432" w:hanging="432"/>
        <w:rPr>
          <w:lang w:val="en-CA"/>
        </w:rPr>
      </w:pPr>
      <w:r w:rsidRPr="005B217D">
        <w:rPr>
          <w:lang w:val="en-CA"/>
        </w:rPr>
        <w:t>Abstract</w:t>
      </w:r>
    </w:p>
    <w:p w14:paraId="13CA9930" w14:textId="6410DCE6" w:rsidR="000F7637" w:rsidRPr="00D7355F" w:rsidRDefault="000F7637" w:rsidP="00D7355F">
      <w:pPr>
        <w:pStyle w:val="Abstract"/>
        <w:ind w:firstLine="0"/>
        <w:rPr>
          <w:rFonts w:eastAsia="MS Mincho"/>
          <w:b w:val="0"/>
          <w:sz w:val="20"/>
          <w:szCs w:val="20"/>
        </w:rPr>
      </w:pPr>
      <w:r w:rsidRPr="00B81515">
        <w:rPr>
          <w:b w:val="0"/>
          <w:sz w:val="20"/>
          <w:szCs w:val="20"/>
        </w:rPr>
        <w:t xml:space="preserve">This </w:t>
      </w:r>
      <w:proofErr w:type="spellStart"/>
      <w:r>
        <w:rPr>
          <w:b w:val="0"/>
          <w:sz w:val="20"/>
          <w:szCs w:val="20"/>
        </w:rPr>
        <w:t>smbmission</w:t>
      </w:r>
      <w:proofErr w:type="spellEnd"/>
      <w:r w:rsidRPr="00B81515">
        <w:rPr>
          <w:b w:val="0"/>
          <w:sz w:val="20"/>
          <w:szCs w:val="20"/>
        </w:rPr>
        <w:t xml:space="preserve"> presents </w:t>
      </w:r>
      <w:r>
        <w:rPr>
          <w:b w:val="0"/>
          <w:sz w:val="20"/>
          <w:szCs w:val="20"/>
        </w:rPr>
        <w:t xml:space="preserve">an approach to </w:t>
      </w:r>
      <w:r w:rsidRPr="00B81515">
        <w:rPr>
          <w:b w:val="0"/>
          <w:sz w:val="20"/>
          <w:szCs w:val="20"/>
        </w:rPr>
        <w:t>HDR/WCG video</w:t>
      </w:r>
      <w:r>
        <w:rPr>
          <w:b w:val="0"/>
          <w:sz w:val="20"/>
          <w:szCs w:val="20"/>
        </w:rPr>
        <w:t xml:space="preserve"> coding developed at </w:t>
      </w:r>
      <w:proofErr w:type="spellStart"/>
      <w:r>
        <w:rPr>
          <w:b w:val="0"/>
          <w:sz w:val="20"/>
          <w:szCs w:val="20"/>
        </w:rPr>
        <w:t>FastVDO</w:t>
      </w:r>
      <w:proofErr w:type="spellEnd"/>
      <w:r>
        <w:rPr>
          <w:b w:val="0"/>
          <w:sz w:val="20"/>
          <w:szCs w:val="20"/>
        </w:rPr>
        <w:t xml:space="preserve">, </w:t>
      </w:r>
      <w:r w:rsidR="00D7355F">
        <w:rPr>
          <w:b w:val="0"/>
          <w:sz w:val="20"/>
          <w:szCs w:val="20"/>
        </w:rPr>
        <w:t xml:space="preserve">which we call FVHDR, </w:t>
      </w:r>
      <w:r>
        <w:rPr>
          <w:b w:val="0"/>
          <w:sz w:val="20"/>
          <w:szCs w:val="20"/>
        </w:rPr>
        <w:t>and built on top of the Versatile Video Coding (VVC) VTM</w:t>
      </w:r>
      <w:r w:rsidR="00D7355F">
        <w:rPr>
          <w:b w:val="0"/>
          <w:sz w:val="20"/>
          <w:szCs w:val="20"/>
        </w:rPr>
        <w:t>2</w:t>
      </w:r>
      <w:r>
        <w:rPr>
          <w:b w:val="0"/>
          <w:sz w:val="20"/>
          <w:szCs w:val="20"/>
        </w:rPr>
        <w:t>.0</w:t>
      </w:r>
      <w:r w:rsidR="003F7845">
        <w:rPr>
          <w:b w:val="0"/>
          <w:sz w:val="20"/>
          <w:szCs w:val="20"/>
        </w:rPr>
        <w:t>.1</w:t>
      </w:r>
      <w:r>
        <w:rPr>
          <w:b w:val="0"/>
          <w:sz w:val="20"/>
          <w:szCs w:val="20"/>
        </w:rPr>
        <w:t xml:space="preserve"> test model of the Joint Video Exploration Team. A fully automatic adaptive video </w:t>
      </w:r>
      <w:r w:rsidRPr="00B81515">
        <w:rPr>
          <w:b w:val="0"/>
          <w:sz w:val="20"/>
          <w:szCs w:val="20"/>
        </w:rPr>
        <w:t>process</w:t>
      </w:r>
      <w:r>
        <w:rPr>
          <w:b w:val="0"/>
          <w:sz w:val="20"/>
          <w:szCs w:val="20"/>
        </w:rPr>
        <w:t xml:space="preserve"> that differs</w:t>
      </w:r>
      <w:r w:rsidRPr="00B81515">
        <w:rPr>
          <w:b w:val="0"/>
          <w:sz w:val="20"/>
          <w:szCs w:val="20"/>
        </w:rPr>
        <w:t xml:space="preserve"> from </w:t>
      </w:r>
      <w:r>
        <w:rPr>
          <w:b w:val="0"/>
          <w:sz w:val="20"/>
          <w:szCs w:val="20"/>
        </w:rPr>
        <w:t>a known</w:t>
      </w:r>
      <w:r w:rsidRPr="00B81515">
        <w:rPr>
          <w:b w:val="0"/>
          <w:sz w:val="20"/>
          <w:szCs w:val="20"/>
        </w:rPr>
        <w:t xml:space="preserve"> </w:t>
      </w:r>
      <w:r w:rsidRPr="00A63E32">
        <w:rPr>
          <w:b w:val="0"/>
          <w:sz w:val="20"/>
          <w:szCs w:val="20"/>
        </w:rPr>
        <w:t>HDR video processing chain</w:t>
      </w:r>
      <w:r>
        <w:rPr>
          <w:b w:val="0"/>
          <w:sz w:val="20"/>
          <w:szCs w:val="20"/>
        </w:rPr>
        <w:t xml:space="preserve"> (analogous to HDR10, and herein called “anchor”)</w:t>
      </w:r>
      <w:r w:rsidRPr="00A63E32">
        <w:rPr>
          <w:b w:val="0"/>
          <w:sz w:val="20"/>
          <w:szCs w:val="20"/>
        </w:rPr>
        <w:t xml:space="preserve"> developed </w:t>
      </w:r>
      <w:r w:rsidR="00D7355F">
        <w:rPr>
          <w:b w:val="0"/>
          <w:sz w:val="20"/>
          <w:szCs w:val="20"/>
        </w:rPr>
        <w:t>previously</w:t>
      </w:r>
      <w:r w:rsidRPr="00A63E32">
        <w:rPr>
          <w:b w:val="0"/>
          <w:sz w:val="20"/>
          <w:szCs w:val="20"/>
        </w:rPr>
        <w:t xml:space="preserve"> in </w:t>
      </w:r>
      <w:r>
        <w:rPr>
          <w:b w:val="0"/>
          <w:sz w:val="20"/>
          <w:szCs w:val="20"/>
        </w:rPr>
        <w:t>the standards committee JCTVC</w:t>
      </w:r>
      <w:r w:rsidRPr="00A63E32">
        <w:rPr>
          <w:b w:val="0"/>
          <w:sz w:val="20"/>
          <w:szCs w:val="20"/>
        </w:rPr>
        <w:t xml:space="preserve">, </w:t>
      </w:r>
      <w:r>
        <w:rPr>
          <w:b w:val="0"/>
          <w:sz w:val="20"/>
          <w:szCs w:val="20"/>
        </w:rPr>
        <w:t>is used. FV</w:t>
      </w:r>
      <w:r w:rsidRPr="00B81515">
        <w:rPr>
          <w:b w:val="0"/>
          <w:sz w:val="20"/>
          <w:szCs w:val="20"/>
        </w:rPr>
        <w:t>HDR</w:t>
      </w:r>
      <w:r>
        <w:rPr>
          <w:b w:val="0"/>
          <w:sz w:val="20"/>
          <w:szCs w:val="20"/>
        </w:rPr>
        <w:t xml:space="preserve"> works </w:t>
      </w:r>
      <w:r w:rsidRPr="00B81515">
        <w:rPr>
          <w:b w:val="0"/>
          <w:sz w:val="20"/>
          <w:szCs w:val="20"/>
        </w:rPr>
        <w:t xml:space="preserve">entirely within the framework of </w:t>
      </w:r>
      <w:r>
        <w:rPr>
          <w:b w:val="0"/>
          <w:sz w:val="20"/>
          <w:szCs w:val="20"/>
        </w:rPr>
        <w:t xml:space="preserve">the VTM software </w:t>
      </w:r>
      <w:proofErr w:type="gramStart"/>
      <w:r>
        <w:rPr>
          <w:b w:val="0"/>
          <w:sz w:val="20"/>
          <w:szCs w:val="20"/>
        </w:rPr>
        <w:t>model,</w:t>
      </w:r>
      <w:r w:rsidR="003726FB">
        <w:rPr>
          <w:b w:val="0"/>
          <w:sz w:val="20"/>
          <w:szCs w:val="20"/>
        </w:rPr>
        <w:t xml:space="preserve"> </w:t>
      </w:r>
      <w:r>
        <w:rPr>
          <w:b w:val="0"/>
          <w:sz w:val="20"/>
          <w:szCs w:val="20"/>
        </w:rPr>
        <w:t>but</w:t>
      </w:r>
      <w:proofErr w:type="gramEnd"/>
      <w:r>
        <w:rPr>
          <w:b w:val="0"/>
          <w:sz w:val="20"/>
          <w:szCs w:val="20"/>
        </w:rPr>
        <w:t xml:space="preserve"> adds additional tools. These tools can become an integral part of a future </w:t>
      </w:r>
      <w:r w:rsidR="003F7845">
        <w:rPr>
          <w:b w:val="0"/>
          <w:sz w:val="20"/>
          <w:szCs w:val="20"/>
        </w:rPr>
        <w:t xml:space="preserve">VVC </w:t>
      </w:r>
      <w:r>
        <w:rPr>
          <w:b w:val="0"/>
          <w:sz w:val="20"/>
          <w:szCs w:val="20"/>
        </w:rPr>
        <w:t xml:space="preserve">video coding standard, or be </w:t>
      </w:r>
      <w:r w:rsidR="003F7845">
        <w:rPr>
          <w:b w:val="0"/>
          <w:sz w:val="20"/>
          <w:szCs w:val="20"/>
        </w:rPr>
        <w:t>developed</w:t>
      </w:r>
      <w:r>
        <w:rPr>
          <w:b w:val="0"/>
          <w:sz w:val="20"/>
          <w:szCs w:val="20"/>
        </w:rPr>
        <w:t xml:space="preserve"> as additional pre- and post-processing chains</w:t>
      </w:r>
      <w:r w:rsidR="003F7845">
        <w:rPr>
          <w:b w:val="0"/>
          <w:sz w:val="20"/>
          <w:szCs w:val="20"/>
        </w:rPr>
        <w:t xml:space="preserve"> (as an example, presented as pre/post processes in this proposal).  </w:t>
      </w:r>
      <w:r w:rsidR="003726FB">
        <w:rPr>
          <w:b w:val="0"/>
          <w:sz w:val="20"/>
          <w:szCs w:val="20"/>
        </w:rPr>
        <w:t xml:space="preserve">Reconstructed videos codec with the proposed system are claimed to show subjective improvement over the anchor system. </w:t>
      </w:r>
      <w:r>
        <w:rPr>
          <w:b w:val="0"/>
          <w:sz w:val="20"/>
          <w:szCs w:val="20"/>
        </w:rPr>
        <w:t xml:space="preserve">Moreover, the resultant SDR content generated by the </w:t>
      </w:r>
      <w:r w:rsidR="003726FB">
        <w:rPr>
          <w:b w:val="0"/>
          <w:sz w:val="20"/>
          <w:szCs w:val="20"/>
        </w:rPr>
        <w:t xml:space="preserve">proposed </w:t>
      </w:r>
      <w:r>
        <w:rPr>
          <w:b w:val="0"/>
          <w:sz w:val="20"/>
          <w:szCs w:val="20"/>
        </w:rPr>
        <w:t xml:space="preserve">data adaptive grading process </w:t>
      </w:r>
      <w:r w:rsidR="003726FB">
        <w:rPr>
          <w:b w:val="0"/>
          <w:sz w:val="20"/>
          <w:szCs w:val="20"/>
        </w:rPr>
        <w:t xml:space="preserve">is claimed to offer </w:t>
      </w:r>
      <w:r>
        <w:rPr>
          <w:b w:val="0"/>
          <w:sz w:val="20"/>
          <w:szCs w:val="20"/>
        </w:rPr>
        <w:t>backward compatib</w:t>
      </w:r>
      <w:r w:rsidR="003726FB">
        <w:rPr>
          <w:b w:val="0"/>
          <w:sz w:val="20"/>
          <w:szCs w:val="20"/>
        </w:rPr>
        <w:t>ility options, which can be developed in follow-on work.</w:t>
      </w:r>
    </w:p>
    <w:p w14:paraId="7D2AC1F0" w14:textId="2E2D887D" w:rsidR="00745F6B" w:rsidRDefault="00745F6B" w:rsidP="00E11923">
      <w:pPr>
        <w:pStyle w:val="Heading1"/>
        <w:rPr>
          <w:lang w:val="en-CA"/>
        </w:rPr>
      </w:pPr>
      <w:r w:rsidRPr="005B217D">
        <w:rPr>
          <w:lang w:val="en-CA"/>
        </w:rPr>
        <w:t xml:space="preserve">Introduction </w:t>
      </w:r>
    </w:p>
    <w:p w14:paraId="463E9F4E" w14:textId="77777777" w:rsidR="000F7637" w:rsidRPr="000F7637" w:rsidRDefault="000F7637" w:rsidP="000F7637">
      <w:pPr>
        <w:rPr>
          <w:lang w:val="en-CA"/>
        </w:rPr>
      </w:pPr>
    </w:p>
    <w:p w14:paraId="372D2BAD" w14:textId="1092C495" w:rsidR="000F7637" w:rsidRPr="000F7637" w:rsidRDefault="000F7637" w:rsidP="000F7637">
      <w:pPr>
        <w:pStyle w:val="BodyText"/>
        <w:ind w:firstLine="0"/>
      </w:pPr>
      <w:r>
        <w:t xml:space="preserve">HDR/WCG (herein “HDR”) video data have high levels of luminosity, of at least 1000 nits and potentially up to 10000 nits, and with a much wider color gamut, given by the BT. 2020 standard, compared to standard dynamic range (SDR) video content [1]. A standardized approach to coding such content using HEVC has been recently developed called </w:t>
      </w:r>
      <w:proofErr w:type="gramStart"/>
      <w:r>
        <w:t>HDR10, and</w:t>
      </w:r>
      <w:proofErr w:type="gramEnd"/>
      <w:r>
        <w:t xml:space="preserve"> is now being deployed in broadcast and other video applications. The core coding standard utilized in HDR10 is the Main10 Profile of ITU|ISO/IEC HEVC, High Efficiency Video Coding standard. Currently JVET is exploring the coding of HDR content using VTM [2]. As an active member of the committee, </w:t>
      </w:r>
      <w:proofErr w:type="spellStart"/>
      <w:r>
        <w:t>FastVDO</w:t>
      </w:r>
      <w:proofErr w:type="spellEnd"/>
      <w:r>
        <w:t xml:space="preserve"> has developed several effective approaches for HDR video coding that can be implemented either as pre/post processing steps or as normative changes to the core 10-bit encode/decode processes of VTM [2]. We will use an analog of the HDR10 approach as an anchor for comparisons.</w:t>
      </w:r>
    </w:p>
    <w:p w14:paraId="5A2AAAA4" w14:textId="09D6CD68" w:rsidR="00834AF7" w:rsidRDefault="000F7637" w:rsidP="00E11923">
      <w:pPr>
        <w:pStyle w:val="Heading1"/>
        <w:rPr>
          <w:lang w:val="en-CA"/>
        </w:rPr>
      </w:pPr>
      <w:r>
        <w:rPr>
          <w:lang w:val="en-CA"/>
        </w:rPr>
        <w:t>Anchor Coding Scheme</w:t>
      </w:r>
    </w:p>
    <w:p w14:paraId="770B22CF" w14:textId="0A56B041" w:rsidR="000F7637" w:rsidRDefault="000F7637" w:rsidP="000F7637">
      <w:pPr>
        <w:rPr>
          <w:lang w:val="en-CA"/>
        </w:rPr>
      </w:pPr>
    </w:p>
    <w:p w14:paraId="3326163D" w14:textId="77777777" w:rsidR="000F7637" w:rsidRDefault="000F7637" w:rsidP="000F7637">
      <w:pPr>
        <w:pStyle w:val="BodyText"/>
        <w:ind w:firstLine="0"/>
      </w:pPr>
      <w:r>
        <w:t xml:space="preserve">For our purposes the anchor coding chain is presented in Figure 1. The input video to the encoder is in </w:t>
      </w:r>
      <w:proofErr w:type="spellStart"/>
      <w:r>
        <w:t>Y’CbCr</w:t>
      </w:r>
      <w:proofErr w:type="spellEnd"/>
      <w:r>
        <w:t xml:space="preserve"> 4:2:0 (HDR) format generated from linear light RGB video signal after tone mapping using the ST-2084 transfer function (PQ OETF) [4] followed by color transformation and then </w:t>
      </w:r>
      <w:proofErr w:type="spellStart"/>
      <w:r>
        <w:t>downsampling</w:t>
      </w:r>
      <w:proofErr w:type="spellEnd"/>
      <w:r>
        <w:t xml:space="preserve">. The encoding is done with VTM1.0 profile. The corresponding VTM1.0 decoder is used to get the reconstructed </w:t>
      </w:r>
      <w:proofErr w:type="spellStart"/>
      <w:r>
        <w:t>Y’CbCr</w:t>
      </w:r>
      <w:proofErr w:type="spellEnd"/>
      <w:r>
        <w:t xml:space="preserve"> 4:2:0 HDR video. </w:t>
      </w:r>
    </w:p>
    <w:p w14:paraId="572FECDD" w14:textId="77777777" w:rsidR="000F7637" w:rsidRDefault="000F7637" w:rsidP="000F7637">
      <w:pPr>
        <w:pStyle w:val="BodyText"/>
        <w:ind w:firstLine="0"/>
        <w:rPr>
          <w:sz w:val="18"/>
          <w:szCs w:val="18"/>
        </w:rPr>
      </w:pPr>
    </w:p>
    <w:p w14:paraId="649EB7CB" w14:textId="77777777" w:rsidR="000F7637" w:rsidRDefault="000F7637" w:rsidP="000F7637">
      <w:pPr>
        <w:pStyle w:val="BodyText"/>
        <w:ind w:firstLine="0"/>
        <w:jc w:val="center"/>
        <w:rPr>
          <w:sz w:val="18"/>
          <w:szCs w:val="18"/>
        </w:rPr>
      </w:pPr>
      <w:r>
        <w:rPr>
          <w:noProof/>
          <w:sz w:val="18"/>
          <w:szCs w:val="18"/>
        </w:rPr>
        <w:drawing>
          <wp:inline distT="0" distB="0" distL="0" distR="0" wp14:anchorId="20C5DEA5" wp14:editId="61FB1A29">
            <wp:extent cx="6172200" cy="8147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drbasicIO.png"/>
                    <pic:cNvPicPr/>
                  </pic:nvPicPr>
                  <pic:blipFill>
                    <a:blip r:embed="rId9"/>
                    <a:stretch>
                      <a:fillRect/>
                    </a:stretch>
                  </pic:blipFill>
                  <pic:spPr>
                    <a:xfrm>
                      <a:off x="0" y="0"/>
                      <a:ext cx="6172200" cy="814705"/>
                    </a:xfrm>
                    <a:prstGeom prst="rect">
                      <a:avLst/>
                    </a:prstGeom>
                  </pic:spPr>
                </pic:pic>
              </a:graphicData>
            </a:graphic>
          </wp:inline>
        </w:drawing>
      </w:r>
    </w:p>
    <w:p w14:paraId="37FDDAF6" w14:textId="58EC325C" w:rsidR="000F7637" w:rsidRPr="00186042" w:rsidRDefault="000F7637" w:rsidP="000F7637">
      <w:pPr>
        <w:pStyle w:val="BodyText"/>
        <w:ind w:firstLine="0"/>
        <w:rPr>
          <w:i/>
          <w:sz w:val="18"/>
          <w:szCs w:val="18"/>
        </w:rPr>
      </w:pPr>
      <w:r w:rsidRPr="00186042">
        <w:rPr>
          <w:i/>
          <w:sz w:val="18"/>
          <w:szCs w:val="18"/>
        </w:rPr>
        <w:t xml:space="preserve">Figure 1: Basic HDR processing chain. The input/output are in a </w:t>
      </w:r>
      <w:r>
        <w:rPr>
          <w:i/>
          <w:sz w:val="18"/>
          <w:szCs w:val="18"/>
        </w:rPr>
        <w:t xml:space="preserve">fixed, static </w:t>
      </w:r>
      <w:r w:rsidRPr="00186042">
        <w:rPr>
          <w:i/>
          <w:sz w:val="18"/>
          <w:szCs w:val="18"/>
        </w:rPr>
        <w:t>transfer function domain (e.g., ST</w:t>
      </w:r>
      <w:r>
        <w:rPr>
          <w:i/>
          <w:sz w:val="18"/>
          <w:szCs w:val="18"/>
        </w:rPr>
        <w:t>-</w:t>
      </w:r>
      <w:r w:rsidRPr="00186042">
        <w:rPr>
          <w:i/>
          <w:sz w:val="18"/>
          <w:szCs w:val="18"/>
        </w:rPr>
        <w:t>2084</w:t>
      </w:r>
      <w:r>
        <w:rPr>
          <w:i/>
          <w:sz w:val="18"/>
          <w:szCs w:val="18"/>
        </w:rPr>
        <w:t>, or HLG</w:t>
      </w:r>
      <w:r w:rsidRPr="00186042">
        <w:rPr>
          <w:i/>
          <w:sz w:val="18"/>
          <w:szCs w:val="18"/>
        </w:rPr>
        <w:t>).</w:t>
      </w:r>
      <w:r>
        <w:rPr>
          <w:i/>
          <w:sz w:val="18"/>
          <w:szCs w:val="18"/>
        </w:rPr>
        <w:t xml:space="preserve"> This will serve as our anchor, with</w:t>
      </w:r>
      <w:r w:rsidR="003726FB">
        <w:rPr>
          <w:i/>
          <w:sz w:val="18"/>
          <w:szCs w:val="18"/>
        </w:rPr>
        <w:t xml:space="preserve"> </w:t>
      </w:r>
      <w:r>
        <w:rPr>
          <w:i/>
          <w:sz w:val="18"/>
          <w:szCs w:val="18"/>
        </w:rPr>
        <w:t>VTM 2.0</w:t>
      </w:r>
      <w:r w:rsidR="003726FB">
        <w:rPr>
          <w:i/>
          <w:sz w:val="18"/>
          <w:szCs w:val="18"/>
        </w:rPr>
        <w:t>.1</w:t>
      </w:r>
      <w:r>
        <w:rPr>
          <w:i/>
          <w:sz w:val="18"/>
          <w:szCs w:val="18"/>
        </w:rPr>
        <w:t>.</w:t>
      </w:r>
    </w:p>
    <w:p w14:paraId="3AB454CD" w14:textId="77777777" w:rsidR="000F7637" w:rsidRPr="000F7637" w:rsidRDefault="000F7637" w:rsidP="000F7637">
      <w:pPr>
        <w:rPr>
          <w:lang w:val="en-CA"/>
        </w:rPr>
      </w:pPr>
    </w:p>
    <w:p w14:paraId="79E3050B" w14:textId="28AF02D5" w:rsidR="000F7637" w:rsidRDefault="00150C7E" w:rsidP="00E11923">
      <w:pPr>
        <w:pStyle w:val="Heading1"/>
        <w:rPr>
          <w:lang w:val="en-CA"/>
        </w:rPr>
      </w:pPr>
      <w:proofErr w:type="spellStart"/>
      <w:r>
        <w:rPr>
          <w:lang w:val="en-CA"/>
        </w:rPr>
        <w:t>FastVDO</w:t>
      </w:r>
      <w:proofErr w:type="spellEnd"/>
      <w:r>
        <w:rPr>
          <w:lang w:val="en-CA"/>
        </w:rPr>
        <w:t xml:space="preserve"> HDR Coding System</w:t>
      </w:r>
    </w:p>
    <w:p w14:paraId="5D0C619F" w14:textId="3F09EC1A" w:rsidR="00150C7E" w:rsidRDefault="00150C7E" w:rsidP="00150C7E">
      <w:pPr>
        <w:rPr>
          <w:lang w:val="en-CA"/>
        </w:rPr>
      </w:pPr>
    </w:p>
    <w:p w14:paraId="4F37B79A" w14:textId="77777777" w:rsidR="00150C7E" w:rsidRDefault="00150C7E" w:rsidP="00150C7E">
      <w:pPr>
        <w:pStyle w:val="BodyText"/>
        <w:ind w:firstLine="0"/>
      </w:pPr>
      <w:bookmarkStart w:id="1" w:name="OLE_LINK69"/>
      <w:bookmarkStart w:id="2" w:name="OLE_LINK70"/>
      <w:bookmarkStart w:id="3" w:name="OLE_LINK71"/>
      <w:bookmarkStart w:id="4" w:name="OLE_LINK80"/>
      <w:bookmarkStart w:id="5" w:name="OLE_LINK81"/>
      <w:bookmarkStart w:id="6" w:name="OLE_LINK82"/>
      <w:r>
        <w:t>In contrast to figure 1, the</w:t>
      </w:r>
      <w:r w:rsidRPr="004D3119">
        <w:t xml:space="preserve"> basic block diagram </w:t>
      </w:r>
      <w:r>
        <w:t xml:space="preserve">of the FVHDR approach is represented in Figure 2, which is here depicted as pre/post processing (alternative approaches that are embedded normatively in the codec are also available). A more extensive discussion of </w:t>
      </w:r>
      <w:proofErr w:type="spellStart"/>
      <w:r>
        <w:t>FastVDO</w:t>
      </w:r>
      <w:proofErr w:type="spellEnd"/>
      <w:r>
        <w:t xml:space="preserve"> approaches to HDR coding, in the context of HEVC, are covered in the Technical Report ISO/IEC TR23008-15 [TR2]. These methods are now adopted for VVC. A data adaptive grading (DAG) process is applied to the </w:t>
      </w:r>
      <w:bookmarkStart w:id="7" w:name="_Hlk487715475"/>
      <w:proofErr w:type="spellStart"/>
      <w:r>
        <w:t>Y’CbCr</w:t>
      </w:r>
      <w:proofErr w:type="spellEnd"/>
      <w:r>
        <w:t xml:space="preserve"> 4:2:0 HDR input video</w:t>
      </w:r>
      <w:bookmarkEnd w:id="7"/>
      <w:r>
        <w:t xml:space="preserve">. The graded </w:t>
      </w:r>
      <w:proofErr w:type="spellStart"/>
      <w:r>
        <w:t>YCbCr</w:t>
      </w:r>
      <w:proofErr w:type="spellEnd"/>
      <w:r>
        <w:t>/</w:t>
      </w:r>
      <w:proofErr w:type="spellStart"/>
      <w:r>
        <w:t>YFbFr</w:t>
      </w:r>
      <w:proofErr w:type="spellEnd"/>
      <w:r>
        <w:t xml:space="preserve"> 4:2:0 SDR video along with the associated metadata is then encoded with VTM using the equivalent of the Main 10 profile. After decoding the bitstream an inverse grading process is applied to the reconstructed </w:t>
      </w:r>
      <w:proofErr w:type="spellStart"/>
      <w:r>
        <w:t>YCbCr</w:t>
      </w:r>
      <w:proofErr w:type="spellEnd"/>
      <w:r>
        <w:t>/</w:t>
      </w:r>
      <w:proofErr w:type="spellStart"/>
      <w:r>
        <w:t>YFbFr</w:t>
      </w:r>
      <w:proofErr w:type="spellEnd"/>
      <w:r>
        <w:t xml:space="preserve"> 4:2:0 SDR video to generate the </w:t>
      </w:r>
      <w:proofErr w:type="spellStart"/>
      <w:r>
        <w:t>Y’CbCr</w:t>
      </w:r>
      <w:proofErr w:type="spellEnd"/>
      <w:r>
        <w:t xml:space="preserve"> 4:2:0 HDR reconstructed video. This process utilizes the decoded metadata for adaptive degrading.</w:t>
      </w:r>
      <w:bookmarkEnd w:id="1"/>
      <w:bookmarkEnd w:id="2"/>
      <w:bookmarkEnd w:id="3"/>
      <w:r>
        <w:t xml:space="preserve"> One variant of this method was presented recently by us at the JVET standards committee, at the Torino, IT, meeting, </w:t>
      </w:r>
      <w:proofErr w:type="gramStart"/>
      <w:r>
        <w:t>July,</w:t>
      </w:r>
      <w:proofErr w:type="gramEnd"/>
      <w:r>
        <w:t xml:space="preserve"> 2017 [8].</w:t>
      </w:r>
    </w:p>
    <w:p w14:paraId="278B64BD" w14:textId="77777777" w:rsidR="00150C7E" w:rsidRDefault="00150C7E" w:rsidP="00150C7E">
      <w:pPr>
        <w:pStyle w:val="BodyText"/>
      </w:pPr>
    </w:p>
    <w:p w14:paraId="29A47FAD" w14:textId="77777777" w:rsidR="00150C7E" w:rsidRDefault="00150C7E" w:rsidP="00150C7E">
      <w:pPr>
        <w:pStyle w:val="BodyText"/>
      </w:pPr>
      <w:r>
        <w:rPr>
          <w:noProof/>
        </w:rPr>
        <w:drawing>
          <wp:inline distT="0" distB="0" distL="0" distR="0" wp14:anchorId="3E1D6C64" wp14:editId="09D41B50">
            <wp:extent cx="6045200" cy="950315"/>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drprocChain1.png"/>
                    <pic:cNvPicPr/>
                  </pic:nvPicPr>
                  <pic:blipFill>
                    <a:blip r:embed="rId10"/>
                    <a:stretch>
                      <a:fillRect/>
                    </a:stretch>
                  </pic:blipFill>
                  <pic:spPr>
                    <a:xfrm>
                      <a:off x="0" y="0"/>
                      <a:ext cx="6055363" cy="951913"/>
                    </a:xfrm>
                    <a:prstGeom prst="rect">
                      <a:avLst/>
                    </a:prstGeom>
                  </pic:spPr>
                </pic:pic>
              </a:graphicData>
            </a:graphic>
          </wp:inline>
        </w:drawing>
      </w:r>
    </w:p>
    <w:p w14:paraId="26C2E199" w14:textId="77777777" w:rsidR="00150C7E" w:rsidRPr="00F838C5" w:rsidRDefault="00150C7E" w:rsidP="00150C7E">
      <w:pPr>
        <w:pStyle w:val="BodyText"/>
        <w:ind w:firstLine="0"/>
        <w:rPr>
          <w:i/>
          <w:sz w:val="18"/>
          <w:szCs w:val="18"/>
        </w:rPr>
      </w:pPr>
      <w:r w:rsidRPr="00F838C5">
        <w:rPr>
          <w:i/>
          <w:sz w:val="18"/>
          <w:szCs w:val="18"/>
        </w:rPr>
        <w:t>Figure 2: FVHDR coding chain. The difference to figure 1 is that we now use</w:t>
      </w:r>
      <w:r>
        <w:rPr>
          <w:i/>
          <w:sz w:val="18"/>
          <w:szCs w:val="18"/>
        </w:rPr>
        <w:t xml:space="preserve"> pre/post processing with</w:t>
      </w:r>
      <w:r w:rsidRPr="00F838C5">
        <w:rPr>
          <w:i/>
          <w:sz w:val="18"/>
          <w:szCs w:val="18"/>
        </w:rPr>
        <w:t xml:space="preserve"> data-adaptive grading, </w:t>
      </w:r>
      <w:r>
        <w:rPr>
          <w:i/>
          <w:sz w:val="18"/>
          <w:szCs w:val="18"/>
        </w:rPr>
        <w:t>compared to</w:t>
      </w:r>
      <w:r w:rsidRPr="00F838C5">
        <w:rPr>
          <w:i/>
          <w:sz w:val="18"/>
          <w:szCs w:val="18"/>
        </w:rPr>
        <w:t xml:space="preserve"> static </w:t>
      </w:r>
      <w:r>
        <w:rPr>
          <w:i/>
          <w:sz w:val="18"/>
          <w:szCs w:val="18"/>
        </w:rPr>
        <w:t xml:space="preserve">transfer functions </w:t>
      </w:r>
      <w:r w:rsidRPr="00F838C5">
        <w:rPr>
          <w:i/>
          <w:sz w:val="18"/>
          <w:szCs w:val="18"/>
        </w:rPr>
        <w:t>(such as PQ, HLG).</w:t>
      </w:r>
    </w:p>
    <w:p w14:paraId="1D556494" w14:textId="77777777" w:rsidR="00150C7E" w:rsidRDefault="00150C7E" w:rsidP="00150C7E">
      <w:pPr>
        <w:pStyle w:val="BodyText"/>
        <w:jc w:val="center"/>
        <w:rPr>
          <w:sz w:val="18"/>
          <w:szCs w:val="18"/>
        </w:rPr>
      </w:pPr>
    </w:p>
    <w:p w14:paraId="70004BDE" w14:textId="77777777" w:rsidR="00150C7E" w:rsidRDefault="00150C7E" w:rsidP="00150C7E">
      <w:pPr>
        <w:pStyle w:val="BodyText"/>
        <w:numPr>
          <w:ilvl w:val="1"/>
          <w:numId w:val="12"/>
        </w:numPr>
        <w:spacing w:line="240" w:lineRule="auto"/>
        <w:jc w:val="left"/>
        <w:rPr>
          <w:b/>
        </w:rPr>
      </w:pPr>
      <w:bookmarkStart w:id="8" w:name="_Hlk487721006"/>
      <w:r>
        <w:rPr>
          <w:b/>
        </w:rPr>
        <w:t xml:space="preserve">DETAILS OF THE </w:t>
      </w:r>
      <w:r w:rsidRPr="00271001">
        <w:rPr>
          <w:b/>
        </w:rPr>
        <w:t>DATA ADAPTIVE GRADING (DAG)</w:t>
      </w:r>
    </w:p>
    <w:bookmarkEnd w:id="8"/>
    <w:p w14:paraId="566B7623" w14:textId="77777777" w:rsidR="00150C7E" w:rsidRDefault="00150C7E" w:rsidP="00150C7E">
      <w:pPr>
        <w:pStyle w:val="BodyText"/>
        <w:ind w:firstLine="0"/>
      </w:pPr>
      <w:r>
        <w:t>The fully automatic DAG process is</w:t>
      </w:r>
      <w:r w:rsidRPr="00271001">
        <w:t xml:space="preserve"> </w:t>
      </w:r>
      <w:r>
        <w:t xml:space="preserve">essentially </w:t>
      </w:r>
      <w:r w:rsidRPr="00271001">
        <w:t xml:space="preserve">a point operation </w:t>
      </w:r>
      <w:r>
        <w:t xml:space="preserve">on linear light signal. The </w:t>
      </w:r>
      <w:proofErr w:type="spellStart"/>
      <w:r>
        <w:t>Y’CbCr</w:t>
      </w:r>
      <w:proofErr w:type="spellEnd"/>
      <w:r>
        <w:t xml:space="preserve"> 4:2:0 HDR input video</w:t>
      </w:r>
      <w:r w:rsidRPr="00271001">
        <w:t xml:space="preserve"> </w:t>
      </w:r>
      <w:r>
        <w:t xml:space="preserve">is </w:t>
      </w:r>
      <w:proofErr w:type="spellStart"/>
      <w:r>
        <w:t>upsampled</w:t>
      </w:r>
      <w:proofErr w:type="spellEnd"/>
      <w:r>
        <w:t xml:space="preserve"> to </w:t>
      </w:r>
      <w:proofErr w:type="spellStart"/>
      <w:r>
        <w:t>Y’CbCr</w:t>
      </w:r>
      <w:proofErr w:type="spellEnd"/>
      <w:r>
        <w:t xml:space="preserve"> 4:4:4 signal. A color transformation is then done to get a R’G’B’ 4:4:4 signal. PQ EOTF is then applied to get linear light RGB</w:t>
      </w:r>
      <w:r>
        <w:rPr>
          <w:vertAlign w:val="subscript"/>
        </w:rPr>
        <w:t>HDR</w:t>
      </w:r>
      <w:r>
        <w:t>. The RGB</w:t>
      </w:r>
      <w:r>
        <w:rPr>
          <w:vertAlign w:val="subscript"/>
        </w:rPr>
        <w:t>HDR</w:t>
      </w:r>
      <w:r>
        <w:t xml:space="preserve"> input is then graded using a data adaptive OETF to RGB</w:t>
      </w:r>
      <w:r>
        <w:rPr>
          <w:vertAlign w:val="subscript"/>
        </w:rPr>
        <w:t>SDR</w:t>
      </w:r>
      <w:r>
        <w:t>. The RGB</w:t>
      </w:r>
      <w:r>
        <w:rPr>
          <w:vertAlign w:val="subscript"/>
        </w:rPr>
        <w:t>SDR</w:t>
      </w:r>
      <w:r>
        <w:t xml:space="preserve"> content is then mapped to a non-constant luminance (NCL) </w:t>
      </w:r>
      <w:proofErr w:type="spellStart"/>
      <w:r>
        <w:t>Y’CbCr</w:t>
      </w:r>
      <w:proofErr w:type="spellEnd"/>
      <w:r>
        <w:t xml:space="preserve"> or a </w:t>
      </w:r>
      <w:proofErr w:type="spellStart"/>
      <w:r>
        <w:t>FastVDO</w:t>
      </w:r>
      <w:proofErr w:type="spellEnd"/>
      <w:r>
        <w:t xml:space="preserve"> developed </w:t>
      </w:r>
      <w:proofErr w:type="spellStart"/>
      <w:r>
        <w:t>YFbFr</w:t>
      </w:r>
      <w:proofErr w:type="spellEnd"/>
      <w:r>
        <w:t xml:space="preserve"> signal [5]. The resultant </w:t>
      </w:r>
      <w:proofErr w:type="spellStart"/>
      <w:r>
        <w:t>YCbCr</w:t>
      </w:r>
      <w:proofErr w:type="spellEnd"/>
      <w:r>
        <w:t>/</w:t>
      </w:r>
      <w:proofErr w:type="spellStart"/>
      <w:r>
        <w:t>YFbFr</w:t>
      </w:r>
      <w:proofErr w:type="spellEnd"/>
      <w:r>
        <w:t xml:space="preserve"> signal is </w:t>
      </w:r>
      <w:proofErr w:type="spellStart"/>
      <w:r>
        <w:t>downsampled</w:t>
      </w:r>
      <w:proofErr w:type="spellEnd"/>
      <w:r>
        <w:t xml:space="preserve"> to 4:2:0 format using </w:t>
      </w:r>
      <w:r w:rsidRPr="003674B9">
        <w:t>advanc</w:t>
      </w:r>
      <w:r>
        <w:t xml:space="preserve">ed chroma </w:t>
      </w:r>
      <w:proofErr w:type="spellStart"/>
      <w:r>
        <w:t>downsampling</w:t>
      </w:r>
      <w:proofErr w:type="spellEnd"/>
      <w:r>
        <w:t xml:space="preserve"> filters designed by </w:t>
      </w:r>
      <w:proofErr w:type="spellStart"/>
      <w:r>
        <w:t>FastVDO</w:t>
      </w:r>
      <w:proofErr w:type="spellEnd"/>
      <w:r>
        <w:t xml:space="preserve"> [6]. The </w:t>
      </w:r>
      <w:proofErr w:type="spellStart"/>
      <w:r>
        <w:t>YCbCr</w:t>
      </w:r>
      <w:proofErr w:type="spellEnd"/>
      <w:r>
        <w:t>/</w:t>
      </w:r>
      <w:proofErr w:type="spellStart"/>
      <w:r>
        <w:t>YFbFr</w:t>
      </w:r>
      <w:proofErr w:type="spellEnd"/>
      <w:r>
        <w:t xml:space="preserve"> 4:2:0 signal is then encoded using the VTM reference software. Figure 3 describes the sequential steps involved in DAG.</w:t>
      </w:r>
    </w:p>
    <w:p w14:paraId="73A00B88" w14:textId="320263F1" w:rsidR="00150C7E" w:rsidRDefault="00A82988" w:rsidP="00150C7E">
      <w:pPr>
        <w:pStyle w:val="BodyText"/>
        <w:ind w:firstLine="0"/>
        <w:jc w:val="center"/>
      </w:pPr>
      <w:r>
        <w:rPr>
          <w:noProof/>
        </w:rPr>
        <w:drawing>
          <wp:inline distT="0" distB="0" distL="0" distR="0" wp14:anchorId="20C0D7C4" wp14:editId="0A8318E8">
            <wp:extent cx="5943600" cy="6769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DAT-detail.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676910"/>
                    </a:xfrm>
                    <a:prstGeom prst="rect">
                      <a:avLst/>
                    </a:prstGeom>
                  </pic:spPr>
                </pic:pic>
              </a:graphicData>
            </a:graphic>
          </wp:inline>
        </w:drawing>
      </w:r>
    </w:p>
    <w:p w14:paraId="5DE7530C" w14:textId="240AEC03" w:rsidR="00150C7E" w:rsidRPr="00CF45F8" w:rsidRDefault="00150C7E" w:rsidP="00150C7E">
      <w:pPr>
        <w:pStyle w:val="BodyText"/>
        <w:ind w:firstLine="0"/>
        <w:rPr>
          <w:i/>
          <w:sz w:val="18"/>
          <w:szCs w:val="18"/>
        </w:rPr>
      </w:pPr>
      <w:r w:rsidRPr="00CF45F8">
        <w:rPr>
          <w:i/>
          <w:sz w:val="18"/>
          <w:szCs w:val="18"/>
        </w:rPr>
        <w:t>Figure 3: Data Adaptive Grading (DAG)</w:t>
      </w:r>
      <w:r>
        <w:rPr>
          <w:i/>
          <w:sz w:val="18"/>
          <w:szCs w:val="18"/>
        </w:rPr>
        <w:t xml:space="preserve"> flowchart. A key novel component is the data-adaptive </w:t>
      </w:r>
      <w:proofErr w:type="spellStart"/>
      <w:r w:rsidR="00A82988">
        <w:rPr>
          <w:i/>
          <w:sz w:val="18"/>
          <w:szCs w:val="18"/>
        </w:rPr>
        <w:t>ToneMap</w:t>
      </w:r>
      <w:proofErr w:type="spellEnd"/>
      <w:r w:rsidR="00A82988">
        <w:rPr>
          <w:i/>
          <w:sz w:val="18"/>
          <w:szCs w:val="18"/>
        </w:rPr>
        <w:t xml:space="preserve"> (DAT), which contained a data-adaptive </w:t>
      </w:r>
      <w:r>
        <w:rPr>
          <w:i/>
          <w:sz w:val="18"/>
          <w:szCs w:val="18"/>
        </w:rPr>
        <w:t xml:space="preserve">OETF (FVPQ). </w:t>
      </w:r>
    </w:p>
    <w:p w14:paraId="0E69C9E8" w14:textId="77777777" w:rsidR="00150C7E" w:rsidRPr="00D74225" w:rsidRDefault="00150C7E" w:rsidP="00150C7E">
      <w:pPr>
        <w:pStyle w:val="BodyText"/>
        <w:spacing w:after="0" w:line="240" w:lineRule="auto"/>
        <w:ind w:left="720" w:firstLine="0"/>
      </w:pPr>
    </w:p>
    <w:p w14:paraId="0B7374E5" w14:textId="77777777" w:rsidR="00150C7E" w:rsidRDefault="00150C7E" w:rsidP="00150C7E">
      <w:pPr>
        <w:rPr>
          <w:rFonts w:cs="Arial"/>
          <w:bCs/>
          <w:lang w:eastAsia="ar-SA"/>
        </w:rPr>
      </w:pPr>
      <w:r>
        <w:rPr>
          <w:rFonts w:cs="Arial"/>
          <w:b/>
          <w:bCs/>
          <w:lang w:eastAsia="ar-SA"/>
        </w:rPr>
        <w:t>Data</w:t>
      </w:r>
      <w:r w:rsidRPr="00294FCE">
        <w:rPr>
          <w:rFonts w:cs="Arial"/>
          <w:b/>
          <w:bCs/>
          <w:lang w:eastAsia="ar-SA"/>
        </w:rPr>
        <w:t xml:space="preserve"> adaptive OETF:</w:t>
      </w:r>
      <w:r w:rsidRPr="00294FCE">
        <w:rPr>
          <w:rFonts w:cs="Arial"/>
          <w:bCs/>
          <w:lang w:eastAsia="ar-SA"/>
        </w:rPr>
        <w:t xml:space="preserve"> The </w:t>
      </w:r>
      <w:r>
        <w:rPr>
          <w:rFonts w:cs="Arial"/>
          <w:bCs/>
          <w:lang w:eastAsia="ar-SA"/>
        </w:rPr>
        <w:t>application of data adaptive OETF involves two steps:</w:t>
      </w:r>
    </w:p>
    <w:p w14:paraId="67581DBA" w14:textId="77777777" w:rsidR="00150C7E" w:rsidRDefault="00150C7E" w:rsidP="00150C7E">
      <w:pPr>
        <w:rPr>
          <w:rFonts w:cs="Arial"/>
          <w:bCs/>
          <w:lang w:eastAsia="ar-SA"/>
        </w:rPr>
      </w:pPr>
    </w:p>
    <w:p w14:paraId="3A794CAD" w14:textId="77777777" w:rsidR="00150C7E" w:rsidRPr="00694F05" w:rsidRDefault="00150C7E" w:rsidP="00150C7E">
      <w:pPr>
        <w:pStyle w:val="ListParagraph"/>
        <w:numPr>
          <w:ilvl w:val="0"/>
          <w:numId w:val="13"/>
        </w:numPr>
        <w:jc w:val="both"/>
        <w:rPr>
          <w:rFonts w:asciiTheme="minorHAnsi" w:eastAsia="MS Mincho" w:hAnsiTheme="minorHAnsi"/>
          <w:color w:val="00000A"/>
          <w:sz w:val="24"/>
          <w:szCs w:val="24"/>
        </w:rPr>
      </w:pPr>
      <w:r>
        <w:rPr>
          <w:rFonts w:cs="Arial"/>
          <w:color w:val="00000A"/>
        </w:rPr>
        <w:t xml:space="preserve">Determine </w:t>
      </w:r>
      <m:oMath>
        <m:r>
          <w:rPr>
            <w:rFonts w:ascii="Cambria Math" w:eastAsia="MS Mincho" w:hAnsi="Cambria Math"/>
            <w:color w:val="00000A"/>
          </w:rPr>
          <m:t>InputPeakBrightness</m:t>
        </m:r>
      </m:oMath>
      <w:r>
        <w:rPr>
          <w:rFonts w:cs="Arial"/>
          <w:color w:val="00000A"/>
        </w:rPr>
        <w:t>:</w:t>
      </w:r>
      <w:r w:rsidRPr="0099754E">
        <w:rPr>
          <w:rFonts w:eastAsia="MS Mincho"/>
          <w:color w:val="00000A"/>
        </w:rPr>
        <w:t xml:space="preserve">  </w:t>
      </w:r>
      <w:r>
        <w:rPr>
          <w:rFonts w:eastAsia="MS Mincho"/>
          <w:color w:val="00000A"/>
        </w:rPr>
        <w:t xml:space="preserve">The input </w:t>
      </w:r>
      <w:proofErr w:type="spellStart"/>
      <w:r>
        <w:rPr>
          <w:rFonts w:eastAsia="MS Mincho"/>
          <w:color w:val="00000A"/>
        </w:rPr>
        <w:t>Y’CbCr</w:t>
      </w:r>
      <w:proofErr w:type="spellEnd"/>
      <w:r>
        <w:rPr>
          <w:rFonts w:eastAsia="MS Mincho"/>
          <w:color w:val="00000A"/>
        </w:rPr>
        <w:t xml:space="preserve"> 4:2:0 HDR video is analyzed to determine the peak brightness/luminosity of data.</w:t>
      </w:r>
    </w:p>
    <w:p w14:paraId="5A7F5619" w14:textId="77777777" w:rsidR="00150C7E" w:rsidRPr="006456A9" w:rsidRDefault="00150C7E" w:rsidP="00150C7E">
      <w:pPr>
        <w:pStyle w:val="ListParagraph"/>
        <w:numPr>
          <w:ilvl w:val="0"/>
          <w:numId w:val="13"/>
        </w:numPr>
        <w:jc w:val="both"/>
        <w:rPr>
          <w:rFonts w:asciiTheme="minorHAnsi" w:eastAsia="MS Mincho" w:hAnsiTheme="minorHAnsi"/>
          <w:color w:val="00000A"/>
          <w:sz w:val="24"/>
          <w:szCs w:val="24"/>
        </w:rPr>
      </w:pPr>
      <w:r>
        <w:rPr>
          <w:rFonts w:eastAsia="MS Mincho"/>
          <w:color w:val="00000A"/>
        </w:rPr>
        <w:t>Apply a</w:t>
      </w:r>
      <w:r w:rsidRPr="006456A9">
        <w:rPr>
          <w:rFonts w:cs="Arial"/>
          <w:bCs/>
          <w:lang w:eastAsia="ar-SA"/>
        </w:rPr>
        <w:t xml:space="preserve"> </w:t>
      </w:r>
      <w:proofErr w:type="spellStart"/>
      <w:r w:rsidRPr="006456A9">
        <w:rPr>
          <w:rFonts w:cs="Arial"/>
          <w:bCs/>
          <w:lang w:eastAsia="ar-SA"/>
        </w:rPr>
        <w:t>FastVDO</w:t>
      </w:r>
      <w:proofErr w:type="spellEnd"/>
      <w:r w:rsidRPr="006456A9">
        <w:rPr>
          <w:rFonts w:cs="Arial"/>
          <w:bCs/>
          <w:lang w:eastAsia="ar-SA"/>
        </w:rPr>
        <w:t xml:space="preserve"> modified version of </w:t>
      </w:r>
      <w:r>
        <w:rPr>
          <w:rFonts w:cs="Arial"/>
          <w:bCs/>
          <w:lang w:eastAsia="ar-SA"/>
        </w:rPr>
        <w:t xml:space="preserve">PQ-OETF (herein called </w:t>
      </w:r>
      <w:r w:rsidRPr="00CF45F8">
        <w:rPr>
          <w:rFonts w:cs="Arial"/>
          <w:b/>
          <w:bCs/>
          <w:lang w:eastAsia="ar-SA"/>
        </w:rPr>
        <w:t>FVPQ-OETF</w:t>
      </w:r>
      <w:r>
        <w:rPr>
          <w:rFonts w:cs="Arial"/>
          <w:bCs/>
          <w:lang w:eastAsia="ar-SA"/>
        </w:rPr>
        <w:t xml:space="preserve">) to each channel of the input. </w:t>
      </w:r>
      <w:r w:rsidRPr="006456A9">
        <w:rPr>
          <w:rFonts w:eastAsia="MS Mincho"/>
          <w:color w:val="00000A"/>
        </w:rPr>
        <w:t xml:space="preserve">The </w:t>
      </w:r>
      <w:r>
        <w:rPr>
          <w:rFonts w:eastAsia="MS Mincho"/>
          <w:color w:val="00000A"/>
        </w:rPr>
        <w:t>FVPQ-OETF</w:t>
      </w:r>
      <w:r w:rsidRPr="006456A9">
        <w:rPr>
          <w:rFonts w:eastAsia="MS Mincho"/>
          <w:color w:val="00000A"/>
        </w:rPr>
        <w:t xml:space="preserve"> function is described as</w:t>
      </w:r>
      <w:r w:rsidRPr="003C6905">
        <w:rPr>
          <w:rFonts w:eastAsia="MS Mincho"/>
          <w:color w:val="00000A"/>
          <w:szCs w:val="22"/>
        </w:rPr>
        <w:t xml:space="preserve"> </w:t>
      </w:r>
      <w:r>
        <w:rPr>
          <w:rFonts w:eastAsia="MS Mincho"/>
          <w:color w:val="00000A"/>
          <w:szCs w:val="22"/>
        </w:rPr>
        <w:t xml:space="preserve">(where Y now stands for individual signal components of </w:t>
      </w:r>
      <w:r>
        <w:t>RGB</w:t>
      </w:r>
      <w:r>
        <w:rPr>
          <w:vertAlign w:val="subscript"/>
        </w:rPr>
        <w:t xml:space="preserve">HDR </w:t>
      </w:r>
      <w:r w:rsidRPr="003C6905">
        <w:t>and</w:t>
      </w:r>
      <w:r>
        <w:t xml:space="preserve"> </w:t>
      </w: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m:oMath>
      <w:r>
        <w:t xml:space="preserve"> </w:t>
      </w:r>
      <w:r>
        <w:rPr>
          <w:rFonts w:eastAsia="MS Mincho"/>
          <w:color w:val="00000A"/>
          <w:szCs w:val="22"/>
        </w:rPr>
        <w:t xml:space="preserve">for individual signal components of </w:t>
      </w:r>
      <w:r>
        <w:t>RGB</w:t>
      </w:r>
      <w:r>
        <w:rPr>
          <w:vertAlign w:val="subscript"/>
        </w:rPr>
        <w:t>SDR</w:t>
      </w:r>
      <w:r>
        <w:rPr>
          <w:rFonts w:eastAsia="MS Mincho"/>
          <w:color w:val="00000A"/>
          <w:szCs w:val="22"/>
        </w:rPr>
        <w:t>)</w:t>
      </w:r>
      <w:r w:rsidRPr="006456A9">
        <w:rPr>
          <w:rFonts w:eastAsia="MS Mincho"/>
          <w:color w:val="00000A"/>
        </w:rPr>
        <w:t>:</w:t>
      </w:r>
    </w:p>
    <w:p w14:paraId="6216E156" w14:textId="77777777" w:rsidR="00150C7E" w:rsidRPr="0099754E" w:rsidRDefault="00150C7E" w:rsidP="00150C7E">
      <w:pPr>
        <w:suppressAutoHyphens/>
        <w:rPr>
          <w:rFonts w:eastAsia="MS Mincho"/>
          <w:color w:val="00000A"/>
        </w:rPr>
      </w:pPr>
    </w:p>
    <w:bookmarkStart w:id="9" w:name="_Hlk487719351"/>
    <w:p w14:paraId="22CF7B6F" w14:textId="77777777" w:rsidR="00150C7E" w:rsidRPr="0099754E" w:rsidRDefault="00DA7542" w:rsidP="00150C7E">
      <w:pPr>
        <w:suppressAutoHyphens/>
        <w:rPr>
          <w:rFonts w:eastAsia="MS Mincho"/>
          <w:color w:val="00000A"/>
        </w:rPr>
      </w:pP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w:bookmarkEnd w:id="9"/>
        <m:r>
          <w:rPr>
            <w:rFonts w:ascii="Cambria Math" w:eastAsia="MS Mincho" w:hAnsi="Cambria Math"/>
            <w:color w:val="00000A"/>
          </w:rPr>
          <m:t>=powf(((c2 *powf(Y, m1) + c1)/(1.0 + c3 *powf(Y, m1))), m2)</m:t>
        </m:r>
      </m:oMath>
      <w:r w:rsidR="00150C7E" w:rsidRPr="0099754E">
        <w:rPr>
          <w:rFonts w:asciiTheme="minorHAnsi" w:eastAsia="MS Mincho" w:hAnsiTheme="minorHAnsi"/>
          <w:color w:val="00000A"/>
          <w:sz w:val="24"/>
          <w:szCs w:val="24"/>
        </w:rPr>
        <w:t xml:space="preserve">  </w:t>
      </w:r>
      <w:r w:rsidR="00150C7E" w:rsidRPr="00C26883">
        <w:rPr>
          <w:rFonts w:eastAsia="MS Mincho"/>
          <w:color w:val="00000A"/>
        </w:rPr>
        <w:t>where</w:t>
      </w:r>
    </w:p>
    <w:p w14:paraId="0CBF06FA" w14:textId="77777777" w:rsidR="00150C7E" w:rsidRDefault="00150C7E" w:rsidP="00150C7E">
      <w:pPr>
        <w:suppressAutoHyphens/>
        <w:rPr>
          <w:rFonts w:eastAsia="MS Mincho"/>
          <w:color w:val="00000A"/>
        </w:rPr>
      </w:pPr>
    </w:p>
    <w:p w14:paraId="177B5A66" w14:textId="77777777" w:rsidR="00150C7E" w:rsidRDefault="00150C7E" w:rsidP="00150C7E">
      <w:pPr>
        <w:suppressAutoHyphens/>
        <w:rPr>
          <w:rFonts w:asciiTheme="minorHAnsi" w:eastAsia="MS Mincho" w:hAnsiTheme="minorHAnsi"/>
          <w:i/>
          <w:color w:val="00000A"/>
          <w:sz w:val="24"/>
          <w:szCs w:val="24"/>
        </w:rPr>
      </w:pPr>
      <m:oMath>
        <m:r>
          <w:rPr>
            <w:rFonts w:ascii="Cambria Math" w:eastAsia="MS Mincho" w:hAnsi="Cambria Math"/>
            <w:color w:val="00000A"/>
          </w:rPr>
          <m:t xml:space="preserve">m1=(2610.0        ) / (4096.0 * 4.0) </m:t>
        </m:r>
      </m:oMath>
      <w:r w:rsidRPr="0099754E">
        <w:rPr>
          <w:rFonts w:asciiTheme="minorHAnsi" w:eastAsia="MS Mincho" w:hAnsiTheme="minorHAnsi"/>
          <w:i/>
          <w:color w:val="00000A"/>
          <w:sz w:val="24"/>
          <w:szCs w:val="24"/>
        </w:rPr>
        <w:t>,</w:t>
      </w:r>
    </w:p>
    <w:p w14:paraId="7247A9A8" w14:textId="77777777" w:rsidR="00150C7E" w:rsidRPr="0099754E" w:rsidRDefault="00150C7E" w:rsidP="00150C7E">
      <w:pPr>
        <w:suppressAutoHyphens/>
        <w:rPr>
          <w:rFonts w:asciiTheme="minorHAnsi" w:eastAsia="MS Mincho" w:hAnsiTheme="minorHAnsi"/>
          <w:i/>
          <w:color w:val="00000A"/>
          <w:sz w:val="24"/>
          <w:szCs w:val="24"/>
        </w:rPr>
      </w:pPr>
    </w:p>
    <w:p w14:paraId="4244917C" w14:textId="77777777" w:rsidR="00150C7E" w:rsidRPr="004F0056" w:rsidRDefault="00150C7E" w:rsidP="00150C7E">
      <w:pPr>
        <w:suppressAutoHyphens/>
        <w:rPr>
          <w:rFonts w:asciiTheme="minorHAnsi" w:eastAsia="MS Mincho" w:hAnsiTheme="minorHAnsi"/>
          <w:i/>
          <w:color w:val="00000A"/>
        </w:rPr>
      </w:pPr>
      <m:oMathPara>
        <m:oMath>
          <m:r>
            <w:rPr>
              <w:rFonts w:ascii="Cambria Math" w:eastAsia="MS Mincho" w:hAnsi="Cambria Math"/>
              <w:color w:val="00000A"/>
            </w:rPr>
            <m:t>m2=</m:t>
          </m:r>
          <m:d>
            <m:dPr>
              <m:ctrlPr>
                <w:rPr>
                  <w:rFonts w:ascii="Cambria Math" w:eastAsia="MS Mincho" w:hAnsi="Cambria Math"/>
                  <w:i/>
                  <w:color w:val="00000A"/>
                </w:rPr>
              </m:ctrlPr>
            </m:dPr>
            <m:e>
              <m:f>
                <m:fPr>
                  <m:ctrlPr>
                    <w:rPr>
                      <w:rFonts w:ascii="Cambria Math" w:eastAsia="MS Mincho" w:hAnsi="Cambria Math"/>
                      <w:i/>
                      <w:color w:val="00000A"/>
                    </w:rPr>
                  </m:ctrlPr>
                </m:fPr>
                <m:num>
                  <m:d>
                    <m:dPr>
                      <m:ctrlPr>
                        <w:rPr>
                          <w:rFonts w:ascii="Cambria Math" w:eastAsia="MS Mincho" w:hAnsi="Cambria Math"/>
                          <w:i/>
                          <w:color w:val="00000A"/>
                        </w:rPr>
                      </m:ctrlPr>
                    </m:dPr>
                    <m:e>
                      <m:r>
                        <w:rPr>
                          <w:rFonts w:ascii="Cambria Math" w:eastAsia="MS Mincho" w:hAnsi="Cambria Math"/>
                          <w:color w:val="00000A"/>
                        </w:rPr>
                        <m:t>2523.0 * 128.0</m:t>
                      </m:r>
                    </m:e>
                  </m:d>
                </m:num>
                <m:den>
                  <m:r>
                    <w:rPr>
                      <w:rFonts w:ascii="Cambria Math" w:eastAsia="MS Mincho" w:hAnsi="Cambria Math"/>
                      <w:color w:val="00000A"/>
                    </w:rPr>
                    <m:t>4096</m:t>
                  </m:r>
                </m:den>
              </m:f>
            </m:e>
          </m:d>
          <m:r>
            <w:rPr>
              <w:rFonts w:ascii="Cambria Math" w:eastAsia="MS Mincho" w:hAnsi="Cambria Math"/>
              <w:color w:val="00000A"/>
            </w:rPr>
            <m:t xml:space="preserve">* </m:t>
          </m:r>
          <m:d>
            <m:dPr>
              <m:ctrlPr>
                <w:rPr>
                  <w:rFonts w:ascii="Cambria Math" w:eastAsia="MS Mincho" w:hAnsi="Cambria Math"/>
                  <w:i/>
                  <w:color w:val="00000A"/>
                </w:rPr>
              </m:ctrlPr>
            </m:dPr>
            <m:e>
              <m:r>
                <w:rPr>
                  <w:rFonts w:ascii="Cambria Math" w:eastAsia="MS Mincho" w:hAnsi="Cambria Math"/>
                  <w:color w:val="00000A"/>
                </w:rPr>
                <m:t>1 + 0.25 * log</m:t>
              </m:r>
              <m:d>
                <m:dPr>
                  <m:ctrlPr>
                    <w:rPr>
                      <w:rFonts w:ascii="Cambria Math" w:eastAsia="MS Mincho" w:hAnsi="Cambria Math"/>
                      <w:i/>
                      <w:color w:val="00000A"/>
                    </w:rPr>
                  </m:ctrlPr>
                </m:dPr>
                <m:e>
                  <m:f>
                    <m:fPr>
                      <m:ctrlPr>
                        <w:rPr>
                          <w:rFonts w:ascii="Cambria Math" w:eastAsia="MS Mincho" w:hAnsi="Cambria Math"/>
                          <w:i/>
                          <w:color w:val="00000A"/>
                        </w:rPr>
                      </m:ctrlPr>
                    </m:fPr>
                    <m:num>
                      <m:r>
                        <w:rPr>
                          <w:rFonts w:ascii="Cambria Math" w:eastAsia="MS Mincho" w:hAnsi="Cambria Math"/>
                          <w:color w:val="00000A"/>
                        </w:rPr>
                        <m:t>10000</m:t>
                      </m:r>
                    </m:num>
                    <m:den>
                      <m:r>
                        <w:rPr>
                          <w:rFonts w:ascii="Cambria Math" w:eastAsia="MS Mincho" w:hAnsi="Cambria Math"/>
                          <w:color w:val="00000A"/>
                        </w:rPr>
                        <m:t>InputPeakBrightness</m:t>
                      </m:r>
                    </m:den>
                  </m:f>
                </m:e>
              </m:d>
            </m:e>
          </m:d>
          <m:r>
            <w:rPr>
              <w:rFonts w:ascii="Cambria Math" w:eastAsia="MS Mincho" w:hAnsi="Cambria Math"/>
              <w:color w:val="00000A"/>
            </w:rPr>
            <m:t>,</m:t>
          </m:r>
        </m:oMath>
      </m:oMathPara>
    </w:p>
    <w:p w14:paraId="5B8E1AD6" w14:textId="77777777" w:rsidR="00150C7E" w:rsidRPr="0099754E" w:rsidRDefault="00150C7E" w:rsidP="00150C7E">
      <w:pPr>
        <w:suppressAutoHyphens/>
        <w:rPr>
          <w:rFonts w:asciiTheme="minorHAnsi" w:eastAsia="MS Mincho" w:hAnsiTheme="minorHAnsi"/>
          <w:i/>
          <w:color w:val="00000A"/>
          <w:sz w:val="24"/>
          <w:szCs w:val="24"/>
        </w:rPr>
      </w:pPr>
    </w:p>
    <w:p w14:paraId="75A866F2" w14:textId="77777777" w:rsidR="00150C7E" w:rsidRDefault="00150C7E" w:rsidP="00150C7E">
      <w:pPr>
        <w:suppressAutoHyphens/>
        <w:rPr>
          <w:rFonts w:asciiTheme="minorHAnsi" w:eastAsia="MS Mincho" w:hAnsiTheme="minorHAnsi"/>
          <w:color w:val="00000A"/>
        </w:rPr>
      </w:pPr>
      <m:oMath>
        <m:r>
          <w:rPr>
            <w:rFonts w:ascii="Cambria Math" w:eastAsia="MS Mincho" w:hAnsi="Cambria Math"/>
            <w:color w:val="00000A"/>
          </w:rPr>
          <m:t>c1 = (3424.0        ) / 4096.0</m:t>
        </m:r>
      </m:oMath>
      <w:r w:rsidRPr="0099754E">
        <w:rPr>
          <w:rFonts w:asciiTheme="minorHAnsi" w:eastAsia="MS Mincho" w:hAnsiTheme="minorHAnsi"/>
          <w:color w:val="00000A"/>
        </w:rPr>
        <w:t>,</w:t>
      </w:r>
    </w:p>
    <w:p w14:paraId="58823EA2" w14:textId="77777777" w:rsidR="00150C7E" w:rsidRPr="0099754E" w:rsidRDefault="00150C7E" w:rsidP="00150C7E">
      <w:pPr>
        <w:suppressAutoHyphens/>
        <w:rPr>
          <w:rFonts w:asciiTheme="minorHAnsi" w:eastAsia="MS Mincho" w:hAnsiTheme="minorHAnsi"/>
          <w:color w:val="00000A"/>
        </w:rPr>
      </w:pPr>
    </w:p>
    <w:p w14:paraId="17A9BC46" w14:textId="77777777" w:rsidR="00150C7E" w:rsidRDefault="00150C7E" w:rsidP="00150C7E">
      <w:pPr>
        <w:suppressAutoHyphens/>
        <w:rPr>
          <w:rFonts w:asciiTheme="minorHAnsi" w:eastAsia="MS Mincho" w:hAnsiTheme="minorHAnsi"/>
          <w:color w:val="00000A"/>
        </w:rPr>
      </w:pPr>
      <m:oMath>
        <m:r>
          <m:rPr>
            <m:sty m:val="p"/>
          </m:rPr>
          <w:rPr>
            <w:rFonts w:ascii="Cambria Math" w:eastAsia="MS Mincho" w:hAnsi="Cambria Math"/>
            <w:color w:val="00000A"/>
          </w:rPr>
          <m:t>c2= (2413.0 *  32.0) / 4096.0</m:t>
        </m:r>
      </m:oMath>
      <w:r w:rsidRPr="0099754E">
        <w:rPr>
          <w:rFonts w:asciiTheme="minorHAnsi" w:eastAsia="MS Mincho" w:hAnsiTheme="minorHAnsi"/>
          <w:color w:val="00000A"/>
        </w:rPr>
        <w:t>,</w:t>
      </w:r>
    </w:p>
    <w:p w14:paraId="65A880BA" w14:textId="77777777" w:rsidR="00150C7E" w:rsidRPr="0099754E" w:rsidRDefault="00150C7E" w:rsidP="00150C7E">
      <w:pPr>
        <w:suppressAutoHyphens/>
        <w:rPr>
          <w:rFonts w:asciiTheme="minorHAnsi" w:eastAsia="MS Mincho" w:hAnsiTheme="minorHAnsi"/>
          <w:color w:val="00000A"/>
        </w:rPr>
      </w:pPr>
    </w:p>
    <w:p w14:paraId="0C5F3B5C" w14:textId="77777777" w:rsidR="00150C7E" w:rsidRPr="007F24E4" w:rsidRDefault="00150C7E" w:rsidP="00150C7E">
      <w:pPr>
        <w:suppressAutoHyphens/>
        <w:rPr>
          <w:rFonts w:asciiTheme="minorHAnsi" w:eastAsia="MS Mincho" w:hAnsiTheme="minorHAnsi"/>
          <w:i/>
          <w:color w:val="00000A"/>
        </w:rPr>
      </w:pPr>
      <m:oMathPara>
        <m:oMathParaPr>
          <m:jc m:val="center"/>
        </m:oMathParaPr>
        <m:oMath>
          <m:r>
            <w:rPr>
              <w:rFonts w:ascii="Cambria Math" w:eastAsia="MS Mincho" w:hAnsi="Cambria Math"/>
              <w:color w:val="00000A"/>
            </w:rPr>
            <m:t>c3= (2392.0 *  32.0) / 4096.0</m:t>
          </m:r>
        </m:oMath>
      </m:oMathPara>
    </w:p>
    <w:p w14:paraId="3C74FF74" w14:textId="77777777" w:rsidR="00150C7E" w:rsidRPr="0099754E" w:rsidRDefault="00150C7E" w:rsidP="00150C7E">
      <w:pPr>
        <w:suppressAutoHyphens/>
        <w:rPr>
          <w:rFonts w:asciiTheme="minorHAnsi" w:eastAsia="MS Mincho" w:hAnsiTheme="minorHAnsi"/>
          <w:i/>
          <w:color w:val="00000A"/>
        </w:rPr>
      </w:pPr>
    </w:p>
    <w:p w14:paraId="6F78E678" w14:textId="77777777" w:rsidR="00150C7E" w:rsidRDefault="00150C7E" w:rsidP="00150C7E">
      <w:pPr>
        <w:suppressAutoHyphens/>
        <w:rPr>
          <w:rFonts w:eastAsia="MS Mincho"/>
          <w:color w:val="00000A"/>
        </w:rPr>
      </w:pPr>
      <w:r>
        <w:rPr>
          <w:rFonts w:asciiTheme="minorHAnsi" w:eastAsia="MS Mincho" w:hAnsiTheme="minorHAnsi"/>
          <w:color w:val="00000A"/>
          <w:sz w:val="24"/>
          <w:szCs w:val="24"/>
        </w:rPr>
        <w:tab/>
      </w:r>
      <w:r>
        <w:rPr>
          <w:rFonts w:eastAsia="MS Mincho"/>
          <w:color w:val="00000A"/>
        </w:rPr>
        <w:t>The inverse function (FVPQ-EOTF):</w:t>
      </w:r>
    </w:p>
    <w:p w14:paraId="0C2E87ED" w14:textId="77777777" w:rsidR="00150C7E" w:rsidRPr="006447F2" w:rsidRDefault="00150C7E" w:rsidP="00150C7E">
      <w:pPr>
        <w:pStyle w:val="BodyText"/>
        <w:ind w:left="720" w:firstLine="0"/>
        <w:jc w:val="left"/>
      </w:pPr>
      <m:oMathPara>
        <m:oMathParaPr>
          <m:jc m:val="center"/>
        </m:oMathParaPr>
        <m:oMath>
          <m:r>
            <w:rPr>
              <w:rFonts w:ascii="Cambria Math" w:eastAsiaTheme="minorEastAsia" w:hAnsi="Cambria Math"/>
            </w:rPr>
            <m:t>Y=</m:t>
          </m:r>
          <m:r>
            <w:rPr>
              <w:rFonts w:ascii="Cambria Math" w:hAnsi="Cambria Math"/>
            </w:rPr>
            <m:t>powf</m:t>
          </m:r>
          <m:d>
            <m:dPr>
              <m:ctrlPr>
                <w:rPr>
                  <w:rFonts w:ascii="Cambria Math" w:hAnsi="Cambria Math"/>
                  <w:i/>
                </w:rPr>
              </m:ctrlPr>
            </m:dPr>
            <m:e>
              <m:f>
                <m:fPr>
                  <m:ctrlPr>
                    <w:rPr>
                      <w:rFonts w:ascii="Cambria Math" w:hAnsi="Cambria Math"/>
                      <w:i/>
                    </w:rPr>
                  </m:ctrlPr>
                </m:fPr>
                <m:num>
                  <m:r>
                    <w:rPr>
                      <w:rFonts w:ascii="Cambria Math" w:hAnsi="Cambria Math"/>
                    </w:rPr>
                    <m:t>dMax</m:t>
                  </m:r>
                  <m:d>
                    <m:dPr>
                      <m:ctrlPr>
                        <w:rPr>
                          <w:rFonts w:ascii="Cambria Math" w:hAnsi="Cambria Math"/>
                          <w:i/>
                        </w:rPr>
                      </m:ctrlPr>
                    </m:dPr>
                    <m:e>
                      <m:r>
                        <w:rPr>
                          <w:rFonts w:ascii="Cambria Math" w:hAnsi="Cambria Math"/>
                        </w:rPr>
                        <m:t>0.0,powf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r>
                        <w:rPr>
                          <w:rFonts w:ascii="Cambria Math" w:hAnsi="Cambria Math"/>
                        </w:rPr>
                        <m:t>- c1</m:t>
                      </m:r>
                    </m:e>
                  </m:d>
                </m:num>
                <m:den>
                  <m:r>
                    <w:rPr>
                      <w:rFonts w:ascii="Cambria Math" w:hAnsi="Cambria Math"/>
                    </w:rPr>
                    <m:t>c2 - c3 * 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m1</m:t>
                  </m:r>
                </m:den>
              </m:f>
            </m:e>
          </m:d>
          <m:r>
            <w:rPr>
              <w:rFonts w:ascii="Cambria Math" w:hAnsi="Cambria Math"/>
            </w:rPr>
            <m:t>;</m:t>
          </m:r>
        </m:oMath>
      </m:oMathPara>
    </w:p>
    <w:p w14:paraId="70214C29" w14:textId="77777777" w:rsidR="00150C7E" w:rsidRDefault="00150C7E" w:rsidP="00150C7E">
      <w:pPr>
        <w:rPr>
          <w:rFonts w:eastAsiaTheme="minorEastAsia"/>
        </w:rPr>
      </w:pPr>
      <w:r>
        <w:rPr>
          <w:rFonts w:eastAsiaTheme="minorEastAsia"/>
        </w:rPr>
        <w:t xml:space="preserve">Here </w:t>
      </w:r>
      <w:proofErr w:type="spellStart"/>
      <w:r w:rsidRPr="00553083">
        <w:rPr>
          <w:rFonts w:eastAsiaTheme="minorEastAsia"/>
          <w:i/>
        </w:rPr>
        <w:t>dMax</w:t>
      </w:r>
      <w:proofErr w:type="spellEnd"/>
      <w:r w:rsidRPr="00553083">
        <w:rPr>
          <w:rFonts w:eastAsiaTheme="minorEastAsia"/>
          <w:i/>
        </w:rPr>
        <w:t>(</w:t>
      </w:r>
      <w:proofErr w:type="spellStart"/>
      <w:proofErr w:type="gramStart"/>
      <w:r w:rsidRPr="00553083">
        <w:rPr>
          <w:rFonts w:eastAsiaTheme="minorEastAsia"/>
          <w:i/>
        </w:rPr>
        <w:t>a,b</w:t>
      </w:r>
      <w:proofErr w:type="spellEnd"/>
      <w:proofErr w:type="gramEnd"/>
      <w:r w:rsidRPr="00553083">
        <w:rPr>
          <w:rFonts w:eastAsiaTheme="minorEastAsia"/>
          <w:i/>
        </w:rPr>
        <w:t>)</w:t>
      </w:r>
      <w:r>
        <w:rPr>
          <w:rFonts w:eastAsiaTheme="minorEastAsia"/>
        </w:rPr>
        <w:t xml:space="preserve"> returns </w:t>
      </w:r>
      <w:proofErr w:type="spellStart"/>
      <w:r w:rsidRPr="00553083">
        <w:rPr>
          <w:rFonts w:eastAsiaTheme="minorEastAsia"/>
          <w:i/>
        </w:rPr>
        <w:t>a</w:t>
      </w:r>
      <w:proofErr w:type="spellEnd"/>
      <w:r>
        <w:rPr>
          <w:rFonts w:eastAsiaTheme="minorEastAsia"/>
        </w:rPr>
        <w:t xml:space="preserve"> if </w:t>
      </w:r>
      <w:r w:rsidRPr="00553083">
        <w:rPr>
          <w:rFonts w:eastAsiaTheme="minorEastAsia"/>
          <w:i/>
        </w:rPr>
        <w:t>a &gt; b</w:t>
      </w:r>
      <w:r>
        <w:rPr>
          <w:rFonts w:eastAsiaTheme="minorEastAsia"/>
        </w:rPr>
        <w:t xml:space="preserve"> else </w:t>
      </w:r>
      <w:r w:rsidRPr="00553083">
        <w:rPr>
          <w:rFonts w:eastAsiaTheme="minorEastAsia"/>
          <w:i/>
        </w:rPr>
        <w:t>b</w:t>
      </w:r>
      <w:r>
        <w:rPr>
          <w:rFonts w:eastAsiaTheme="minorEastAsia"/>
        </w:rPr>
        <w:t>.</w:t>
      </w:r>
    </w:p>
    <w:p w14:paraId="4873C285" w14:textId="77777777" w:rsidR="00150C7E" w:rsidRPr="007F24E4" w:rsidRDefault="00150C7E" w:rsidP="00150C7E">
      <w:pPr>
        <w:suppressAutoHyphens/>
        <w:rPr>
          <w:rFonts w:eastAsia="MS Mincho"/>
          <w:color w:val="00000A"/>
        </w:rPr>
      </w:pPr>
    </w:p>
    <w:p w14:paraId="6C2D3A2A" w14:textId="1FB6072B" w:rsidR="00150C7E" w:rsidRPr="00840721" w:rsidRDefault="00150C7E" w:rsidP="00150C7E">
      <w:pPr>
        <w:suppressAutoHyphens/>
        <w:rPr>
          <w:lang w:val="en-CA"/>
        </w:rPr>
      </w:pPr>
      <w:r w:rsidRPr="0099754E">
        <w:rPr>
          <w:rFonts w:eastAsia="MS Mincho"/>
          <w:color w:val="00000A"/>
        </w:rPr>
        <w:t xml:space="preserve">Here, </w:t>
      </w:r>
      <m:oMath>
        <m:r>
          <w:rPr>
            <w:rFonts w:ascii="Cambria Math" w:eastAsia="MS Mincho" w:hAnsi="Cambria Math"/>
            <w:color w:val="00000A"/>
          </w:rPr>
          <m:t>powf</m:t>
        </m:r>
        <m:d>
          <m:dPr>
            <m:ctrlPr>
              <w:rPr>
                <w:rFonts w:ascii="Cambria Math" w:eastAsia="MS Mincho" w:hAnsi="Cambria Math"/>
                <w:i/>
                <w:color w:val="00000A"/>
              </w:rPr>
            </m:ctrlPr>
          </m:dPr>
          <m:e>
            <m:r>
              <w:rPr>
                <w:rFonts w:ascii="Cambria Math" w:eastAsia="MS Mincho" w:hAnsi="Cambria Math"/>
                <w:color w:val="00000A"/>
              </w:rPr>
              <m:t>a,b</m:t>
            </m:r>
          </m:e>
        </m:d>
        <m:r>
          <w:rPr>
            <w:rFonts w:ascii="Cambria Math" w:eastAsia="MS Mincho" w:hAnsi="Cambria Math"/>
            <w:color w:val="00000A"/>
          </w:rPr>
          <m:t>=</m:t>
        </m:r>
        <m:sSup>
          <m:sSupPr>
            <m:ctrlPr>
              <w:rPr>
                <w:rFonts w:ascii="Cambria Math" w:eastAsia="MS Mincho" w:hAnsi="Cambria Math"/>
                <w:i/>
                <w:color w:val="00000A"/>
              </w:rPr>
            </m:ctrlPr>
          </m:sSupPr>
          <m:e>
            <m:r>
              <w:rPr>
                <w:rFonts w:ascii="Cambria Math" w:eastAsia="MS Mincho" w:hAnsi="Cambria Math"/>
                <w:color w:val="00000A"/>
              </w:rPr>
              <m:t>a</m:t>
            </m:r>
          </m:e>
          <m:sup>
            <m:r>
              <w:rPr>
                <w:rFonts w:ascii="Cambria Math" w:eastAsia="MS Mincho" w:hAnsi="Cambria Math"/>
                <w:color w:val="00000A"/>
              </w:rPr>
              <m:t>b</m:t>
            </m:r>
          </m:sup>
        </m:sSup>
      </m:oMath>
      <w:r>
        <w:rPr>
          <w:rFonts w:eastAsia="MS Mincho"/>
          <w:color w:val="00000A"/>
        </w:rPr>
        <w:t xml:space="preserve"> . Thus, </w:t>
      </w:r>
      <w:r>
        <w:rPr>
          <w:lang w:val="en-CA"/>
        </w:rPr>
        <w:t xml:space="preserve">the transfer function is adapted based on luminosity. </w:t>
      </w:r>
      <w:r>
        <w:rPr>
          <w:rFonts w:eastAsia="MS Mincho"/>
          <w:color w:val="00000A"/>
          <w:szCs w:val="22"/>
        </w:rPr>
        <w:t xml:space="preserve">When the parameter equals 10,000, this reduces to the usual PQ function. Figure 4 shows the function for different data luminosity. </w:t>
      </w:r>
      <w:r>
        <w:t>The entire process described in Figure 3 can be viewed as a single non-linear function. One dimensional (1D) look up tables can be generated to represent the mapping and sent as metadata information. Changes in mean luminosity between frames is used to trigger the transmission of new metadata information.</w:t>
      </w:r>
    </w:p>
    <w:p w14:paraId="1E1D50BA" w14:textId="77777777" w:rsidR="00150C7E" w:rsidRDefault="00150C7E" w:rsidP="00150C7E">
      <w:pPr>
        <w:suppressAutoHyphens/>
        <w:rPr>
          <w:rFonts w:eastAsia="MS Mincho"/>
          <w:color w:val="00000A"/>
        </w:rPr>
      </w:pPr>
      <w:r>
        <w:rPr>
          <w:rFonts w:eastAsia="MS Mincho"/>
          <w:noProof/>
          <w:color w:val="00000A"/>
        </w:rPr>
        <w:drawing>
          <wp:inline distT="0" distB="0" distL="0" distR="0" wp14:anchorId="4552672D" wp14:editId="054D13D3">
            <wp:extent cx="4489939" cy="303748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vpq.png"/>
                    <pic:cNvPicPr/>
                  </pic:nvPicPr>
                  <pic:blipFill>
                    <a:blip r:embed="rId12"/>
                    <a:stretch>
                      <a:fillRect/>
                    </a:stretch>
                  </pic:blipFill>
                  <pic:spPr>
                    <a:xfrm>
                      <a:off x="0" y="0"/>
                      <a:ext cx="4531992" cy="3065929"/>
                    </a:xfrm>
                    <a:prstGeom prst="rect">
                      <a:avLst/>
                    </a:prstGeom>
                  </pic:spPr>
                </pic:pic>
              </a:graphicData>
            </a:graphic>
          </wp:inline>
        </w:drawing>
      </w:r>
    </w:p>
    <w:p w14:paraId="65AE9F99" w14:textId="43604B64" w:rsidR="00150C7E" w:rsidRPr="00556B61" w:rsidRDefault="00150C7E" w:rsidP="00150C7E">
      <w:pPr>
        <w:pStyle w:val="BodyText"/>
        <w:ind w:firstLine="0"/>
        <w:rPr>
          <w:i/>
          <w:color w:val="00000A"/>
          <w:sz w:val="18"/>
          <w:szCs w:val="18"/>
        </w:rPr>
      </w:pPr>
      <w:r w:rsidRPr="00556B61">
        <w:rPr>
          <w:i/>
          <w:sz w:val="18"/>
          <w:szCs w:val="18"/>
        </w:rPr>
        <w:t xml:space="preserve">Figure 4: </w:t>
      </w:r>
      <w:r w:rsidRPr="00556B61">
        <w:rPr>
          <w:i/>
          <w:color w:val="00000A"/>
          <w:sz w:val="18"/>
          <w:szCs w:val="18"/>
        </w:rPr>
        <w:t xml:space="preserve">FVPQ OETF, </w:t>
      </w:r>
      <w:r w:rsidR="00A82988">
        <w:rPr>
          <w:i/>
          <w:color w:val="00000A"/>
          <w:sz w:val="18"/>
          <w:szCs w:val="18"/>
        </w:rPr>
        <w:t xml:space="preserve">in this instance </w:t>
      </w:r>
      <w:r>
        <w:rPr>
          <w:i/>
          <w:color w:val="00000A"/>
          <w:sz w:val="18"/>
          <w:szCs w:val="18"/>
        </w:rPr>
        <w:t xml:space="preserve">a </w:t>
      </w:r>
      <w:proofErr w:type="spellStart"/>
      <w:r>
        <w:rPr>
          <w:i/>
          <w:color w:val="00000A"/>
          <w:sz w:val="18"/>
          <w:szCs w:val="18"/>
        </w:rPr>
        <w:t>FastVDO</w:t>
      </w:r>
      <w:proofErr w:type="spellEnd"/>
      <w:r>
        <w:rPr>
          <w:i/>
          <w:color w:val="00000A"/>
          <w:sz w:val="18"/>
          <w:szCs w:val="18"/>
        </w:rPr>
        <w:t xml:space="preserve"> update on the PQ transfer function, </w:t>
      </w:r>
      <w:r w:rsidRPr="00556B61">
        <w:rPr>
          <w:i/>
          <w:color w:val="00000A"/>
          <w:sz w:val="18"/>
          <w:szCs w:val="18"/>
        </w:rPr>
        <w:t xml:space="preserve">for </w:t>
      </w:r>
      <w:r>
        <w:rPr>
          <w:i/>
          <w:color w:val="00000A"/>
          <w:sz w:val="18"/>
          <w:szCs w:val="18"/>
        </w:rPr>
        <w:t xml:space="preserve">fixed </w:t>
      </w:r>
      <w:r w:rsidRPr="00556B61">
        <w:rPr>
          <w:i/>
          <w:color w:val="00000A"/>
          <w:sz w:val="18"/>
          <w:szCs w:val="18"/>
        </w:rPr>
        <w:t xml:space="preserve">values of </w:t>
      </w:r>
      <w:proofErr w:type="spellStart"/>
      <w:r w:rsidRPr="00556B61">
        <w:rPr>
          <w:i/>
          <w:color w:val="00000A"/>
          <w:sz w:val="18"/>
          <w:szCs w:val="18"/>
        </w:rPr>
        <w:t>InputPeakBrightness</w:t>
      </w:r>
      <w:proofErr w:type="spellEnd"/>
      <w:r w:rsidRPr="00556B61">
        <w:rPr>
          <w:i/>
          <w:color w:val="00000A"/>
          <w:sz w:val="18"/>
          <w:szCs w:val="18"/>
        </w:rPr>
        <w:t xml:space="preserve"> = 10000, 4000, and 1000 nits</w:t>
      </w:r>
      <w:r>
        <w:rPr>
          <w:i/>
          <w:color w:val="00000A"/>
          <w:sz w:val="18"/>
          <w:szCs w:val="18"/>
        </w:rPr>
        <w:t>, respectively</w:t>
      </w:r>
      <w:r w:rsidRPr="00556B61">
        <w:rPr>
          <w:i/>
          <w:color w:val="00000A"/>
          <w:sz w:val="18"/>
          <w:szCs w:val="18"/>
        </w:rPr>
        <w:t xml:space="preserve"> (at 10K nits it </w:t>
      </w:r>
      <w:r>
        <w:rPr>
          <w:i/>
          <w:color w:val="00000A"/>
          <w:sz w:val="18"/>
          <w:szCs w:val="18"/>
        </w:rPr>
        <w:t>equals</w:t>
      </w:r>
      <w:r w:rsidRPr="00556B61">
        <w:rPr>
          <w:i/>
          <w:color w:val="00000A"/>
          <w:sz w:val="18"/>
          <w:szCs w:val="18"/>
        </w:rPr>
        <w:t xml:space="preserve"> the ST-2084 PQ function), </w:t>
      </w:r>
      <w:r>
        <w:rPr>
          <w:i/>
          <w:color w:val="00000A"/>
          <w:sz w:val="18"/>
          <w:szCs w:val="18"/>
        </w:rPr>
        <w:t>in descending order</w:t>
      </w:r>
      <w:r w:rsidRPr="00556B61">
        <w:rPr>
          <w:i/>
          <w:color w:val="00000A"/>
          <w:sz w:val="18"/>
          <w:szCs w:val="18"/>
        </w:rPr>
        <w:t>.</w:t>
      </w:r>
      <w:r w:rsidR="00A82988">
        <w:rPr>
          <w:i/>
          <w:color w:val="00000A"/>
          <w:sz w:val="18"/>
          <w:szCs w:val="18"/>
        </w:rPr>
        <w:t xml:space="preserve"> Note that</w:t>
      </w:r>
      <w:r>
        <w:rPr>
          <w:i/>
          <w:color w:val="00000A"/>
          <w:sz w:val="18"/>
          <w:szCs w:val="18"/>
        </w:rPr>
        <w:t xml:space="preserve"> w</w:t>
      </w:r>
      <w:r w:rsidRPr="00556B61">
        <w:rPr>
          <w:i/>
          <w:color w:val="00000A"/>
          <w:sz w:val="18"/>
          <w:szCs w:val="18"/>
        </w:rPr>
        <w:t>hen the input data is below 1</w:t>
      </w:r>
      <w:r w:rsidR="00A82988">
        <w:rPr>
          <w:i/>
          <w:color w:val="00000A"/>
          <w:sz w:val="18"/>
          <w:szCs w:val="18"/>
        </w:rPr>
        <w:t>0K</w:t>
      </w:r>
      <w:r w:rsidRPr="00556B61">
        <w:rPr>
          <w:i/>
          <w:color w:val="00000A"/>
          <w:sz w:val="18"/>
          <w:szCs w:val="18"/>
        </w:rPr>
        <w:t xml:space="preserve"> nits</w:t>
      </w:r>
      <w:r w:rsidR="00A82988">
        <w:rPr>
          <w:i/>
          <w:color w:val="00000A"/>
          <w:sz w:val="18"/>
          <w:szCs w:val="18"/>
        </w:rPr>
        <w:t xml:space="preserve"> (for example only 1K nits)</w:t>
      </w:r>
      <w:r w:rsidRPr="00556B61">
        <w:rPr>
          <w:i/>
          <w:color w:val="00000A"/>
          <w:sz w:val="18"/>
          <w:szCs w:val="18"/>
        </w:rPr>
        <w:t>, our TF affords more codewords at the brighter end than the standard PQ transfer function.</w:t>
      </w:r>
      <w:r>
        <w:rPr>
          <w:i/>
          <w:color w:val="00000A"/>
          <w:sz w:val="18"/>
          <w:szCs w:val="18"/>
        </w:rPr>
        <w:t xml:space="preserve"> The difference is significant. In fact, a 1K-nit signal using the standard PQ function would only use a portion of the curve (and codeword space); </w:t>
      </w:r>
      <w:r w:rsidR="00A82988">
        <w:rPr>
          <w:i/>
          <w:color w:val="00000A"/>
          <w:sz w:val="18"/>
          <w:szCs w:val="18"/>
        </w:rPr>
        <w:t xml:space="preserve">and </w:t>
      </w:r>
      <w:proofErr w:type="gramStart"/>
      <w:r>
        <w:rPr>
          <w:i/>
          <w:color w:val="00000A"/>
          <w:sz w:val="18"/>
          <w:szCs w:val="18"/>
        </w:rPr>
        <w:t>similarly</w:t>
      </w:r>
      <w:proofErr w:type="gramEnd"/>
      <w:r>
        <w:rPr>
          <w:i/>
          <w:color w:val="00000A"/>
          <w:sz w:val="18"/>
          <w:szCs w:val="18"/>
        </w:rPr>
        <w:t xml:space="preserve"> for a 4K-nit signal.</w:t>
      </w:r>
      <w:r w:rsidR="00A82988">
        <w:rPr>
          <w:i/>
          <w:color w:val="00000A"/>
          <w:sz w:val="18"/>
          <w:szCs w:val="18"/>
        </w:rPr>
        <w:t xml:space="preserve"> See the marked ovals in the figure.</w:t>
      </w:r>
    </w:p>
    <w:p w14:paraId="772D9AFA" w14:textId="77777777" w:rsidR="00150C7E" w:rsidRPr="00EC36B3" w:rsidRDefault="00150C7E" w:rsidP="00150C7E">
      <w:pPr>
        <w:pStyle w:val="BodyText"/>
        <w:ind w:firstLine="0"/>
        <w:jc w:val="center"/>
        <w:rPr>
          <w:sz w:val="18"/>
          <w:szCs w:val="18"/>
        </w:rPr>
      </w:pPr>
    </w:p>
    <w:p w14:paraId="4D4AF247" w14:textId="3ADBEC71" w:rsidR="005F625B" w:rsidRDefault="005F625B" w:rsidP="00150C7E">
      <w:pPr>
        <w:pStyle w:val="BodyText"/>
        <w:numPr>
          <w:ilvl w:val="1"/>
          <w:numId w:val="12"/>
        </w:numPr>
        <w:spacing w:line="240" w:lineRule="auto"/>
        <w:jc w:val="left"/>
        <w:rPr>
          <w:b/>
        </w:rPr>
      </w:pPr>
      <w:r>
        <w:rPr>
          <w:b/>
        </w:rPr>
        <w:lastRenderedPageBreak/>
        <w:t>DATA ADAPTIVE GRADING (DAG)</w:t>
      </w:r>
    </w:p>
    <w:p w14:paraId="372FD797" w14:textId="7BC6B53D" w:rsidR="007A4BF2" w:rsidRDefault="007A4BF2" w:rsidP="007A4BF2">
      <w:pPr>
        <w:pStyle w:val="BodyText"/>
        <w:spacing w:line="240" w:lineRule="auto"/>
        <w:ind w:firstLine="0"/>
        <w:jc w:val="left"/>
        <w:rPr>
          <w:b/>
        </w:rPr>
      </w:pPr>
    </w:p>
    <w:p w14:paraId="1123EA16" w14:textId="35B36FD3" w:rsidR="007A4BF2" w:rsidRDefault="007A4BF2" w:rsidP="007A4BF2">
      <w:pPr>
        <w:pStyle w:val="BodyText"/>
        <w:spacing w:line="240" w:lineRule="auto"/>
        <w:ind w:firstLine="0"/>
        <w:jc w:val="left"/>
      </w:pPr>
      <w:r w:rsidRPr="007A4BF2">
        <w:t xml:space="preserve">A more sophisticated </w:t>
      </w:r>
      <w:r>
        <w:t>process was in fact used</w:t>
      </w:r>
      <w:r w:rsidR="00386533">
        <w:t xml:space="preserve"> in place of the simple Data Adaptive </w:t>
      </w:r>
      <w:proofErr w:type="spellStart"/>
      <w:r w:rsidR="00A82988">
        <w:t>ToneMap</w:t>
      </w:r>
      <w:proofErr w:type="spellEnd"/>
      <w:r w:rsidR="00386533">
        <w:t xml:space="preserve"> block in figure 3</w:t>
      </w:r>
      <w:r>
        <w:t>, which consist</w:t>
      </w:r>
      <w:r w:rsidR="00386533">
        <w:t>s</w:t>
      </w:r>
      <w:r>
        <w:t xml:space="preserve"> of a more refined set of adaptive nonlinearities, which we call Data Adaptive Grading.  </w:t>
      </w:r>
    </w:p>
    <w:p w14:paraId="2C1DF2BD" w14:textId="5B67DC95" w:rsidR="007A4BF2" w:rsidRDefault="007A4BF2" w:rsidP="007A4BF2">
      <w:pPr>
        <w:pStyle w:val="BodyText"/>
        <w:spacing w:line="240" w:lineRule="auto"/>
        <w:ind w:firstLine="0"/>
        <w:jc w:val="left"/>
      </w:pPr>
      <w:r w:rsidRPr="007A4BF2">
        <w:rPr>
          <w:noProof/>
        </w:rPr>
        <w:drawing>
          <wp:inline distT="0" distB="0" distL="0" distR="0" wp14:anchorId="0C67BDB6" wp14:editId="4A35EC09">
            <wp:extent cx="5943600" cy="1752600"/>
            <wp:effectExtent l="0" t="0" r="0" b="0"/>
            <wp:docPr id="19460" name="Picture 3">
              <a:extLst xmlns:a="http://schemas.openxmlformats.org/drawingml/2006/main">
                <a:ext uri="{FF2B5EF4-FFF2-40B4-BE49-F238E27FC236}">
                  <a16:creationId xmlns:a16="http://schemas.microsoft.com/office/drawing/2014/main" id="{4FBA9732-3BE8-4AEE-BE5A-BC3B0724D6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0" name="Picture 3">
                      <a:extLst>
                        <a:ext uri="{FF2B5EF4-FFF2-40B4-BE49-F238E27FC236}">
                          <a16:creationId xmlns:a16="http://schemas.microsoft.com/office/drawing/2014/main" id="{4FBA9732-3BE8-4AEE-BE5A-BC3B0724D648}"/>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752600"/>
                    </a:xfrm>
                    <a:prstGeom prst="rect">
                      <a:avLst/>
                    </a:prstGeom>
                    <a:noFill/>
                    <a:ln>
                      <a:noFill/>
                    </a:ln>
                    <a:extLst/>
                  </pic:spPr>
                </pic:pic>
              </a:graphicData>
            </a:graphic>
          </wp:inline>
        </w:drawing>
      </w:r>
    </w:p>
    <w:p w14:paraId="3A8631B9" w14:textId="5E8F026D" w:rsidR="007A4BF2" w:rsidRPr="007A4BF2" w:rsidRDefault="007A4BF2" w:rsidP="007A4BF2">
      <w:pPr>
        <w:pStyle w:val="BodyText"/>
        <w:spacing w:line="240" w:lineRule="auto"/>
        <w:ind w:firstLine="0"/>
        <w:jc w:val="left"/>
      </w:pPr>
      <w:r>
        <w:rPr>
          <w:noProof/>
        </w:rPr>
        <w:drawing>
          <wp:inline distT="0" distB="0" distL="0" distR="0" wp14:anchorId="2F5CF760" wp14:editId="661F9080">
            <wp:extent cx="5943600" cy="11283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AG.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1128395"/>
                    </a:xfrm>
                    <a:prstGeom prst="rect">
                      <a:avLst/>
                    </a:prstGeom>
                  </pic:spPr>
                </pic:pic>
              </a:graphicData>
            </a:graphic>
          </wp:inline>
        </w:drawing>
      </w:r>
    </w:p>
    <w:p w14:paraId="6AE9839D" w14:textId="2E3DEB34" w:rsidR="007A4BF2" w:rsidRPr="00AE0A77" w:rsidRDefault="007A4BF2" w:rsidP="00AE0A77">
      <w:pPr>
        <w:pStyle w:val="BodyText"/>
        <w:spacing w:line="240" w:lineRule="auto"/>
        <w:ind w:firstLine="0"/>
        <w:jc w:val="left"/>
        <w:rPr>
          <w:i/>
        </w:rPr>
      </w:pPr>
      <w:r w:rsidRPr="00F50175">
        <w:rPr>
          <w:i/>
        </w:rPr>
        <w:t>Figure 5. Some details of the Data Adaptive Grading (DAG)</w:t>
      </w:r>
      <w:r w:rsidR="00F50175">
        <w:rPr>
          <w:i/>
        </w:rPr>
        <w:t xml:space="preserve">. After converting the data to linear light RGB, we generate an adaptive grading factor by concatenating a series of nonlinearities, including a </w:t>
      </w:r>
      <w:proofErr w:type="spellStart"/>
      <w:r w:rsidR="00F50175">
        <w:rPr>
          <w:i/>
        </w:rPr>
        <w:t>piewise</w:t>
      </w:r>
      <w:proofErr w:type="spellEnd"/>
      <w:r w:rsidR="00F50175">
        <w:rPr>
          <w:i/>
        </w:rPr>
        <w:t xml:space="preserve"> linear tone map, sandwiched between our adaptive OETF/EOTFs. This is developed in more detail in [TR2].</w:t>
      </w:r>
    </w:p>
    <w:p w14:paraId="754914F0" w14:textId="77777777" w:rsidR="007A4BF2" w:rsidRDefault="007A4BF2" w:rsidP="007A4BF2">
      <w:pPr>
        <w:pStyle w:val="BodyText"/>
        <w:spacing w:line="240" w:lineRule="auto"/>
        <w:jc w:val="left"/>
        <w:rPr>
          <w:b/>
        </w:rPr>
      </w:pPr>
    </w:p>
    <w:p w14:paraId="2B9F6654" w14:textId="63B980EA" w:rsidR="00150C7E" w:rsidRPr="002A7F35" w:rsidRDefault="00150C7E" w:rsidP="00150C7E">
      <w:pPr>
        <w:pStyle w:val="BodyText"/>
        <w:numPr>
          <w:ilvl w:val="1"/>
          <w:numId w:val="12"/>
        </w:numPr>
        <w:spacing w:line="240" w:lineRule="auto"/>
        <w:jc w:val="left"/>
        <w:rPr>
          <w:b/>
        </w:rPr>
      </w:pPr>
      <w:r>
        <w:rPr>
          <w:b/>
        </w:rPr>
        <w:t xml:space="preserve">INVERSE </w:t>
      </w:r>
      <w:r w:rsidRPr="00271001">
        <w:rPr>
          <w:b/>
        </w:rPr>
        <w:t>DATA ADAPTIVE GRADING (</w:t>
      </w:r>
      <w:r w:rsidR="007A4BF2">
        <w:rPr>
          <w:b/>
        </w:rPr>
        <w:t>I</w:t>
      </w:r>
      <w:r w:rsidRPr="00271001">
        <w:rPr>
          <w:b/>
        </w:rPr>
        <w:t>DAG)</w:t>
      </w:r>
    </w:p>
    <w:p w14:paraId="7A3726CB" w14:textId="7E237F5B" w:rsidR="000F7637" w:rsidRPr="00F70B62" w:rsidRDefault="00150C7E" w:rsidP="00F70B62">
      <w:pPr>
        <w:pStyle w:val="BodyText"/>
        <w:ind w:firstLine="0"/>
      </w:pPr>
      <w:r w:rsidRPr="00CE09BA">
        <w:t>At the decoder side, the bits</w:t>
      </w:r>
      <w:r>
        <w:t xml:space="preserve">tream is decoded to get the reconstructed </w:t>
      </w:r>
      <w:proofErr w:type="spellStart"/>
      <w:r>
        <w:t>YCbCr</w:t>
      </w:r>
      <w:proofErr w:type="spellEnd"/>
      <w:r>
        <w:t>/</w:t>
      </w:r>
      <w:proofErr w:type="spellStart"/>
      <w:r>
        <w:t>YFbFr</w:t>
      </w:r>
      <w:proofErr w:type="spellEnd"/>
      <w:r>
        <w:t xml:space="preserve"> 4:2:0 SDR signal and metadata (1D lookup tables). The</w:t>
      </w:r>
      <w:r w:rsidRPr="00CE09BA">
        <w:t xml:space="preserve"> inverse DA</w:t>
      </w:r>
      <w:r>
        <w:t>G</w:t>
      </w:r>
      <w:r w:rsidRPr="00CE09BA">
        <w:t xml:space="preserve"> process </w:t>
      </w:r>
      <w:r w:rsidR="006117F2">
        <w:t xml:space="preserve">the </w:t>
      </w:r>
      <w:r>
        <w:t xml:space="preserve">uses the lookup tables to map </w:t>
      </w:r>
      <w:proofErr w:type="spellStart"/>
      <w:r>
        <w:t>YCbCr</w:t>
      </w:r>
      <w:proofErr w:type="spellEnd"/>
      <w:r>
        <w:t>/</w:t>
      </w:r>
      <w:proofErr w:type="spellStart"/>
      <w:r>
        <w:t>YFbFr</w:t>
      </w:r>
      <w:proofErr w:type="spellEnd"/>
      <w:r>
        <w:t xml:space="preserve"> 4:2:0 SDR to </w:t>
      </w:r>
      <w:proofErr w:type="spellStart"/>
      <w:r>
        <w:t>Y’CbCr</w:t>
      </w:r>
      <w:proofErr w:type="spellEnd"/>
      <w:r w:rsidRPr="00CE09BA">
        <w:t xml:space="preserve"> </w:t>
      </w:r>
      <w:r>
        <w:t>4:2:0 HDR video.</w:t>
      </w:r>
      <w:bookmarkEnd w:id="4"/>
      <w:bookmarkEnd w:id="5"/>
      <w:bookmarkEnd w:id="6"/>
    </w:p>
    <w:p w14:paraId="3A444866" w14:textId="36003092" w:rsidR="00150C7E" w:rsidRDefault="00150C7E" w:rsidP="00E11923">
      <w:pPr>
        <w:pStyle w:val="Heading1"/>
        <w:rPr>
          <w:lang w:val="en-CA"/>
        </w:rPr>
      </w:pPr>
      <w:r>
        <w:rPr>
          <w:lang w:val="en-CA"/>
        </w:rPr>
        <w:t>Experimental Setup and Results</w:t>
      </w:r>
    </w:p>
    <w:p w14:paraId="442E31B6" w14:textId="32A46998" w:rsidR="00513155" w:rsidRPr="00C964F7" w:rsidRDefault="00150C7E" w:rsidP="00150C7E">
      <w:r>
        <w:t xml:space="preserve">The test sequences used in this submission are CTC test sequences. More details on the test sequences are available in [2]. The VTM reference codec VTM 2.0.1 is used for encoding/decoding process. Bitstreams are generated based on the Main 10 profile under Random access coding constraints. A structural delay of 16 pictures (GOP size of 16) was selected.  </w:t>
      </w:r>
      <w:r w:rsidRPr="00641E47">
        <w:rPr>
          <w:szCs w:val="24"/>
          <w:lang w:val="en-GB"/>
        </w:rPr>
        <w:t>Intra random access picture</w:t>
      </w:r>
      <w:r>
        <w:rPr>
          <w:szCs w:val="24"/>
          <w:lang w:val="en-GB"/>
        </w:rPr>
        <w:t>s</w:t>
      </w:r>
      <w:r w:rsidRPr="00641E47">
        <w:rPr>
          <w:szCs w:val="24"/>
          <w:lang w:val="en-GB"/>
        </w:rPr>
        <w:t>, corresponding to the parameter ‘</w:t>
      </w:r>
      <w:proofErr w:type="spellStart"/>
      <w:r w:rsidRPr="00641E47">
        <w:rPr>
          <w:szCs w:val="24"/>
          <w:lang w:val="en-GB"/>
        </w:rPr>
        <w:t>IntraPeriod</w:t>
      </w:r>
      <w:proofErr w:type="spellEnd"/>
      <w:r w:rsidRPr="00641E47">
        <w:rPr>
          <w:szCs w:val="24"/>
          <w:lang w:val="en-GB"/>
        </w:rPr>
        <w:t xml:space="preserve">’ in the </w:t>
      </w:r>
      <w:r>
        <w:rPr>
          <w:szCs w:val="24"/>
          <w:lang w:val="en-GB"/>
        </w:rPr>
        <w:t>VTM</w:t>
      </w:r>
      <w:r w:rsidRPr="00641E47">
        <w:rPr>
          <w:szCs w:val="24"/>
          <w:lang w:val="en-GB"/>
        </w:rPr>
        <w:t xml:space="preserve"> configuration files, are</w:t>
      </w:r>
      <w:r>
        <w:rPr>
          <w:szCs w:val="24"/>
          <w:lang w:val="en-GB"/>
        </w:rPr>
        <w:t xml:space="preserve"> introduced into the bit stream </w:t>
      </w:r>
      <w:r w:rsidRPr="00641E47">
        <w:rPr>
          <w:szCs w:val="24"/>
          <w:lang w:val="en-GB"/>
        </w:rPr>
        <w:t>every 32</w:t>
      </w:r>
      <w:r>
        <w:rPr>
          <w:szCs w:val="24"/>
          <w:lang w:val="en-GB"/>
        </w:rPr>
        <w:t xml:space="preserve"> or</w:t>
      </w:r>
      <w:r w:rsidRPr="00641E47">
        <w:rPr>
          <w:szCs w:val="24"/>
          <w:lang w:val="en-GB"/>
        </w:rPr>
        <w:t xml:space="preserve"> </w:t>
      </w:r>
      <w:r>
        <w:rPr>
          <w:szCs w:val="24"/>
          <w:lang w:val="en-GB"/>
        </w:rPr>
        <w:t xml:space="preserve">48 pictures for 24 fps, 25 fps </w:t>
      </w:r>
      <w:r w:rsidRPr="00641E47">
        <w:rPr>
          <w:szCs w:val="24"/>
          <w:lang w:val="en-GB"/>
        </w:rPr>
        <w:t>and</w:t>
      </w:r>
      <w:r>
        <w:rPr>
          <w:szCs w:val="24"/>
          <w:lang w:val="en-GB"/>
        </w:rPr>
        <w:t xml:space="preserve"> 50 fps sequences, respectively [2]</w:t>
      </w:r>
      <w:r w:rsidRPr="00641E47">
        <w:rPr>
          <w:szCs w:val="24"/>
          <w:lang w:val="en-GB"/>
        </w:rPr>
        <w:t xml:space="preserve">. The </w:t>
      </w:r>
      <w:r>
        <w:rPr>
          <w:szCs w:val="24"/>
          <w:lang w:val="en-GB"/>
        </w:rPr>
        <w:t>codec is run at constant quality with fixed QP values. For each sequence, four rate points are generated corresponding to four different QP values.</w:t>
      </w:r>
      <w:r>
        <w:t xml:space="preserve"> </w:t>
      </w:r>
      <w:r>
        <w:rPr>
          <w:szCs w:val="24"/>
          <w:lang w:val="en-GB"/>
        </w:rPr>
        <w:t>The simulations were performed in a Rocks cluster distribution with AMD Phenom II X6 1055T’s and Intel i7-6700HQ as the CPU’s and a RAM capacity of 16GB each.</w:t>
      </w:r>
    </w:p>
    <w:p w14:paraId="18339D4F" w14:textId="250C694D" w:rsidR="00F70B62" w:rsidRDefault="00716FC1" w:rsidP="00150C7E">
      <w:pPr>
        <w:rPr>
          <w:lang w:val="en-CA"/>
        </w:rPr>
      </w:pPr>
      <w:r>
        <w:rPr>
          <w:noProof/>
          <w:lang w:val="en-CA"/>
        </w:rPr>
        <w:lastRenderedPageBreak/>
        <w:drawing>
          <wp:inline distT="0" distB="0" distL="0" distR="0" wp14:anchorId="4AED8C41" wp14:editId="7019B39C">
            <wp:extent cx="5943600" cy="26968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vrslts1.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2696845"/>
                    </a:xfrm>
                    <a:prstGeom prst="rect">
                      <a:avLst/>
                    </a:prstGeom>
                  </pic:spPr>
                </pic:pic>
              </a:graphicData>
            </a:graphic>
          </wp:inline>
        </w:drawing>
      </w:r>
    </w:p>
    <w:p w14:paraId="68306BBD" w14:textId="2D394557" w:rsidR="00716FC1" w:rsidRDefault="00716FC1" w:rsidP="00150C7E">
      <w:pPr>
        <w:rPr>
          <w:lang w:val="en-CA"/>
        </w:rPr>
      </w:pPr>
      <w:r>
        <w:rPr>
          <w:noProof/>
          <w:lang w:val="en-CA"/>
        </w:rPr>
        <w:drawing>
          <wp:inline distT="0" distB="0" distL="0" distR="0" wp14:anchorId="0925F5DF" wp14:editId="054783AC">
            <wp:extent cx="4552257" cy="2567940"/>
            <wp:effectExtent l="0" t="0" r="127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vrslts2.png"/>
                    <pic:cNvPicPr/>
                  </pic:nvPicPr>
                  <pic:blipFill>
                    <a:blip r:embed="rId16">
                      <a:extLst>
                        <a:ext uri="{28A0092B-C50C-407E-A947-70E740481C1C}">
                          <a14:useLocalDpi xmlns:a14="http://schemas.microsoft.com/office/drawing/2010/main" val="0"/>
                        </a:ext>
                      </a:extLst>
                    </a:blip>
                    <a:stretch>
                      <a:fillRect/>
                    </a:stretch>
                  </pic:blipFill>
                  <pic:spPr>
                    <a:xfrm>
                      <a:off x="0" y="0"/>
                      <a:ext cx="4560525" cy="2572604"/>
                    </a:xfrm>
                    <a:prstGeom prst="rect">
                      <a:avLst/>
                    </a:prstGeom>
                  </pic:spPr>
                </pic:pic>
              </a:graphicData>
            </a:graphic>
          </wp:inline>
        </w:drawing>
      </w:r>
    </w:p>
    <w:p w14:paraId="4515204B" w14:textId="271FA93C" w:rsidR="00513155" w:rsidRPr="00840721" w:rsidRDefault="00513155" w:rsidP="00150C7E">
      <w:pPr>
        <w:rPr>
          <w:i/>
          <w:lang w:val="en-CA"/>
        </w:rPr>
      </w:pPr>
      <w:r w:rsidRPr="00840721">
        <w:rPr>
          <w:i/>
          <w:lang w:val="en-CA"/>
        </w:rPr>
        <w:t xml:space="preserve">Table 1. Preliminary results of </w:t>
      </w:r>
      <w:proofErr w:type="spellStart"/>
      <w:r w:rsidRPr="00840721">
        <w:rPr>
          <w:i/>
          <w:lang w:val="en-CA"/>
        </w:rPr>
        <w:t>FastVDO</w:t>
      </w:r>
      <w:proofErr w:type="spellEnd"/>
      <w:r w:rsidRPr="00840721">
        <w:rPr>
          <w:i/>
          <w:lang w:val="en-CA"/>
        </w:rPr>
        <w:t xml:space="preserve"> HDR coding system vs VTM anchor. Simulations for all 1080p sequences </w:t>
      </w:r>
      <w:r w:rsidR="00F70B62" w:rsidRPr="00840721">
        <w:rPr>
          <w:i/>
          <w:lang w:val="en-CA"/>
        </w:rPr>
        <w:t xml:space="preserve">(HDR-B) are reported here. Simulations for the 4K HDR-A seqs are still running at time of submission.  These results </w:t>
      </w:r>
      <w:r w:rsidR="00716FC1" w:rsidRPr="00840721">
        <w:rPr>
          <w:i/>
          <w:lang w:val="en-CA"/>
        </w:rPr>
        <w:t>have been</w:t>
      </w:r>
      <w:r w:rsidR="00F70B62" w:rsidRPr="00840721">
        <w:rPr>
          <w:i/>
          <w:lang w:val="en-CA"/>
        </w:rPr>
        <w:t xml:space="preserve"> cross-checked by Technicolor. </w:t>
      </w:r>
    </w:p>
    <w:p w14:paraId="3DD8B547" w14:textId="186A112D" w:rsidR="00C964F7" w:rsidRPr="00150C7E" w:rsidRDefault="00C964F7" w:rsidP="00150C7E">
      <w:pPr>
        <w:rPr>
          <w:lang w:val="en-CA"/>
        </w:rPr>
      </w:pPr>
      <w:r>
        <w:rPr>
          <w:lang w:val="en-CA"/>
        </w:rPr>
        <w:t xml:space="preserve">Our results are presented in Table 1 for the HDR-B sequences (1080p PQ data). We are very grateful to Technicolor for cross-checking our results, as well as pointing out some minor errors. </w:t>
      </w:r>
      <w:proofErr w:type="gramStart"/>
      <w:r>
        <w:rPr>
          <w:lang w:val="en-CA"/>
        </w:rPr>
        <w:t>In particular, we</w:t>
      </w:r>
      <w:proofErr w:type="gramEnd"/>
      <w:r>
        <w:rPr>
          <w:lang w:val="en-CA"/>
        </w:rPr>
        <w:t xml:space="preserve"> ran VTM2.0.1, while CE12 suggested to actually use BMS in VTM emulation mode, leading to minor differences with the cross-check results. In this update (r</w:t>
      </w:r>
      <w:r w:rsidR="00716FC1">
        <w:rPr>
          <w:lang w:val="en-CA"/>
        </w:rPr>
        <w:t>3</w:t>
      </w:r>
      <w:r>
        <w:rPr>
          <w:lang w:val="en-CA"/>
        </w:rPr>
        <w:t xml:space="preserve">), we also corrected some minor calculational errors (on seqs </w:t>
      </w:r>
      <w:proofErr w:type="spellStart"/>
      <w:r>
        <w:rPr>
          <w:lang w:val="en-CA"/>
        </w:rPr>
        <w:t>BalloonFestival</w:t>
      </w:r>
      <w:proofErr w:type="spellEnd"/>
      <w:r>
        <w:rPr>
          <w:lang w:val="en-CA"/>
        </w:rPr>
        <w:t xml:space="preserve">, and Starting), so that these results for DE100 and PSNRL100 are a good (though not exact) match to the cross-check results of Technicolor. </w:t>
      </w:r>
      <w:r w:rsidR="00716FC1">
        <w:rPr>
          <w:lang w:val="en-CA"/>
        </w:rPr>
        <w:t xml:space="preserve">We have also correctly computed the </w:t>
      </w:r>
      <w:proofErr w:type="spellStart"/>
      <w:r w:rsidR="00716FC1">
        <w:rPr>
          <w:lang w:val="en-CA"/>
        </w:rPr>
        <w:t>wPSNR</w:t>
      </w:r>
      <w:proofErr w:type="spellEnd"/>
      <w:r w:rsidR="00716FC1">
        <w:rPr>
          <w:lang w:val="en-CA"/>
        </w:rPr>
        <w:t xml:space="preserve"> and PSNR metrics (in the PQ domain). </w:t>
      </w:r>
      <w:proofErr w:type="gramStart"/>
      <w:r w:rsidR="00716FC1">
        <w:rPr>
          <w:lang w:val="en-CA"/>
        </w:rPr>
        <w:t>Thus</w:t>
      </w:r>
      <w:proofErr w:type="gramEnd"/>
      <w:r w:rsidR="00716FC1">
        <w:rPr>
          <w:lang w:val="en-CA"/>
        </w:rPr>
        <w:t xml:space="preserve"> our results are now in very good (though not exact) agreement with the </w:t>
      </w:r>
      <w:proofErr w:type="spellStart"/>
      <w:r w:rsidR="00716FC1">
        <w:rPr>
          <w:lang w:val="en-CA"/>
        </w:rPr>
        <w:t>xcheck</w:t>
      </w:r>
      <w:proofErr w:type="spellEnd"/>
      <w:r w:rsidR="00716FC1">
        <w:rPr>
          <w:lang w:val="en-CA"/>
        </w:rPr>
        <w:t xml:space="preserve"> results of Technicolor across all metrics. We do observe an issue for one sequence – Cosmos – and in just the U-component. (At this time, we are investigating this minor issue.)</w:t>
      </w:r>
    </w:p>
    <w:p w14:paraId="774013F1" w14:textId="57DF1612" w:rsidR="00150C7E" w:rsidRDefault="00150C7E" w:rsidP="00E11923">
      <w:pPr>
        <w:pStyle w:val="Heading1"/>
        <w:rPr>
          <w:lang w:val="en-CA"/>
        </w:rPr>
      </w:pPr>
      <w:r>
        <w:rPr>
          <w:lang w:val="en-CA"/>
        </w:rPr>
        <w:t>Conclusions</w:t>
      </w:r>
    </w:p>
    <w:p w14:paraId="245E97A4" w14:textId="3319DA54" w:rsidR="00150C7E" w:rsidRDefault="00DD5AE0" w:rsidP="00150C7E">
      <w:pPr>
        <w:rPr>
          <w:lang w:val="en-CA"/>
        </w:rPr>
      </w:pPr>
      <w:proofErr w:type="spellStart"/>
      <w:r>
        <w:rPr>
          <w:lang w:val="en-CA"/>
        </w:rPr>
        <w:t>FastVDO</w:t>
      </w:r>
      <w:proofErr w:type="spellEnd"/>
      <w:r>
        <w:rPr>
          <w:lang w:val="en-CA"/>
        </w:rPr>
        <w:t xml:space="preserve"> presents a method of coding HDR video in the context of VVC, analogously to methods previously reported with HEVC in the JCTVC, and in TR2 [TR2]. </w:t>
      </w:r>
      <w:r w:rsidR="00C964F7">
        <w:rPr>
          <w:lang w:val="en-CA"/>
        </w:rPr>
        <w:t xml:space="preserve">It is asserted that this method provides visual gains over the anchor.  </w:t>
      </w:r>
      <w:r w:rsidR="004450C2">
        <w:rPr>
          <w:lang w:val="en-CA"/>
        </w:rPr>
        <w:t xml:space="preserve">Moreover, our method provides an avenue to achieve certain backwards compatibility with SDR, which will be explored in follow-on work (and has been explained in [TR2]). </w:t>
      </w:r>
      <w:r>
        <w:rPr>
          <w:lang w:val="en-CA"/>
        </w:rPr>
        <w:t xml:space="preserve">Currently tested </w:t>
      </w:r>
      <w:r w:rsidR="00C964F7">
        <w:rPr>
          <w:lang w:val="en-CA"/>
        </w:rPr>
        <w:t xml:space="preserve">and reported </w:t>
      </w:r>
      <w:r>
        <w:rPr>
          <w:lang w:val="en-CA"/>
        </w:rPr>
        <w:t xml:space="preserve">objective metrics for HDR coding have not proved to be </w:t>
      </w:r>
      <w:r w:rsidR="00C964F7">
        <w:rPr>
          <w:lang w:val="en-CA"/>
        </w:rPr>
        <w:t xml:space="preserve">either </w:t>
      </w:r>
      <w:r>
        <w:rPr>
          <w:lang w:val="en-CA"/>
        </w:rPr>
        <w:t xml:space="preserve">consistent or </w:t>
      </w:r>
      <w:r>
        <w:rPr>
          <w:lang w:val="en-CA"/>
        </w:rPr>
        <w:lastRenderedPageBreak/>
        <w:t>reliable. We are prepared to participate in visual testing experiments to determine the efficacy of our proposed method vs the anchor.</w:t>
      </w:r>
    </w:p>
    <w:p w14:paraId="124706AF" w14:textId="77777777" w:rsidR="00150C7E" w:rsidRPr="00150C7E" w:rsidRDefault="00150C7E" w:rsidP="00150C7E">
      <w:pPr>
        <w:rPr>
          <w:lang w:val="en-CA"/>
        </w:rPr>
      </w:pPr>
    </w:p>
    <w:p w14:paraId="35FF19CC" w14:textId="73FDF14E" w:rsidR="00150C7E" w:rsidRDefault="00150C7E" w:rsidP="00E11923">
      <w:pPr>
        <w:pStyle w:val="Heading1"/>
        <w:rPr>
          <w:lang w:val="en-CA"/>
        </w:rPr>
      </w:pPr>
      <w:r>
        <w:rPr>
          <w:lang w:val="en-CA"/>
        </w:rPr>
        <w:t>References</w:t>
      </w:r>
    </w:p>
    <w:p w14:paraId="701F367E" w14:textId="787A7508" w:rsidR="00150C7E" w:rsidRDefault="00150C7E" w:rsidP="00150C7E">
      <w:pPr>
        <w:rPr>
          <w:lang w:val="en-CA"/>
        </w:rPr>
      </w:pPr>
    </w:p>
    <w:p w14:paraId="45BFA278" w14:textId="77777777" w:rsidR="00150C7E" w:rsidRDefault="00150C7E" w:rsidP="00150C7E">
      <w:pPr>
        <w:pStyle w:val="ListParagraph"/>
        <w:numPr>
          <w:ilvl w:val="0"/>
          <w:numId w:val="14"/>
        </w:numPr>
        <w:ind w:left="360"/>
        <w:jc w:val="both"/>
      </w:pPr>
      <w:r w:rsidRPr="00416B85">
        <w:t>AHG on HDR and WCG</w:t>
      </w:r>
      <w:r>
        <w:t xml:space="preserve">, M33622, </w:t>
      </w:r>
      <w:r w:rsidRPr="00E34B14">
        <w:t>ISO/IEC JTC1/SC29/WG11 MPEG, July 2014, Sapporo, Japan</w:t>
      </w:r>
      <w:r>
        <w:t>.</w:t>
      </w:r>
    </w:p>
    <w:p w14:paraId="63C8B20E" w14:textId="77777777" w:rsidR="00150C7E" w:rsidRDefault="00150C7E" w:rsidP="00150C7E">
      <w:pPr>
        <w:pStyle w:val="ListParagraph"/>
        <w:numPr>
          <w:ilvl w:val="0"/>
          <w:numId w:val="14"/>
        </w:numPr>
        <w:ind w:left="360"/>
        <w:jc w:val="both"/>
      </w:pPr>
      <w:r>
        <w:t xml:space="preserve">VTM Test Model. </w:t>
      </w:r>
      <w:r w:rsidRPr="00643269">
        <w:t>https://jvet.hhi.fraunhofer.de/</w:t>
      </w:r>
    </w:p>
    <w:p w14:paraId="2563A279" w14:textId="77777777" w:rsidR="00150C7E" w:rsidRDefault="00150C7E" w:rsidP="00150C7E">
      <w:pPr>
        <w:pStyle w:val="ListParagraph"/>
        <w:numPr>
          <w:ilvl w:val="0"/>
          <w:numId w:val="14"/>
        </w:numPr>
        <w:ind w:left="360"/>
        <w:jc w:val="both"/>
      </w:pPr>
      <w:r>
        <w:t xml:space="preserve">JVET-F1001, </w:t>
      </w:r>
      <w:r w:rsidRPr="00CB271C">
        <w:rPr>
          <w:bCs/>
          <w:lang w:val="en-CA"/>
        </w:rPr>
        <w:t xml:space="preserve">Algorithm </w:t>
      </w:r>
      <w:r w:rsidRPr="00CB271C">
        <w:rPr>
          <w:lang w:val="en-CA"/>
        </w:rPr>
        <w:t>Description of Joint Exploration Test Model 6 (JEM 6)</w:t>
      </w:r>
      <w:r>
        <w:rPr>
          <w:lang w:val="en-CA"/>
        </w:rPr>
        <w:t xml:space="preserve">, </w:t>
      </w:r>
      <w:r w:rsidRPr="007A1BE1">
        <w:rPr>
          <w:lang w:val="en-CA"/>
        </w:rPr>
        <w:t>6th Meeting: Hobart, AU, 31 March – 7 April 2017</w:t>
      </w:r>
      <w:r>
        <w:t>.</w:t>
      </w:r>
    </w:p>
    <w:p w14:paraId="7A5CB832" w14:textId="77777777" w:rsidR="00150C7E" w:rsidRPr="00E34B14" w:rsidRDefault="00150C7E" w:rsidP="00150C7E">
      <w:pPr>
        <w:pStyle w:val="ListParagraph"/>
        <w:numPr>
          <w:ilvl w:val="0"/>
          <w:numId w:val="14"/>
        </w:numPr>
        <w:ind w:left="360"/>
        <w:jc w:val="both"/>
      </w:pPr>
      <w:r w:rsidRPr="00E34B14">
        <w:t>Society of Motion Picture and Television Engineers ST 2084 (2014), High Luminance EOTF.</w:t>
      </w:r>
    </w:p>
    <w:p w14:paraId="521357DD" w14:textId="77777777" w:rsidR="00150C7E" w:rsidRPr="00CF76A0" w:rsidRDefault="00150C7E" w:rsidP="00150C7E">
      <w:pPr>
        <w:pStyle w:val="ListParagraph"/>
        <w:numPr>
          <w:ilvl w:val="0"/>
          <w:numId w:val="14"/>
        </w:numPr>
        <w:ind w:left="360"/>
        <w:jc w:val="both"/>
      </w:pPr>
      <w:r w:rsidRPr="00CF76A0">
        <w:t xml:space="preserve">Pankaj </w:t>
      </w:r>
      <w:proofErr w:type="spellStart"/>
      <w:r w:rsidRPr="00CF76A0">
        <w:t>Topiwala</w:t>
      </w:r>
      <w:proofErr w:type="spellEnd"/>
      <w:r w:rsidRPr="00CF76A0">
        <w:t xml:space="preserve"> and </w:t>
      </w:r>
      <w:proofErr w:type="spellStart"/>
      <w:r w:rsidRPr="00CF76A0">
        <w:t>Chengjie</w:t>
      </w:r>
      <w:proofErr w:type="spellEnd"/>
      <w:r w:rsidRPr="00CF76A0">
        <w:t xml:space="preserve"> Tu, “New Invertible Integer Color Transforms Based on Lifting Steps and Coding of 4:4:4 Video”, JVT-I015r7, San Diego, </w:t>
      </w:r>
      <w:proofErr w:type="gramStart"/>
      <w:r w:rsidRPr="00CF76A0">
        <w:t>Sept.,</w:t>
      </w:r>
      <w:proofErr w:type="gramEnd"/>
      <w:r w:rsidRPr="00CF76A0">
        <w:t xml:space="preserve"> 2003.</w:t>
      </w:r>
    </w:p>
    <w:p w14:paraId="4B1EA34F" w14:textId="77777777" w:rsidR="00150C7E" w:rsidRDefault="00150C7E" w:rsidP="00150C7E">
      <w:pPr>
        <w:pStyle w:val="ListParagraph"/>
        <w:numPr>
          <w:ilvl w:val="0"/>
          <w:numId w:val="14"/>
        </w:numPr>
        <w:ind w:left="360"/>
        <w:jc w:val="both"/>
      </w:pPr>
      <w:r>
        <w:t xml:space="preserve">Trac D. Tran, </w:t>
      </w:r>
      <w:proofErr w:type="spellStart"/>
      <w:r>
        <w:t>Lijie</w:t>
      </w:r>
      <w:proofErr w:type="spellEnd"/>
      <w:r>
        <w:t xml:space="preserve"> Liu, and Pankaj </w:t>
      </w:r>
      <w:proofErr w:type="spellStart"/>
      <w:r>
        <w:t>Topiwala</w:t>
      </w:r>
      <w:proofErr w:type="spellEnd"/>
      <w:r>
        <w:t>, “Advanced Extended Spatial Re-</w:t>
      </w:r>
      <w:proofErr w:type="gramStart"/>
      <w:r>
        <w:t>sampling</w:t>
      </w:r>
      <w:proofErr w:type="gramEnd"/>
      <w:r>
        <w:t xml:space="preserve"> Filters For SVC”, JVT-V030, Joint Video Team (JVT) of ISO/IEC MPEG &amp; ITU-T VCEG 22nd meeting, Marrakech, Morocco, Jan. 2007.</w:t>
      </w:r>
    </w:p>
    <w:p w14:paraId="716BE85C" w14:textId="77777777" w:rsidR="00150C7E" w:rsidRDefault="00150C7E" w:rsidP="00150C7E">
      <w:pPr>
        <w:pStyle w:val="ListParagraph"/>
        <w:numPr>
          <w:ilvl w:val="0"/>
          <w:numId w:val="14"/>
        </w:numPr>
        <w:ind w:left="360"/>
        <w:jc w:val="both"/>
      </w:pPr>
      <w:r>
        <w:t xml:space="preserve">G. </w:t>
      </w:r>
      <w:proofErr w:type="spellStart"/>
      <w:r>
        <w:t>Bjøntegaard</w:t>
      </w:r>
      <w:proofErr w:type="spellEnd"/>
      <w:r>
        <w:t xml:space="preserve">, “Calculation of average </w:t>
      </w:r>
      <w:proofErr w:type="spellStart"/>
      <w:r>
        <w:t>psnr</w:t>
      </w:r>
      <w:proofErr w:type="spellEnd"/>
      <w:r>
        <w:t xml:space="preserve"> differences between </w:t>
      </w:r>
      <w:proofErr w:type="spellStart"/>
      <w:r>
        <w:t>rd</w:t>
      </w:r>
      <w:proofErr w:type="spellEnd"/>
      <w:r>
        <w:t>-curves,” VCEG-M33, 13th VCEG meeting, Austin, Texas, March 2001.</w:t>
      </w:r>
    </w:p>
    <w:p w14:paraId="53BE0962" w14:textId="77777777" w:rsidR="00150C7E" w:rsidRDefault="00150C7E" w:rsidP="00150C7E">
      <w:pPr>
        <w:pStyle w:val="ListParagraph"/>
        <w:numPr>
          <w:ilvl w:val="0"/>
          <w:numId w:val="14"/>
        </w:numPr>
        <w:ind w:left="360"/>
        <w:jc w:val="both"/>
      </w:pPr>
      <w:r>
        <w:t xml:space="preserve">P. </w:t>
      </w:r>
      <w:proofErr w:type="spellStart"/>
      <w:r>
        <w:t>Topiwala</w:t>
      </w:r>
      <w:proofErr w:type="spellEnd"/>
      <w:r>
        <w:t>, W. Dai, M. Krishnan, “</w:t>
      </w:r>
      <w:proofErr w:type="spellStart"/>
      <w:r>
        <w:t>FastVDO</w:t>
      </w:r>
      <w:proofErr w:type="spellEnd"/>
      <w:r>
        <w:t xml:space="preserve"> Response to the JVET </w:t>
      </w:r>
      <w:proofErr w:type="spellStart"/>
      <w:r>
        <w:t>CfE</w:t>
      </w:r>
      <w:proofErr w:type="spellEnd"/>
      <w:r>
        <w:t xml:space="preserve"> for HDR”, JVET-G0021, Torino, IT, </w:t>
      </w:r>
      <w:proofErr w:type="gramStart"/>
      <w:r>
        <w:t>July,</w:t>
      </w:r>
      <w:proofErr w:type="gramEnd"/>
      <w:r>
        <w:t xml:space="preserve"> 2017.</w:t>
      </w:r>
    </w:p>
    <w:p w14:paraId="3C7AC719" w14:textId="77777777" w:rsidR="00150C7E" w:rsidRDefault="00150C7E" w:rsidP="00150C7E">
      <w:r>
        <w:t>[TR2] ISO/IEC TR23008-15, “</w:t>
      </w:r>
      <w:proofErr w:type="spellStart"/>
      <w:r>
        <w:t>Signalling</w:t>
      </w:r>
      <w:proofErr w:type="spellEnd"/>
      <w:r>
        <w:t>, Backward Compatibility and Display Adaptation for HDR/WCG Video,” 2018.</w:t>
      </w:r>
    </w:p>
    <w:p w14:paraId="4D34E365" w14:textId="77777777" w:rsidR="00150C7E" w:rsidRDefault="00150C7E" w:rsidP="00150C7E">
      <w:r>
        <w:t xml:space="preserve">[9] X. </w:t>
      </w:r>
      <w:proofErr w:type="spellStart"/>
      <w:r>
        <w:t>Xiu</w:t>
      </w:r>
      <w:proofErr w:type="spellEnd"/>
      <w:r>
        <w:t xml:space="preserve"> et al, “Description of the SDR, HDR, and 360 video coding technology proposal by </w:t>
      </w:r>
      <w:proofErr w:type="spellStart"/>
      <w:r>
        <w:t>InterDigital</w:t>
      </w:r>
      <w:proofErr w:type="spellEnd"/>
      <w:r>
        <w:t xml:space="preserve"> Communications and Dolby Laboratories,” JVET-J0015, San Diego, CA, </w:t>
      </w:r>
      <w:proofErr w:type="gramStart"/>
      <w:r>
        <w:t>April,</w:t>
      </w:r>
      <w:proofErr w:type="gramEnd"/>
      <w:r>
        <w:t xml:space="preserve"> 2018.</w:t>
      </w:r>
    </w:p>
    <w:p w14:paraId="01048751" w14:textId="77777777" w:rsidR="00150C7E" w:rsidRPr="00F66C2D" w:rsidRDefault="00150C7E" w:rsidP="00150C7E">
      <w:r>
        <w:t xml:space="preserve">[10] P. </w:t>
      </w:r>
      <w:proofErr w:type="spellStart"/>
      <w:r>
        <w:t>Bordes</w:t>
      </w:r>
      <w:proofErr w:type="spellEnd"/>
      <w:r>
        <w:t xml:space="preserve"> et al, “Description of the SDR, HDR, and 360 video coding technology proposal by Qualcomm and Technicolor – medium complexity version,” JVET-J0022, San Diego, CA, </w:t>
      </w:r>
      <w:proofErr w:type="gramStart"/>
      <w:r>
        <w:t>April,</w:t>
      </w:r>
      <w:proofErr w:type="gramEnd"/>
      <w:r>
        <w:t xml:space="preserve"> 2018.</w:t>
      </w:r>
    </w:p>
    <w:p w14:paraId="0CE8BE74" w14:textId="77777777" w:rsidR="00150C7E" w:rsidRPr="00150C7E" w:rsidRDefault="00150C7E" w:rsidP="00150C7E">
      <w:pPr>
        <w:rPr>
          <w:lang w:val="en-CA"/>
        </w:rPr>
      </w:pPr>
    </w:p>
    <w:p w14:paraId="5F0CF8E4" w14:textId="48CB30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635F3B" w:rsidR="00342FF4" w:rsidRPr="005B217D" w:rsidRDefault="00834AF7" w:rsidP="009234A5">
      <w:pPr>
        <w:rPr>
          <w:szCs w:val="22"/>
          <w:lang w:val="en-CA"/>
        </w:rPr>
      </w:pPr>
      <w:proofErr w:type="spellStart"/>
      <w:r w:rsidRPr="00834AF7">
        <w:rPr>
          <w:b/>
          <w:szCs w:val="22"/>
          <w:lang w:val="en-CA"/>
        </w:rPr>
        <w:t>FastVDO</w:t>
      </w:r>
      <w:proofErr w:type="spellEnd"/>
      <w:r w:rsidRPr="00834AF7">
        <w:rPr>
          <w:b/>
          <w:szCs w:val="22"/>
          <w:lang w:val="en-CA"/>
        </w:rPr>
        <w:t xml:space="preserve"> LLC</w:t>
      </w:r>
      <w:r w:rsidR="001F2594" w:rsidRPr="00834AF7">
        <w:rPr>
          <w:b/>
          <w:szCs w:val="22"/>
          <w:lang w:val="en-CA"/>
        </w:rPr>
        <w:t xml:space="preserve"> may have </w:t>
      </w:r>
      <w:r w:rsidR="0098551D" w:rsidRPr="00834AF7">
        <w:rPr>
          <w:b/>
          <w:szCs w:val="22"/>
          <w:lang w:val="en-CA"/>
        </w:rPr>
        <w:t>current or pending</w:t>
      </w:r>
      <w:r w:rsidR="001F2594" w:rsidRPr="00834AF7">
        <w:rPr>
          <w:b/>
          <w:szCs w:val="22"/>
          <w:lang w:val="en-CA"/>
        </w:rPr>
        <w:t xml:space="preserve"> </w:t>
      </w:r>
      <w:r w:rsidR="0098551D" w:rsidRPr="00834AF7">
        <w:rPr>
          <w:b/>
          <w:szCs w:val="22"/>
          <w:lang w:val="en-CA"/>
        </w:rPr>
        <w:t xml:space="preserve">patent rights </w:t>
      </w:r>
      <w:r w:rsidR="001F2594" w:rsidRPr="00834AF7">
        <w:rPr>
          <w:b/>
          <w:szCs w:val="22"/>
          <w:lang w:val="en-CA"/>
        </w:rPr>
        <w:t xml:space="preserve">relating to the technology described </w:t>
      </w:r>
      <w:r w:rsidR="002F164D" w:rsidRPr="00834AF7">
        <w:rPr>
          <w:b/>
          <w:szCs w:val="22"/>
          <w:lang w:val="en-CA"/>
        </w:rPr>
        <w:t xml:space="preserve">in </w:t>
      </w:r>
      <w:r w:rsidR="001F2594" w:rsidRPr="00834AF7">
        <w:rPr>
          <w:b/>
          <w:szCs w:val="22"/>
          <w:lang w:val="en-CA"/>
        </w:rPr>
        <w:t>this contribution and, conditioned on reciprocity, is prepared to grant licenses under reasonable and non-discriminatory terms as necessary for implementation of the resulting ITU-T Recommendation</w:t>
      </w:r>
      <w:r w:rsidR="002F164D" w:rsidRPr="00834AF7">
        <w:rPr>
          <w:b/>
          <w:szCs w:val="22"/>
          <w:lang w:val="en-CA"/>
        </w:rPr>
        <w:t xml:space="preserve"> | ISO/IEC </w:t>
      </w:r>
      <w:r w:rsidR="00A83253" w:rsidRPr="00834AF7">
        <w:rPr>
          <w:b/>
          <w:szCs w:val="22"/>
          <w:lang w:val="en-CA"/>
        </w:rPr>
        <w:t xml:space="preserve">International </w:t>
      </w:r>
      <w:r w:rsidR="002F164D" w:rsidRPr="00834AF7">
        <w:rPr>
          <w:b/>
          <w:szCs w:val="22"/>
          <w:lang w:val="en-CA"/>
        </w:rPr>
        <w:t>Standard</w:t>
      </w:r>
      <w:r w:rsidR="001F2594" w:rsidRPr="00834AF7">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B9B4A" w14:textId="77777777" w:rsidR="00DA7542" w:rsidRDefault="00DA7542">
      <w:r>
        <w:separator/>
      </w:r>
    </w:p>
  </w:endnote>
  <w:endnote w:type="continuationSeparator" w:id="0">
    <w:p w14:paraId="32EF098A" w14:textId="77777777" w:rsidR="00DA7542" w:rsidRDefault="00DA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183B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2988">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1E708" w14:textId="77777777" w:rsidR="00DA7542" w:rsidRDefault="00DA7542">
      <w:r>
        <w:separator/>
      </w:r>
    </w:p>
  </w:footnote>
  <w:footnote w:type="continuationSeparator" w:id="0">
    <w:p w14:paraId="4AAA4A10" w14:textId="77777777" w:rsidR="00DA7542" w:rsidRDefault="00DA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11E9D"/>
    <w:multiLevelType w:val="hybridMultilevel"/>
    <w:tmpl w:val="5B50A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1E08B4"/>
    <w:multiLevelType w:val="hybridMultilevel"/>
    <w:tmpl w:val="E2A0A9F6"/>
    <w:lvl w:ilvl="0" w:tplc="33E666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3342F0"/>
    <w:multiLevelType w:val="multilevel"/>
    <w:tmpl w:val="774E4E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0F7637"/>
    <w:rsid w:val="00102F3D"/>
    <w:rsid w:val="001133C0"/>
    <w:rsid w:val="00124E38"/>
    <w:rsid w:val="0012580B"/>
    <w:rsid w:val="00131F90"/>
    <w:rsid w:val="0013458C"/>
    <w:rsid w:val="0013526E"/>
    <w:rsid w:val="00146152"/>
    <w:rsid w:val="00150C7E"/>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265"/>
    <w:rsid w:val="002D0AF6"/>
    <w:rsid w:val="002F164D"/>
    <w:rsid w:val="003021BC"/>
    <w:rsid w:val="00306206"/>
    <w:rsid w:val="00317D85"/>
    <w:rsid w:val="00327C56"/>
    <w:rsid w:val="003315A1"/>
    <w:rsid w:val="003373EC"/>
    <w:rsid w:val="00342FF4"/>
    <w:rsid w:val="00344E5A"/>
    <w:rsid w:val="00346148"/>
    <w:rsid w:val="003669EA"/>
    <w:rsid w:val="003706CC"/>
    <w:rsid w:val="003726FB"/>
    <w:rsid w:val="00377710"/>
    <w:rsid w:val="00386533"/>
    <w:rsid w:val="003A2D8E"/>
    <w:rsid w:val="003A7CE6"/>
    <w:rsid w:val="003C20E4"/>
    <w:rsid w:val="003D6342"/>
    <w:rsid w:val="003E6F90"/>
    <w:rsid w:val="003E73ED"/>
    <w:rsid w:val="003F2684"/>
    <w:rsid w:val="003F5D0F"/>
    <w:rsid w:val="003F7845"/>
    <w:rsid w:val="00414101"/>
    <w:rsid w:val="004219CF"/>
    <w:rsid w:val="0042225B"/>
    <w:rsid w:val="004234F0"/>
    <w:rsid w:val="00433DDB"/>
    <w:rsid w:val="00435A29"/>
    <w:rsid w:val="00437619"/>
    <w:rsid w:val="004450C2"/>
    <w:rsid w:val="00465A1E"/>
    <w:rsid w:val="0049445A"/>
    <w:rsid w:val="004964BD"/>
    <w:rsid w:val="004A2A63"/>
    <w:rsid w:val="004B210C"/>
    <w:rsid w:val="004D405F"/>
    <w:rsid w:val="004E4F4F"/>
    <w:rsid w:val="004E6789"/>
    <w:rsid w:val="004F61E3"/>
    <w:rsid w:val="00502E10"/>
    <w:rsid w:val="0051015C"/>
    <w:rsid w:val="00513155"/>
    <w:rsid w:val="00516CF1"/>
    <w:rsid w:val="00531AE9"/>
    <w:rsid w:val="0053664B"/>
    <w:rsid w:val="00550A66"/>
    <w:rsid w:val="00567EC7"/>
    <w:rsid w:val="00570013"/>
    <w:rsid w:val="005801A2"/>
    <w:rsid w:val="005952A5"/>
    <w:rsid w:val="005A33A1"/>
    <w:rsid w:val="005B217D"/>
    <w:rsid w:val="005C385F"/>
    <w:rsid w:val="005D028A"/>
    <w:rsid w:val="005E1AC6"/>
    <w:rsid w:val="005F625B"/>
    <w:rsid w:val="005F6F1B"/>
    <w:rsid w:val="006117F2"/>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2793"/>
    <w:rsid w:val="0071052C"/>
    <w:rsid w:val="00712F60"/>
    <w:rsid w:val="00716FC1"/>
    <w:rsid w:val="00720E3B"/>
    <w:rsid w:val="0074393F"/>
    <w:rsid w:val="00745F6B"/>
    <w:rsid w:val="0075585E"/>
    <w:rsid w:val="00770571"/>
    <w:rsid w:val="007768FF"/>
    <w:rsid w:val="007824D3"/>
    <w:rsid w:val="00796EE3"/>
    <w:rsid w:val="007A4BF2"/>
    <w:rsid w:val="007A7D29"/>
    <w:rsid w:val="007B4AB8"/>
    <w:rsid w:val="007D1181"/>
    <w:rsid w:val="007E01A3"/>
    <w:rsid w:val="007F1F8B"/>
    <w:rsid w:val="007F67A1"/>
    <w:rsid w:val="00811C05"/>
    <w:rsid w:val="00812C14"/>
    <w:rsid w:val="00815397"/>
    <w:rsid w:val="008206C8"/>
    <w:rsid w:val="00834AF7"/>
    <w:rsid w:val="0084072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47251"/>
    <w:rsid w:val="00A56B97"/>
    <w:rsid w:val="00A6093D"/>
    <w:rsid w:val="00A767DC"/>
    <w:rsid w:val="00A76A6D"/>
    <w:rsid w:val="00A82988"/>
    <w:rsid w:val="00A83253"/>
    <w:rsid w:val="00AA6E84"/>
    <w:rsid w:val="00AB1A1C"/>
    <w:rsid w:val="00AD05A8"/>
    <w:rsid w:val="00AE0A77"/>
    <w:rsid w:val="00AE341B"/>
    <w:rsid w:val="00AF4A47"/>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64F7"/>
    <w:rsid w:val="00C97D78"/>
    <w:rsid w:val="00CC2AAE"/>
    <w:rsid w:val="00CC5A42"/>
    <w:rsid w:val="00CD0EAB"/>
    <w:rsid w:val="00CE5E02"/>
    <w:rsid w:val="00CF1F67"/>
    <w:rsid w:val="00CF34DB"/>
    <w:rsid w:val="00CF558F"/>
    <w:rsid w:val="00D010C0"/>
    <w:rsid w:val="00D073E2"/>
    <w:rsid w:val="00D446EC"/>
    <w:rsid w:val="00D51BF0"/>
    <w:rsid w:val="00D531DB"/>
    <w:rsid w:val="00D55942"/>
    <w:rsid w:val="00D7355F"/>
    <w:rsid w:val="00D807BF"/>
    <w:rsid w:val="00D82FCC"/>
    <w:rsid w:val="00DA17FC"/>
    <w:rsid w:val="00DA7542"/>
    <w:rsid w:val="00DA7887"/>
    <w:rsid w:val="00DB2C26"/>
    <w:rsid w:val="00DD02F4"/>
    <w:rsid w:val="00DD5AE0"/>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EAB"/>
    <w:rsid w:val="00F2488D"/>
    <w:rsid w:val="00F50175"/>
    <w:rsid w:val="00F601A0"/>
    <w:rsid w:val="00F70B62"/>
    <w:rsid w:val="00F712E9"/>
    <w:rsid w:val="00F724E9"/>
    <w:rsid w:val="00F73032"/>
    <w:rsid w:val="00F820FB"/>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bstract">
    <w:name w:val="Abstract"/>
    <w:uiPriority w:val="99"/>
    <w:rsid w:val="000F7637"/>
    <w:pPr>
      <w:spacing w:after="200"/>
      <w:ind w:firstLine="274"/>
      <w:jc w:val="both"/>
    </w:pPr>
    <w:rPr>
      <w:b/>
      <w:bCs/>
      <w:sz w:val="18"/>
      <w:szCs w:val="18"/>
    </w:rPr>
  </w:style>
  <w:style w:type="paragraph" w:styleId="BodyText">
    <w:name w:val="Body Text"/>
    <w:basedOn w:val="Normal"/>
    <w:link w:val="BodyTextChar"/>
    <w:uiPriority w:val="99"/>
    <w:rsid w:val="000F7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MS Mincho"/>
      <w:spacing w:val="-1"/>
      <w:sz w:val="20"/>
    </w:rPr>
  </w:style>
  <w:style w:type="character" w:customStyle="1" w:styleId="BodyTextChar">
    <w:name w:val="Body Text Char"/>
    <w:basedOn w:val="DefaultParagraphFont"/>
    <w:link w:val="BodyText"/>
    <w:uiPriority w:val="99"/>
    <w:rsid w:val="000F7637"/>
    <w:rPr>
      <w:rFonts w:eastAsia="MS Mincho"/>
      <w:spacing w:val="-1"/>
    </w:rPr>
  </w:style>
  <w:style w:type="paragraph" w:styleId="ListParagraph">
    <w:name w:val="List Paragraph"/>
    <w:basedOn w:val="Normal"/>
    <w:uiPriority w:val="34"/>
    <w:qFormat/>
    <w:rsid w:val="001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center"/>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1937</Words>
  <Characters>11044</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pankaj</cp:lastModifiedBy>
  <cp:revision>2</cp:revision>
  <cp:lastPrinted>1900-01-01T08:00:00Z</cp:lastPrinted>
  <dcterms:created xsi:type="dcterms:W3CDTF">2018-10-04T18:16:00Z</dcterms:created>
  <dcterms:modified xsi:type="dcterms:W3CDTF">2018-10-04T18:16:00Z</dcterms:modified>
</cp:coreProperties>
</file>