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F2F2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D0C58C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1ABD">
              <w:rPr>
                <w:lang w:val="en-CA"/>
              </w:rPr>
              <w:t>J0048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4624BB" w:rsidR="00E61DAC" w:rsidRPr="005B217D" w:rsidRDefault="00CD0F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Non-Square CTU on top </w:t>
            </w:r>
            <w:r w:rsidR="00D652C5">
              <w:rPr>
                <w:b/>
                <w:szCs w:val="22"/>
                <w:lang w:val="en-CA"/>
              </w:rPr>
              <w:t xml:space="preserve">of </w:t>
            </w:r>
            <w:r w:rsidR="00553BF3">
              <w:rPr>
                <w:b/>
                <w:szCs w:val="22"/>
                <w:lang w:val="en-CA"/>
              </w:rPr>
              <w:t>JVET-J0021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969F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4A77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1D06698" w:rsidR="00E61DAC" w:rsidRPr="00A204DB" w:rsidRDefault="00A204D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Xiang Li, </w:t>
            </w:r>
            <w:r w:rsidR="00DD1750">
              <w:rPr>
                <w:szCs w:val="22"/>
              </w:rPr>
              <w:t xml:space="preserve">Xin Zhao, </w:t>
            </w:r>
            <w:proofErr w:type="spellStart"/>
            <w:r w:rsidR="00DD1750">
              <w:rPr>
                <w:szCs w:val="22"/>
              </w:rPr>
              <w:t>Xiaozhong</w:t>
            </w:r>
            <w:proofErr w:type="spellEnd"/>
            <w:r w:rsidR="00DD1750">
              <w:rPr>
                <w:szCs w:val="22"/>
              </w:rPr>
              <w:t xml:space="preserve"> Xu, </w:t>
            </w:r>
            <w:r>
              <w:rPr>
                <w:szCs w:val="22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CBDA38" w:rsidR="00E61DAC" w:rsidRPr="005B217D" w:rsidRDefault="00A204DB" w:rsidP="00A204D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{xlxiangli, </w:t>
            </w:r>
            <w:r w:rsidR="00DD1750">
              <w:rPr>
                <w:szCs w:val="22"/>
                <w:lang w:val="en-CA"/>
              </w:rPr>
              <w:t xml:space="preserve">xinzzhao, xiaozhongxu,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7DE813" w:rsidR="00E61DAC" w:rsidRPr="005B217D" w:rsidRDefault="00A204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Tencent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CF30E52" w:rsidR="00275BCF" w:rsidRPr="005B217D" w:rsidRDefault="00CD0FD9" w:rsidP="00C97D78">
      <w:pPr>
        <w:rPr>
          <w:lang w:val="en-CA"/>
        </w:rPr>
      </w:pPr>
      <w:r>
        <w:rPr>
          <w:lang w:val="en-CA"/>
        </w:rPr>
        <w:t xml:space="preserve">It is reported that non-square CTU is desired in some applications. </w:t>
      </w:r>
      <w:r w:rsidR="00764809">
        <w:rPr>
          <w:lang w:val="en-CA"/>
        </w:rPr>
        <w:t xml:space="preserve">In this contribution, the feature of non-square CTU is </w:t>
      </w:r>
      <w:r w:rsidR="00DB4B29">
        <w:rPr>
          <w:lang w:val="en-CA"/>
        </w:rPr>
        <w:t xml:space="preserve">implemented </w:t>
      </w:r>
      <w:r w:rsidR="00764809">
        <w:rPr>
          <w:lang w:val="en-CA"/>
        </w:rPr>
        <w:t>on top of JVET-</w:t>
      </w:r>
      <w:r w:rsidR="006A134B">
        <w:rPr>
          <w:lang w:val="en-CA"/>
        </w:rPr>
        <w:t>J0021</w:t>
      </w:r>
      <w:r w:rsidR="00764809">
        <w:rPr>
          <w:lang w:val="en-CA"/>
        </w:rPr>
        <w:t xml:space="preserve">. It is reported that similar coding performance to that of square CTU is achieved with the help of newly introduced tree type </w:t>
      </w:r>
      <w:proofErr w:type="spellStart"/>
      <w:r w:rsidR="00764809">
        <w:rPr>
          <w:lang w:val="en-CA"/>
        </w:rPr>
        <w:t>SplitToSquare</w:t>
      </w:r>
      <w:proofErr w:type="spellEnd"/>
      <w:r w:rsidR="00764809">
        <w:rPr>
          <w:lang w:val="en-CA"/>
        </w:rPr>
        <w:t xml:space="preserve">. It is proposed to further study non-square CTU and tree type </w:t>
      </w:r>
      <w:proofErr w:type="spellStart"/>
      <w:r w:rsidR="00764809">
        <w:rPr>
          <w:lang w:val="en-CA"/>
        </w:rPr>
        <w:t>SplitToSquare</w:t>
      </w:r>
      <w:proofErr w:type="spellEnd"/>
      <w:r w:rsidR="006D5927">
        <w:rPr>
          <w:lang w:val="en-CA"/>
        </w:rPr>
        <w:t>.</w:t>
      </w:r>
    </w:p>
    <w:p w14:paraId="723883F2" w14:textId="7E2687F6" w:rsidR="00263398" w:rsidRPr="005B217D" w:rsidRDefault="00263398" w:rsidP="009234A5">
      <w:pPr>
        <w:rPr>
          <w:szCs w:val="22"/>
          <w:lang w:val="en-CA"/>
        </w:rPr>
      </w:pPr>
    </w:p>
    <w:p w14:paraId="7D2AC1F0" w14:textId="7575748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043C08" w14:textId="130A71C6" w:rsidR="0028623B" w:rsidRDefault="00A16569" w:rsidP="0028623B">
      <w:pPr>
        <w:rPr>
          <w:lang w:val="en-CA"/>
        </w:rPr>
      </w:pPr>
      <w:r>
        <w:rPr>
          <w:lang w:val="en-CA"/>
        </w:rPr>
        <w:t xml:space="preserve">In HEVC, CTU must be square. However, it is reported that in some applications non-square CTU is </w:t>
      </w:r>
      <w:r w:rsidR="007D21CA">
        <w:rPr>
          <w:lang w:val="en-CA"/>
        </w:rPr>
        <w:t>preferred</w:t>
      </w:r>
      <w:r>
        <w:rPr>
          <w:lang w:val="en-CA"/>
        </w:rPr>
        <w:t>.</w:t>
      </w:r>
    </w:p>
    <w:p w14:paraId="38C9BEF0" w14:textId="46A6D7A7" w:rsidR="007D21CA" w:rsidRDefault="002D3795" w:rsidP="0028623B">
      <w:pPr>
        <w:rPr>
          <w:lang w:val="en-CA"/>
        </w:rPr>
      </w:pPr>
      <w:r>
        <w:rPr>
          <w:lang w:val="en-CA"/>
        </w:rPr>
        <w:t>In some software implement</w:t>
      </w:r>
      <w:r w:rsidR="00F207CC">
        <w:rPr>
          <w:lang w:val="en-CA"/>
        </w:rPr>
        <w:t>ed</w:t>
      </w:r>
      <w:r w:rsidR="00036F5F">
        <w:rPr>
          <w:lang w:val="en-CA"/>
        </w:rPr>
        <w:t xml:space="preserve"> video codec</w:t>
      </w:r>
      <w:r w:rsidR="000F5908">
        <w:rPr>
          <w:lang w:val="en-CA"/>
        </w:rPr>
        <w:t xml:space="preserve">, such </w:t>
      </w:r>
      <w:r w:rsidR="00125C37">
        <w:rPr>
          <w:lang w:val="en-CA"/>
        </w:rPr>
        <w:t xml:space="preserve">as </w:t>
      </w:r>
      <w:r w:rsidR="000F5908">
        <w:rPr>
          <w:lang w:val="en-CA"/>
        </w:rPr>
        <w:t>x265</w:t>
      </w:r>
      <w:r>
        <w:rPr>
          <w:lang w:val="en-CA"/>
        </w:rPr>
        <w:t xml:space="preserve">, </w:t>
      </w:r>
      <w:r w:rsidR="000F5908">
        <w:rPr>
          <w:lang w:val="en-CA"/>
        </w:rPr>
        <w:t xml:space="preserve">the efficiency of </w:t>
      </w:r>
      <w:r>
        <w:rPr>
          <w:lang w:val="en-CA"/>
        </w:rPr>
        <w:t>frame</w:t>
      </w:r>
      <w:r w:rsidR="000F5908">
        <w:rPr>
          <w:lang w:val="en-CA"/>
        </w:rPr>
        <w:t xml:space="preserve"> threading (encoding multiple frames </w:t>
      </w:r>
      <w:r w:rsidR="00A01C1C">
        <w:rPr>
          <w:lang w:val="en-CA"/>
        </w:rPr>
        <w:t>simultaneously</w:t>
      </w:r>
      <w:r w:rsidR="000F5908">
        <w:rPr>
          <w:lang w:val="en-CA"/>
        </w:rPr>
        <w:t xml:space="preserve">) is related to the number of CTU rows </w:t>
      </w:r>
      <w:r w:rsidR="002D28A7">
        <w:rPr>
          <w:lang w:val="en-CA"/>
        </w:rPr>
        <w:t>within one</w:t>
      </w:r>
      <w:r w:rsidR="000F5908">
        <w:rPr>
          <w:lang w:val="en-CA"/>
        </w:rPr>
        <w:t xml:space="preserve"> frame </w:t>
      </w:r>
      <w:r w:rsidR="000F5908">
        <w:rPr>
          <w:lang w:val="en-CA"/>
        </w:rPr>
        <w:fldChar w:fldCharType="begin"/>
      </w:r>
      <w:r w:rsidR="000F5908">
        <w:rPr>
          <w:lang w:val="en-CA"/>
        </w:rPr>
        <w:instrText xml:space="preserve"> REF _Ref510103164 \r \h </w:instrText>
      </w:r>
      <w:r w:rsidR="000F5908">
        <w:rPr>
          <w:lang w:val="en-CA"/>
        </w:rPr>
      </w:r>
      <w:r w:rsidR="000F5908">
        <w:rPr>
          <w:lang w:val="en-CA"/>
        </w:rPr>
        <w:fldChar w:fldCharType="separate"/>
      </w:r>
      <w:r w:rsidR="00534745">
        <w:rPr>
          <w:lang w:val="en-CA"/>
        </w:rPr>
        <w:t>[1]</w:t>
      </w:r>
      <w:r w:rsidR="000F5908">
        <w:rPr>
          <w:lang w:val="en-CA"/>
        </w:rPr>
        <w:fldChar w:fldCharType="end"/>
      </w:r>
      <w:r w:rsidR="000F5908">
        <w:rPr>
          <w:lang w:val="en-CA"/>
        </w:rPr>
        <w:t xml:space="preserve">. </w:t>
      </w:r>
      <w:r w:rsidR="00F63085">
        <w:rPr>
          <w:lang w:val="en-CA"/>
        </w:rPr>
        <w:t xml:space="preserve">With </w:t>
      </w:r>
      <w:r w:rsidR="000F5908">
        <w:rPr>
          <w:lang w:val="en-CA"/>
        </w:rPr>
        <w:t xml:space="preserve">the same </w:t>
      </w:r>
      <w:r w:rsidR="00F63085">
        <w:rPr>
          <w:lang w:val="en-CA"/>
        </w:rPr>
        <w:t xml:space="preserve">area </w:t>
      </w:r>
      <w:r w:rsidR="000F5908">
        <w:rPr>
          <w:lang w:val="en-CA"/>
        </w:rPr>
        <w:t xml:space="preserve">size, non-square CTU </w:t>
      </w:r>
      <w:r w:rsidR="003A4CCB">
        <w:rPr>
          <w:lang w:val="en-CA"/>
        </w:rPr>
        <w:t>can</w:t>
      </w:r>
      <w:r w:rsidR="00EE4979">
        <w:rPr>
          <w:lang w:val="en-CA"/>
        </w:rPr>
        <w:t xml:space="preserve"> </w:t>
      </w:r>
      <w:r w:rsidR="000F5908">
        <w:rPr>
          <w:lang w:val="en-CA"/>
        </w:rPr>
        <w:t xml:space="preserve">increase the number of CTU rows so that </w:t>
      </w:r>
      <w:r w:rsidR="00EE4979" w:rsidRPr="00EE4979">
        <w:rPr>
          <w:lang w:val="en-CA"/>
        </w:rPr>
        <w:t>frame parallelism</w:t>
      </w:r>
      <w:r w:rsidR="00AC1CE5">
        <w:rPr>
          <w:lang w:val="en-CA"/>
        </w:rPr>
        <w:t xml:space="preserve"> can be improved theoretically</w:t>
      </w:r>
      <w:r w:rsidR="00EE4979">
        <w:rPr>
          <w:lang w:val="en-CA"/>
        </w:rPr>
        <w:t>.</w:t>
      </w:r>
    </w:p>
    <w:p w14:paraId="310C9EA2" w14:textId="26889388" w:rsidR="007D21CA" w:rsidRDefault="007D21CA" w:rsidP="0028623B">
      <w:pPr>
        <w:rPr>
          <w:lang w:val="en-CA"/>
        </w:rPr>
      </w:pPr>
      <w:r>
        <w:rPr>
          <w:lang w:val="en-CA"/>
        </w:rPr>
        <w:t>In some other implementations, CTU rows are buffered in cache to improve the overall performance of a video codec. As the width of a CTU row is fixed as picture width or tile width, the reduction of memory size in cache can only be achieved with smaller CTU height. However, for square CTU</w:t>
      </w:r>
      <w:r w:rsidR="00DC0BF9">
        <w:rPr>
          <w:lang w:val="en-CA"/>
        </w:rPr>
        <w:t>,</w:t>
      </w:r>
      <w:r>
        <w:rPr>
          <w:lang w:val="en-CA"/>
        </w:rPr>
        <w:t xml:space="preserve"> smaller height means smaller CTU size, which may lower</w:t>
      </w:r>
      <w:r w:rsidR="004C7B71">
        <w:rPr>
          <w:lang w:val="en-CA"/>
        </w:rPr>
        <w:t xml:space="preserve"> the</w:t>
      </w:r>
      <w:r>
        <w:rPr>
          <w:lang w:val="en-CA"/>
        </w:rPr>
        <w:t xml:space="preserve"> coding efficiency. In this case, rectangular CTU is desirable since smaller CTU height can be obtained while keeping the same CTU </w:t>
      </w:r>
      <w:r w:rsidR="00F21B5F">
        <w:rPr>
          <w:lang w:val="en-CA"/>
        </w:rPr>
        <w:t xml:space="preserve">area </w:t>
      </w:r>
      <w:r>
        <w:rPr>
          <w:lang w:val="en-CA"/>
        </w:rPr>
        <w:t>size.</w:t>
      </w:r>
    </w:p>
    <w:p w14:paraId="7BF7180C" w14:textId="24D6E7AB" w:rsidR="007D21CA" w:rsidRPr="007D21CA" w:rsidRDefault="00FF44E1" w:rsidP="0028623B">
      <w:pPr>
        <w:rPr>
          <w:rFonts w:ascii="Arial" w:hAnsi="Arial" w:cs="Arial"/>
          <w:color w:val="404040"/>
          <w:shd w:val="clear" w:color="auto" w:fill="FCFCFC"/>
        </w:rPr>
      </w:pPr>
      <w:r>
        <w:rPr>
          <w:lang w:val="en-CA"/>
        </w:rPr>
        <w:t xml:space="preserve">In this contribution, non-square CTU is proposed </w:t>
      </w:r>
      <w:r w:rsidR="00DB4B29">
        <w:rPr>
          <w:lang w:val="en-CA"/>
        </w:rPr>
        <w:t xml:space="preserve">and implemented </w:t>
      </w:r>
      <w:r>
        <w:rPr>
          <w:lang w:val="en-CA"/>
        </w:rPr>
        <w:t xml:space="preserve">on top of Qualcomm’s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 JVET-</w:t>
      </w:r>
      <w:r w:rsidR="006A134B">
        <w:rPr>
          <w:lang w:val="en-CA"/>
        </w:rPr>
        <w:t>J0021</w:t>
      </w:r>
      <w:r w:rsidR="00534745">
        <w:rPr>
          <w:lang w:val="en-CA"/>
        </w:rPr>
        <w:t xml:space="preserve"> </w:t>
      </w:r>
      <w:r w:rsidR="00534745">
        <w:rPr>
          <w:lang w:val="en-CA"/>
        </w:rPr>
        <w:fldChar w:fldCharType="begin"/>
      </w:r>
      <w:r w:rsidR="00534745">
        <w:rPr>
          <w:lang w:val="en-CA"/>
        </w:rPr>
        <w:instrText xml:space="preserve"> REF _Ref510453043 \r \h </w:instrText>
      </w:r>
      <w:r w:rsidR="00534745">
        <w:rPr>
          <w:lang w:val="en-CA"/>
        </w:rPr>
      </w:r>
      <w:r w:rsidR="00534745">
        <w:rPr>
          <w:lang w:val="en-CA"/>
        </w:rPr>
        <w:fldChar w:fldCharType="separate"/>
      </w:r>
      <w:r w:rsidR="00534745">
        <w:rPr>
          <w:lang w:val="en-CA"/>
        </w:rPr>
        <w:t>[2]</w:t>
      </w:r>
      <w:r w:rsidR="00534745">
        <w:rPr>
          <w:lang w:val="en-CA"/>
        </w:rPr>
        <w:fldChar w:fldCharType="end"/>
      </w:r>
      <w:r>
        <w:rPr>
          <w:lang w:val="en-CA"/>
        </w:rPr>
        <w:t>.</w:t>
      </w:r>
    </w:p>
    <w:p w14:paraId="515A8AF2" w14:textId="53D5A268" w:rsidR="00D56131" w:rsidRDefault="00CD0FD9" w:rsidP="000A2A61">
      <w:pPr>
        <w:pStyle w:val="Heading1"/>
        <w:rPr>
          <w:lang w:val="en-CA"/>
        </w:rPr>
      </w:pPr>
      <w:r>
        <w:rPr>
          <w:lang w:val="en-CA"/>
        </w:rPr>
        <w:t>Non-Square CTU</w:t>
      </w:r>
      <w:r w:rsidR="007857F3">
        <w:rPr>
          <w:lang w:val="en-CA"/>
        </w:rPr>
        <w:t xml:space="preserve"> with </w:t>
      </w:r>
      <w:proofErr w:type="spellStart"/>
      <w:r w:rsidR="007857F3">
        <w:rPr>
          <w:lang w:val="en-CA"/>
        </w:rPr>
        <w:t>SplitToSquare</w:t>
      </w:r>
      <w:proofErr w:type="spellEnd"/>
    </w:p>
    <w:p w14:paraId="7AB109AB" w14:textId="1B0C32B1" w:rsidR="00FF44E1" w:rsidRDefault="00FF44E1" w:rsidP="0031636B">
      <w:pPr>
        <w:rPr>
          <w:lang w:val="en-CA"/>
        </w:rPr>
      </w:pPr>
      <w:r>
        <w:rPr>
          <w:lang w:val="en-CA"/>
        </w:rPr>
        <w:t>In JVET-</w:t>
      </w:r>
      <w:r w:rsidR="006A134B">
        <w:rPr>
          <w:lang w:val="en-CA"/>
        </w:rPr>
        <w:t>J0021</w:t>
      </w:r>
      <w:r>
        <w:rPr>
          <w:lang w:val="en-CA"/>
        </w:rPr>
        <w:t>, two level coding tree structure is proposed</w:t>
      </w:r>
      <w:r w:rsidR="00534745">
        <w:rPr>
          <w:lang w:val="en-CA"/>
        </w:rPr>
        <w:t xml:space="preserve"> </w:t>
      </w:r>
      <w:r w:rsidR="00534745">
        <w:rPr>
          <w:lang w:val="en-CA"/>
        </w:rPr>
        <w:fldChar w:fldCharType="begin"/>
      </w:r>
      <w:r w:rsidR="00534745">
        <w:rPr>
          <w:lang w:val="en-CA"/>
        </w:rPr>
        <w:instrText xml:space="preserve"> REF _Ref510453043 \r \h </w:instrText>
      </w:r>
      <w:r w:rsidR="00534745">
        <w:rPr>
          <w:lang w:val="en-CA"/>
        </w:rPr>
      </w:r>
      <w:r w:rsidR="00534745">
        <w:rPr>
          <w:lang w:val="en-CA"/>
        </w:rPr>
        <w:fldChar w:fldCharType="separate"/>
      </w:r>
      <w:r w:rsidR="00534745">
        <w:rPr>
          <w:lang w:val="en-CA"/>
        </w:rPr>
        <w:t>[2]</w:t>
      </w:r>
      <w:r w:rsidR="00534745">
        <w:rPr>
          <w:lang w:val="en-CA"/>
        </w:rPr>
        <w:fldChar w:fldCharType="end"/>
      </w:r>
      <w:r>
        <w:rPr>
          <w:lang w:val="en-CA"/>
        </w:rPr>
        <w:t>. The first level is called region tree (RT) for which quad-tree split is used. The second level is denoted as prediction tree</w:t>
      </w:r>
      <w:r w:rsidR="007857F3">
        <w:rPr>
          <w:lang w:val="en-CA"/>
        </w:rPr>
        <w:t xml:space="preserve"> (PT)</w:t>
      </w:r>
      <w:r>
        <w:rPr>
          <w:lang w:val="en-CA"/>
        </w:rPr>
        <w:t xml:space="preserve"> for which binary tree (BT), triple tree (TT) and asymmetric binary tree (ABT) may be used. </w:t>
      </w:r>
    </w:p>
    <w:p w14:paraId="549FD79F" w14:textId="60EAAB58" w:rsidR="00FF44E1" w:rsidRDefault="00FF44E1" w:rsidP="0031636B">
      <w:pPr>
        <w:rPr>
          <w:lang w:val="en-CA"/>
        </w:rPr>
      </w:pPr>
      <w:r>
        <w:rPr>
          <w:lang w:val="en-CA"/>
        </w:rPr>
        <w:t>For a non-square CTU, it is not efficient if RT is kept using quad-tree split</w:t>
      </w:r>
      <w:r w:rsidR="005F3F55">
        <w:rPr>
          <w:lang w:val="en-CA"/>
        </w:rPr>
        <w:t xml:space="preserve"> because </w:t>
      </w:r>
      <w:r w:rsidR="00E24F01">
        <w:rPr>
          <w:lang w:val="en-CA"/>
        </w:rPr>
        <w:t xml:space="preserve">some </w:t>
      </w:r>
      <w:r w:rsidR="00C239F6">
        <w:rPr>
          <w:lang w:val="en-CA"/>
        </w:rPr>
        <w:t>large</w:t>
      </w:r>
      <w:r w:rsidR="00BC37ED">
        <w:rPr>
          <w:lang w:val="en-CA"/>
        </w:rPr>
        <w:t xml:space="preserve"> square partitions are</w:t>
      </w:r>
      <w:r w:rsidR="00C239F6">
        <w:rPr>
          <w:lang w:val="en-CA"/>
        </w:rPr>
        <w:t xml:space="preserve"> </w:t>
      </w:r>
      <w:r w:rsidR="00BC37ED">
        <w:rPr>
          <w:lang w:val="en-CA"/>
        </w:rPr>
        <w:t>not applied</w:t>
      </w:r>
      <w:r>
        <w:rPr>
          <w:lang w:val="en-CA"/>
        </w:rPr>
        <w:t xml:space="preserve">. For example, for a 512×128 CTU, </w:t>
      </w:r>
      <w:r w:rsidR="007857F3">
        <w:rPr>
          <w:lang w:val="en-CA"/>
        </w:rPr>
        <w:t>a quad-tree split leads to four 256×64 sub-blocks</w:t>
      </w:r>
      <w:r w:rsidR="001E1B03">
        <w:rPr>
          <w:lang w:val="en-CA"/>
        </w:rPr>
        <w:t xml:space="preserve"> and 128x128 partitions can </w:t>
      </w:r>
      <w:r w:rsidR="0060786E">
        <w:rPr>
          <w:lang w:val="en-CA"/>
        </w:rPr>
        <w:t>not</w:t>
      </w:r>
      <w:r w:rsidR="001E1B03">
        <w:rPr>
          <w:lang w:val="en-CA"/>
        </w:rPr>
        <w:t xml:space="preserve"> be reached</w:t>
      </w:r>
      <w:r w:rsidR="003A3D2C">
        <w:rPr>
          <w:lang w:val="en-CA"/>
        </w:rPr>
        <w:t xml:space="preserve"> using quad-tree split</w:t>
      </w:r>
      <w:r w:rsidR="007857F3">
        <w:rPr>
          <w:lang w:val="en-CA"/>
        </w:rPr>
        <w:t xml:space="preserve">. </w:t>
      </w:r>
    </w:p>
    <w:p w14:paraId="2184CBAB" w14:textId="56497BDE" w:rsidR="00FF44E1" w:rsidRDefault="00FF44E1" w:rsidP="0031636B">
      <w:pPr>
        <w:rPr>
          <w:lang w:val="en-CA"/>
        </w:rPr>
      </w:pPr>
      <w:r>
        <w:rPr>
          <w:lang w:val="en-CA"/>
        </w:rPr>
        <w:t xml:space="preserve">To solve the issue,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 proposed in JVET-</w:t>
      </w:r>
      <w:r w:rsidR="006A134B">
        <w:rPr>
          <w:lang w:val="en-CA"/>
        </w:rPr>
        <w:t>J00</w:t>
      </w:r>
      <w:r w:rsidR="00DB1ABD">
        <w:rPr>
          <w:lang w:val="en-CA"/>
        </w:rPr>
        <w:t>47</w:t>
      </w:r>
      <w:r w:rsidR="006A134B">
        <w:rPr>
          <w:lang w:val="en-CA"/>
        </w:rPr>
        <w:t xml:space="preserve"> </w:t>
      </w:r>
      <w:r w:rsidR="006A134B">
        <w:rPr>
          <w:lang w:val="en-CA"/>
        </w:rPr>
        <w:fldChar w:fldCharType="begin"/>
      </w:r>
      <w:r w:rsidR="006A134B">
        <w:rPr>
          <w:lang w:val="en-CA"/>
        </w:rPr>
        <w:instrText xml:space="preserve"> REF _Ref510429807 \r \h </w:instrText>
      </w:r>
      <w:r w:rsidR="006A134B">
        <w:rPr>
          <w:lang w:val="en-CA"/>
        </w:rPr>
      </w:r>
      <w:r w:rsidR="006A134B">
        <w:rPr>
          <w:lang w:val="en-CA"/>
        </w:rPr>
        <w:fldChar w:fldCharType="separate"/>
      </w:r>
      <w:r w:rsidR="00534745">
        <w:rPr>
          <w:lang w:val="en-CA"/>
        </w:rPr>
        <w:t>[3]</w:t>
      </w:r>
      <w:r w:rsidR="006A134B">
        <w:rPr>
          <w:lang w:val="en-CA"/>
        </w:rPr>
        <w:fldChar w:fldCharType="end"/>
      </w:r>
      <w:r w:rsidR="006A134B">
        <w:rPr>
          <w:lang w:val="en-CA"/>
        </w:rPr>
        <w:t xml:space="preserve"> </w:t>
      </w:r>
      <w:r>
        <w:rPr>
          <w:lang w:val="en-CA"/>
        </w:rPr>
        <w:t>is used to replace quad-tree</w:t>
      </w:r>
      <w:r w:rsidR="007857F3">
        <w:rPr>
          <w:lang w:val="en-CA"/>
        </w:rPr>
        <w:t xml:space="preserve"> split</w:t>
      </w:r>
      <w:r>
        <w:rPr>
          <w:lang w:val="en-CA"/>
        </w:rPr>
        <w:t xml:space="preserve">. With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, a </w:t>
      </w:r>
      <w:r w:rsidR="007857F3">
        <w:rPr>
          <w:lang w:val="en-CA"/>
        </w:rPr>
        <w:t xml:space="preserve">block is split into </w:t>
      </w:r>
      <w:r>
        <w:rPr>
          <w:lang w:val="en-CA"/>
        </w:rPr>
        <w:t>largest square same-size sub-blocks.</w:t>
      </w:r>
      <w:r w:rsidR="007857F3">
        <w:rPr>
          <w:lang w:val="en-CA"/>
        </w:rPr>
        <w:t xml:space="preserve"> In the example above, the 512×128 CTU is split into four 128×128 sub-blocks with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. It should be noted that for a </w:t>
      </w:r>
      <w:r w:rsidR="007857F3">
        <w:rPr>
          <w:lang w:val="en-CA"/>
        </w:rPr>
        <w:lastRenderedPageBreak/>
        <w:t xml:space="preserve">square CTU,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 has the same splitting results as that of quad-tree split. Therefore,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 may be regarded as a more generic tree type than quad-tree split. In current implementation, the max number of sub-blocks by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 is constrained to </w:t>
      </w:r>
      <w:r w:rsidR="0043639A">
        <w:rPr>
          <w:lang w:val="en-CA"/>
        </w:rPr>
        <w:t xml:space="preserve">be </w:t>
      </w:r>
      <w:r w:rsidR="007857F3">
        <w:rPr>
          <w:lang w:val="en-CA"/>
        </w:rPr>
        <w:t>four.</w:t>
      </w:r>
    </w:p>
    <w:p w14:paraId="0159A884" w14:textId="78FF2792" w:rsidR="007857F3" w:rsidRDefault="007857F3" w:rsidP="0031636B">
      <w:pPr>
        <w:rPr>
          <w:lang w:val="en-CA"/>
        </w:rPr>
      </w:pPr>
      <w:r>
        <w:rPr>
          <w:lang w:val="en-CA"/>
        </w:rPr>
        <w:t xml:space="preserve">In addition,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 is also enabled in prediction level. But it is not allowed when the block width to height ratio is 1:2 or 2:1 as the case is redundant when binary tree is allowed.</w:t>
      </w:r>
    </w:p>
    <w:p w14:paraId="5DAE102D" w14:textId="45A355F1" w:rsidR="00442A4C" w:rsidRDefault="00442A4C" w:rsidP="00442A4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Simulation</w:t>
      </w:r>
      <w:r>
        <w:rPr>
          <w:lang w:val="en-CA"/>
        </w:rPr>
        <w:t xml:space="preserve"> results</w:t>
      </w:r>
      <w:r w:rsidRPr="005B217D">
        <w:rPr>
          <w:lang w:val="en-CA"/>
        </w:rPr>
        <w:t xml:space="preserve"> </w:t>
      </w:r>
    </w:p>
    <w:p w14:paraId="493C6F40" w14:textId="092081EC" w:rsidR="007857F3" w:rsidRDefault="00DB4B29" w:rsidP="00442A4C">
      <w:pPr>
        <w:rPr>
          <w:lang w:val="en-CA"/>
        </w:rPr>
      </w:pPr>
      <w:r>
        <w:rPr>
          <w:lang w:val="en-CA"/>
        </w:rPr>
        <w:t xml:space="preserve">The proposed non-square CTU is implemented on top of </w:t>
      </w:r>
      <w:r w:rsidR="00DA3408">
        <w:rPr>
          <w:lang w:val="en-CA"/>
        </w:rPr>
        <w:t>JVET-J0021</w:t>
      </w:r>
      <w:bookmarkStart w:id="0" w:name="_GoBack"/>
      <w:bookmarkEnd w:id="0"/>
      <w:r>
        <w:rPr>
          <w:lang w:val="en-CA"/>
        </w:rPr>
        <w:t xml:space="preserve">. </w:t>
      </w:r>
      <w:r w:rsidR="00506BFC">
        <w:rPr>
          <w:lang w:val="en-CA"/>
        </w:rPr>
        <w:t>To show the performance of non-square CTU, JVET-</w:t>
      </w:r>
      <w:r w:rsidR="006A134B">
        <w:rPr>
          <w:lang w:val="en-CA"/>
        </w:rPr>
        <w:t>J0021</w:t>
      </w:r>
      <w:r w:rsidR="00506BFC">
        <w:rPr>
          <w:lang w:val="en-CA"/>
        </w:rPr>
        <w:t xml:space="preserve"> low complexity setting (CTU 256×256) with QT+BT enabled (</w:t>
      </w:r>
      <w:proofErr w:type="spellStart"/>
      <w:r w:rsidR="00506BFC">
        <w:rPr>
          <w:lang w:val="en-CA"/>
        </w:rPr>
        <w:t>MTTMode</w:t>
      </w:r>
      <w:proofErr w:type="spellEnd"/>
      <w:r w:rsidR="00506BFC">
        <w:rPr>
          <w:lang w:val="en-CA"/>
        </w:rPr>
        <w:t xml:space="preserve">=3, </w:t>
      </w:r>
      <w:proofErr w:type="spellStart"/>
      <w:r w:rsidR="00506BFC">
        <w:rPr>
          <w:lang w:val="en-CA"/>
        </w:rPr>
        <w:t>MTTModeSecondary</w:t>
      </w:r>
      <w:proofErr w:type="spellEnd"/>
      <w:r w:rsidR="00506BFC">
        <w:rPr>
          <w:lang w:val="en-CA"/>
        </w:rPr>
        <w:t>=3) is used as the anchor. To obtain a fair comparison, a rectangular CTU with the same size, i.e., CTU 512×128</w:t>
      </w:r>
      <w:r w:rsidR="00FD25A1">
        <w:rPr>
          <w:lang w:val="en-CA"/>
        </w:rPr>
        <w:t>,</w:t>
      </w:r>
      <w:r w:rsidR="00506BFC">
        <w:rPr>
          <w:lang w:val="en-CA"/>
        </w:rPr>
        <w:t xml:space="preserve"> is </w:t>
      </w:r>
      <w:r w:rsidR="004543CB">
        <w:rPr>
          <w:lang w:val="en-CA"/>
        </w:rPr>
        <w:t>tested</w:t>
      </w:r>
      <w:r w:rsidR="00506BFC">
        <w:rPr>
          <w:lang w:val="en-CA"/>
        </w:rPr>
        <w:t xml:space="preserve"> while other settings are kept the same.</w:t>
      </w:r>
      <w:r w:rsidR="004543CB">
        <w:rPr>
          <w:lang w:val="en-CA"/>
        </w:rPr>
        <w:t xml:space="preserve"> Note that the max transform size is kept 256×256 in all the tests, which leads to some loss for CTU 512×128.</w:t>
      </w:r>
    </w:p>
    <w:p w14:paraId="354CF384" w14:textId="2761A3E4" w:rsidR="004543CB" w:rsidRDefault="004543CB" w:rsidP="004543CB">
      <w:pPr>
        <w:pStyle w:val="Caption"/>
        <w:keepNext/>
        <w:jc w:val="center"/>
      </w:pPr>
      <w:bookmarkStart w:id="1" w:name="_Ref510108619"/>
      <w:r>
        <w:t xml:space="preserve">Table </w:t>
      </w:r>
      <w:r w:rsidR="006F2F20">
        <w:fldChar w:fldCharType="begin"/>
      </w:r>
      <w:r w:rsidR="006F2F20">
        <w:instrText xml:space="preserve"> SEQ Table \* ARABIC </w:instrText>
      </w:r>
      <w:r w:rsidR="006F2F20">
        <w:fldChar w:fldCharType="separate"/>
      </w:r>
      <w:r w:rsidR="00534745">
        <w:rPr>
          <w:noProof/>
        </w:rPr>
        <w:t>1</w:t>
      </w:r>
      <w:r w:rsidR="006F2F20">
        <w:rPr>
          <w:noProof/>
        </w:rPr>
        <w:fldChar w:fldCharType="end"/>
      </w:r>
      <w:bookmarkEnd w:id="1"/>
      <w:r>
        <w:t xml:space="preserve"> CTU 512</w:t>
      </w:r>
      <w:r>
        <w:rPr>
          <w:lang w:val="en-CA"/>
        </w:rPr>
        <w:t>×</w:t>
      </w:r>
      <w:r>
        <w:t>128 compared to CTU 256</w:t>
      </w:r>
      <w:r>
        <w:rPr>
          <w:lang w:val="en-CA"/>
        </w:rPr>
        <w:t>×</w:t>
      </w:r>
      <w:r>
        <w:t xml:space="preserve">256 with </w:t>
      </w:r>
      <w:proofErr w:type="spellStart"/>
      <w:r>
        <w:t>SplitToSquare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43CB" w:rsidRPr="004543CB" w14:paraId="0BA80BFC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74A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35AA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6C1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693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672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2CE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3CB" w:rsidRPr="004543CB" w14:paraId="25ABFFD3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7E44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UHD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C7A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58F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B00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9E3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604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543CB" w:rsidRPr="004543CB" w14:paraId="4C4F25F8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037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CBF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61E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A3FA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651F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0BB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43CB" w:rsidRPr="004543CB" w14:paraId="391992E7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7C6E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2399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2C9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908B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0FB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DCFC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478C7F1" w14:textId="09ABAD6B" w:rsidR="00506BFC" w:rsidRDefault="004543CB" w:rsidP="004543CB">
      <w:pPr>
        <w:rPr>
          <w:lang w:val="en-CA"/>
        </w:rPr>
      </w:pPr>
      <w:r>
        <w:rPr>
          <w:lang w:val="en-CA"/>
        </w:rPr>
        <w:t xml:space="preserve">From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_Ref510108619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4745">
        <w:t xml:space="preserve">Table </w:t>
      </w:r>
      <w:r w:rsidR="0053474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, it is observed that the proposed non-square CTU 512×128 has comparable coding efficiency to square CTU 256×256 even though no 512</w:t>
      </w:r>
      <w:r w:rsidR="00735238">
        <w:rPr>
          <w:lang w:val="en-CA"/>
        </w:rPr>
        <w:t>-point</w:t>
      </w:r>
      <w:r>
        <w:rPr>
          <w:lang w:val="en-CA"/>
        </w:rPr>
        <w:t xml:space="preserve"> transform is used.</w:t>
      </w:r>
      <w:r w:rsidR="006A134B">
        <w:rPr>
          <w:lang w:val="en-CA"/>
        </w:rPr>
        <w:t xml:space="preserve"> Please note that when no 512-point transform is available, a block with width or height equal to 512 </w:t>
      </w:r>
      <w:proofErr w:type="gramStart"/>
      <w:r w:rsidR="006A134B">
        <w:rPr>
          <w:lang w:val="en-CA"/>
        </w:rPr>
        <w:t>has to</w:t>
      </w:r>
      <w:proofErr w:type="gramEnd"/>
      <w:r w:rsidR="006A134B">
        <w:rPr>
          <w:lang w:val="en-CA"/>
        </w:rPr>
        <w:t xml:space="preserve"> be further split, which leads to coding efficiency drop.</w:t>
      </w:r>
    </w:p>
    <w:p w14:paraId="4B45AF9A" w14:textId="16FE9E35" w:rsidR="004543CB" w:rsidRDefault="004543CB" w:rsidP="004543CB">
      <w:pPr>
        <w:rPr>
          <w:lang w:val="en-CA"/>
        </w:rPr>
      </w:pPr>
      <w:r>
        <w:rPr>
          <w:lang w:val="en-CA"/>
        </w:rPr>
        <w:t xml:space="preserve">To show the efficiency of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>, this tree type is disabled and quad-tree</w:t>
      </w:r>
      <w:r w:rsidR="000734A9">
        <w:rPr>
          <w:lang w:val="en-CA"/>
        </w:rPr>
        <w:t xml:space="preserve"> split</w:t>
      </w:r>
      <w:r>
        <w:rPr>
          <w:lang w:val="en-CA"/>
        </w:rPr>
        <w:t xml:space="preserve"> is used </w:t>
      </w:r>
      <w:r w:rsidR="000734A9">
        <w:rPr>
          <w:lang w:val="en-CA"/>
        </w:rPr>
        <w:t xml:space="preserve">in </w:t>
      </w:r>
      <w:r>
        <w:rPr>
          <w:lang w:val="en-CA"/>
        </w:rPr>
        <w:t xml:space="preserve">the second test.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_Ref510108885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4745">
        <w:t xml:space="preserve">Table </w:t>
      </w:r>
      <w:r w:rsidR="00534745">
        <w:rPr>
          <w:noProof/>
        </w:rPr>
        <w:t>2</w:t>
      </w:r>
      <w:r>
        <w:rPr>
          <w:lang w:val="en-CA"/>
        </w:rPr>
        <w:fldChar w:fldCharType="end"/>
      </w:r>
      <w:r w:rsidR="000734A9">
        <w:rPr>
          <w:lang w:val="en-CA"/>
        </w:rPr>
        <w:t xml:space="preserve"> summarizes the results. As expected, quad-tree split leads to big loss compared to </w:t>
      </w:r>
      <w:proofErr w:type="spellStart"/>
      <w:r w:rsidR="000734A9">
        <w:rPr>
          <w:lang w:val="en-CA"/>
        </w:rPr>
        <w:t>SplitToSquare</w:t>
      </w:r>
      <w:proofErr w:type="spellEnd"/>
      <w:r w:rsidR="000734A9">
        <w:rPr>
          <w:lang w:val="en-CA"/>
        </w:rPr>
        <w:t xml:space="preserve"> when CTU is non-square.</w:t>
      </w:r>
      <w:r w:rsidR="0079267E">
        <w:rPr>
          <w:lang w:val="en-CA"/>
        </w:rPr>
        <w:t xml:space="preserve"> Therefore, </w:t>
      </w:r>
      <w:proofErr w:type="spellStart"/>
      <w:r w:rsidR="0079267E">
        <w:rPr>
          <w:lang w:val="en-CA"/>
        </w:rPr>
        <w:t>SplitToSquare</w:t>
      </w:r>
      <w:proofErr w:type="spellEnd"/>
      <w:r w:rsidR="0079267E">
        <w:rPr>
          <w:lang w:val="en-CA"/>
        </w:rPr>
        <w:t xml:space="preserve"> is necessary in case of non-square CTU.</w:t>
      </w:r>
    </w:p>
    <w:p w14:paraId="4FD4CC47" w14:textId="460FDD58" w:rsidR="004543CB" w:rsidRDefault="004543CB" w:rsidP="004543CB">
      <w:pPr>
        <w:pStyle w:val="Caption"/>
        <w:keepNext/>
        <w:jc w:val="center"/>
      </w:pPr>
      <w:bookmarkStart w:id="2" w:name="_Ref510108885"/>
      <w:r>
        <w:t xml:space="preserve">Table </w:t>
      </w:r>
      <w:r w:rsidR="006F2F20">
        <w:fldChar w:fldCharType="begin"/>
      </w:r>
      <w:r w:rsidR="006F2F20">
        <w:instrText xml:space="preserve"> SEQ Table \* ARABIC </w:instrText>
      </w:r>
      <w:r w:rsidR="006F2F20">
        <w:fldChar w:fldCharType="separate"/>
      </w:r>
      <w:r w:rsidR="00534745">
        <w:rPr>
          <w:noProof/>
        </w:rPr>
        <w:t>2</w:t>
      </w:r>
      <w:r w:rsidR="006F2F20">
        <w:rPr>
          <w:noProof/>
        </w:rPr>
        <w:fldChar w:fldCharType="end"/>
      </w:r>
      <w:bookmarkEnd w:id="2"/>
      <w:r>
        <w:t xml:space="preserve"> CTU 512</w:t>
      </w:r>
      <w:r>
        <w:rPr>
          <w:lang w:val="en-CA"/>
        </w:rPr>
        <w:t>×</w:t>
      </w:r>
      <w:r>
        <w:t>128 compared to CTU 256</w:t>
      </w:r>
      <w:r>
        <w:rPr>
          <w:lang w:val="en-CA"/>
        </w:rPr>
        <w:t>×</w:t>
      </w:r>
      <w:r>
        <w:t>256 with quad-tree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43CB" w:rsidRPr="004543CB" w14:paraId="66C2A7DD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A4F1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8B2A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AD64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94B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823F1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D13C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3CB" w:rsidRPr="004543CB" w14:paraId="0A377596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A48D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UHD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B88D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ED953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825B83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861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B722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43CB" w:rsidRPr="004543CB" w14:paraId="1389F448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B3FE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3C919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56BC4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816409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4CE3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935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43CB" w:rsidRPr="004543CB" w14:paraId="6BD6A930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D1DD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1D7C1F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2F76A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E7796D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0A23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BBC2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3E6B6026" w14:textId="4519B390" w:rsidR="00442A4C" w:rsidRDefault="00442A4C" w:rsidP="00442A4C">
      <w:pPr>
        <w:pStyle w:val="Heading1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3D0CC602" w14:textId="17C4A027" w:rsidR="00132DCC" w:rsidRPr="002E5145" w:rsidRDefault="00132DCC" w:rsidP="002E5145">
      <w:pPr>
        <w:rPr>
          <w:lang w:val="en-CA"/>
        </w:rPr>
      </w:pPr>
      <w:r>
        <w:rPr>
          <w:lang w:val="en-CA"/>
        </w:rPr>
        <w:t>In some video codec implementations, non-square CTU is preferred. Therefore</w:t>
      </w:r>
      <w:r w:rsidR="00407452">
        <w:rPr>
          <w:lang w:val="en-CA"/>
        </w:rPr>
        <w:t>,</w:t>
      </w:r>
      <w:r>
        <w:rPr>
          <w:lang w:val="en-CA"/>
        </w:rPr>
        <w:t xml:space="preserve"> in this contribution, the feature of non-square CTU is </w:t>
      </w:r>
      <w:r w:rsidR="00DB4B29">
        <w:rPr>
          <w:lang w:val="en-CA"/>
        </w:rPr>
        <w:t xml:space="preserve">implemented </w:t>
      </w:r>
      <w:r>
        <w:rPr>
          <w:lang w:val="en-CA"/>
        </w:rPr>
        <w:t>on top of JVET-</w:t>
      </w:r>
      <w:r w:rsidR="006A134B">
        <w:rPr>
          <w:lang w:val="en-CA"/>
        </w:rPr>
        <w:t>J0021</w:t>
      </w:r>
      <w:r>
        <w:rPr>
          <w:lang w:val="en-CA"/>
        </w:rPr>
        <w:t xml:space="preserve">. It is reported that similar coding performance to that of square CTU is achieved with the help of newly introduced tree type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. It is proposed to further study non-square CTU and tree type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>.</w:t>
      </w:r>
    </w:p>
    <w:p w14:paraId="0FA7D1FA" w14:textId="77777777" w:rsidR="005E4881" w:rsidRDefault="005E4881" w:rsidP="005E488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67064A" w14:textId="317937C6" w:rsidR="005E4881" w:rsidRDefault="000F5908" w:rsidP="000F5908">
      <w:pPr>
        <w:numPr>
          <w:ilvl w:val="0"/>
          <w:numId w:val="12"/>
        </w:numPr>
        <w:rPr>
          <w:lang w:val="en-CA"/>
        </w:rPr>
      </w:pPr>
      <w:bookmarkStart w:id="3" w:name="_Ref510103164"/>
      <w:r>
        <w:rPr>
          <w:lang w:val="en-CA"/>
        </w:rPr>
        <w:t xml:space="preserve">x265 document: threading, </w:t>
      </w:r>
      <w:hyperlink r:id="rId10" w:history="1">
        <w:r w:rsidR="00534745" w:rsidRPr="00FE7B3D">
          <w:rPr>
            <w:rStyle w:val="Hyperlink"/>
            <w:lang w:val="en-CA"/>
          </w:rPr>
          <w:t>http://x265.readthedocs.io/en/default/threading.html</w:t>
        </w:r>
      </w:hyperlink>
      <w:bookmarkEnd w:id="3"/>
      <w:r>
        <w:rPr>
          <w:lang w:val="en-CA"/>
        </w:rPr>
        <w:t xml:space="preserve"> </w:t>
      </w:r>
    </w:p>
    <w:p w14:paraId="5700FB78" w14:textId="7A4A46BE" w:rsidR="000F5908" w:rsidRPr="00534745" w:rsidRDefault="00DA5350" w:rsidP="00534745">
      <w:pPr>
        <w:numPr>
          <w:ilvl w:val="0"/>
          <w:numId w:val="12"/>
        </w:numPr>
        <w:rPr>
          <w:lang w:val="en-CA"/>
        </w:rPr>
      </w:pPr>
      <w:bookmarkStart w:id="4" w:name="_Ref510453043"/>
      <w:r w:rsidRPr="00534745">
        <w:rPr>
          <w:lang w:val="en-CA"/>
        </w:rPr>
        <w:t xml:space="preserve">M. Karczewicz, </w:t>
      </w:r>
      <w:r w:rsidR="00534745" w:rsidRPr="00534745">
        <w:rPr>
          <w:lang w:val="en-CA"/>
        </w:rPr>
        <w:t xml:space="preserve">et al, “Description of SDR, HDR and 360° video coding technology proposal by Qualcomm and Technicolor – low and high complexity versions”, doc. </w:t>
      </w:r>
      <w:r w:rsidR="00FF44E1" w:rsidRPr="00534745">
        <w:rPr>
          <w:lang w:val="en-CA"/>
        </w:rPr>
        <w:t>JVET-</w:t>
      </w:r>
      <w:r w:rsidR="006A134B" w:rsidRPr="00534745">
        <w:rPr>
          <w:lang w:val="en-CA"/>
        </w:rPr>
        <w:t xml:space="preserve">J0021, </w:t>
      </w:r>
      <w:r w:rsidR="00534745" w:rsidRPr="00534745">
        <w:rPr>
          <w:lang w:val="en-CA"/>
        </w:rPr>
        <w:t>April 2018.</w:t>
      </w:r>
      <w:bookmarkEnd w:id="4"/>
    </w:p>
    <w:p w14:paraId="096CA336" w14:textId="5760B9D0" w:rsidR="00FF44E1" w:rsidRPr="00DB1ABD" w:rsidRDefault="006A134B" w:rsidP="006A134B">
      <w:pPr>
        <w:numPr>
          <w:ilvl w:val="0"/>
          <w:numId w:val="12"/>
        </w:numPr>
        <w:rPr>
          <w:lang w:val="en-CA"/>
        </w:rPr>
      </w:pPr>
      <w:bookmarkStart w:id="5" w:name="_Ref510429807"/>
      <w:r w:rsidRPr="00DB1ABD">
        <w:rPr>
          <w:lang w:val="en-CA"/>
        </w:rPr>
        <w:t xml:space="preserve">X. Li, X. Xu, X. Zhao, J. Ye, L. Zhao, S. Liu, M. Xu, G. Li, “Improvement on top of Tencent’s </w:t>
      </w:r>
      <w:proofErr w:type="spellStart"/>
      <w:r w:rsidRPr="00DB1ABD">
        <w:rPr>
          <w:lang w:val="en-CA"/>
        </w:rPr>
        <w:t>CfP</w:t>
      </w:r>
      <w:proofErr w:type="spellEnd"/>
      <w:r w:rsidRPr="00DB1ABD">
        <w:rPr>
          <w:lang w:val="en-CA"/>
        </w:rPr>
        <w:t xml:space="preserve"> response”, doc. JVET-J00</w:t>
      </w:r>
      <w:r w:rsidR="00DB1ABD" w:rsidRPr="00DB1ABD">
        <w:rPr>
          <w:lang w:val="en-CA"/>
        </w:rPr>
        <w:t>47</w:t>
      </w:r>
      <w:r w:rsidRPr="00DB1ABD">
        <w:rPr>
          <w:lang w:val="en-CA"/>
        </w:rPr>
        <w:t>, April 2018.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7062EEE" w:rsidR="00342FF4" w:rsidRPr="005B217D" w:rsidRDefault="006D59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EE6CB" w14:textId="77777777" w:rsidR="006F2F20" w:rsidRDefault="006F2F20">
      <w:r>
        <w:separator/>
      </w:r>
    </w:p>
  </w:endnote>
  <w:endnote w:type="continuationSeparator" w:id="0">
    <w:p w14:paraId="28B66541" w14:textId="77777777" w:rsidR="006F2F20" w:rsidRDefault="006F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2182F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340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3BF3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21358" w14:textId="77777777" w:rsidR="006F2F20" w:rsidRDefault="006F2F20">
      <w:r>
        <w:separator/>
      </w:r>
    </w:p>
  </w:footnote>
  <w:footnote w:type="continuationSeparator" w:id="0">
    <w:p w14:paraId="71A104B0" w14:textId="77777777" w:rsidR="006F2F20" w:rsidRDefault="006F2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B2FE2"/>
    <w:multiLevelType w:val="hybridMultilevel"/>
    <w:tmpl w:val="345AEBFE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372C"/>
    <w:rsid w:val="000308A3"/>
    <w:rsid w:val="000354DB"/>
    <w:rsid w:val="00036F5F"/>
    <w:rsid w:val="000458BC"/>
    <w:rsid w:val="00045C41"/>
    <w:rsid w:val="00046C03"/>
    <w:rsid w:val="00051A9D"/>
    <w:rsid w:val="00065039"/>
    <w:rsid w:val="000734A9"/>
    <w:rsid w:val="0007614F"/>
    <w:rsid w:val="00090596"/>
    <w:rsid w:val="0009383E"/>
    <w:rsid w:val="000A2A61"/>
    <w:rsid w:val="000B0C0F"/>
    <w:rsid w:val="000B1C6B"/>
    <w:rsid w:val="000B4FF9"/>
    <w:rsid w:val="000C09AC"/>
    <w:rsid w:val="000C6809"/>
    <w:rsid w:val="000E00F3"/>
    <w:rsid w:val="000F158C"/>
    <w:rsid w:val="000F5908"/>
    <w:rsid w:val="00102F3D"/>
    <w:rsid w:val="00124E38"/>
    <w:rsid w:val="0012580B"/>
    <w:rsid w:val="00125C37"/>
    <w:rsid w:val="00131F90"/>
    <w:rsid w:val="00132DCC"/>
    <w:rsid w:val="0013458C"/>
    <w:rsid w:val="0013526E"/>
    <w:rsid w:val="00146152"/>
    <w:rsid w:val="00147AEE"/>
    <w:rsid w:val="001520B1"/>
    <w:rsid w:val="00155526"/>
    <w:rsid w:val="00167BAD"/>
    <w:rsid w:val="00171371"/>
    <w:rsid w:val="00175A24"/>
    <w:rsid w:val="00187E58"/>
    <w:rsid w:val="001A297E"/>
    <w:rsid w:val="001A368E"/>
    <w:rsid w:val="001A61C8"/>
    <w:rsid w:val="001A7329"/>
    <w:rsid w:val="001A792F"/>
    <w:rsid w:val="001B4E28"/>
    <w:rsid w:val="001B7B7F"/>
    <w:rsid w:val="001C3525"/>
    <w:rsid w:val="001C3AFB"/>
    <w:rsid w:val="001D1BD2"/>
    <w:rsid w:val="001E02BE"/>
    <w:rsid w:val="001E1B03"/>
    <w:rsid w:val="001E3B37"/>
    <w:rsid w:val="001F2594"/>
    <w:rsid w:val="002055A6"/>
    <w:rsid w:val="00206460"/>
    <w:rsid w:val="002069B4"/>
    <w:rsid w:val="002147D6"/>
    <w:rsid w:val="00215DFC"/>
    <w:rsid w:val="002212DF"/>
    <w:rsid w:val="00222CD4"/>
    <w:rsid w:val="00225016"/>
    <w:rsid w:val="002264A6"/>
    <w:rsid w:val="00227BA7"/>
    <w:rsid w:val="0023011C"/>
    <w:rsid w:val="002313CA"/>
    <w:rsid w:val="002375C1"/>
    <w:rsid w:val="00263398"/>
    <w:rsid w:val="00266F06"/>
    <w:rsid w:val="00270954"/>
    <w:rsid w:val="00275BCF"/>
    <w:rsid w:val="0028450A"/>
    <w:rsid w:val="0028623B"/>
    <w:rsid w:val="00291E36"/>
    <w:rsid w:val="00292257"/>
    <w:rsid w:val="002A54E0"/>
    <w:rsid w:val="002B1595"/>
    <w:rsid w:val="002B191D"/>
    <w:rsid w:val="002C2A45"/>
    <w:rsid w:val="002D0AF6"/>
    <w:rsid w:val="002D28A7"/>
    <w:rsid w:val="002D3795"/>
    <w:rsid w:val="002E209B"/>
    <w:rsid w:val="002E5145"/>
    <w:rsid w:val="002F164D"/>
    <w:rsid w:val="003021BC"/>
    <w:rsid w:val="00306206"/>
    <w:rsid w:val="003070D1"/>
    <w:rsid w:val="00312E87"/>
    <w:rsid w:val="0031636B"/>
    <w:rsid w:val="00317D85"/>
    <w:rsid w:val="00327C56"/>
    <w:rsid w:val="003315A1"/>
    <w:rsid w:val="00333C2B"/>
    <w:rsid w:val="003373EC"/>
    <w:rsid w:val="00342FF4"/>
    <w:rsid w:val="00343927"/>
    <w:rsid w:val="00346148"/>
    <w:rsid w:val="00362808"/>
    <w:rsid w:val="003657F6"/>
    <w:rsid w:val="003669EA"/>
    <w:rsid w:val="003706CC"/>
    <w:rsid w:val="00377710"/>
    <w:rsid w:val="003A2D8E"/>
    <w:rsid w:val="003A3D2C"/>
    <w:rsid w:val="003A4405"/>
    <w:rsid w:val="003A4CCB"/>
    <w:rsid w:val="003A5342"/>
    <w:rsid w:val="003A7CE6"/>
    <w:rsid w:val="003C20E4"/>
    <w:rsid w:val="003C4F92"/>
    <w:rsid w:val="003D6342"/>
    <w:rsid w:val="003D6ABA"/>
    <w:rsid w:val="003E6857"/>
    <w:rsid w:val="003E6F90"/>
    <w:rsid w:val="003F1C68"/>
    <w:rsid w:val="003F5D0F"/>
    <w:rsid w:val="00407452"/>
    <w:rsid w:val="00414101"/>
    <w:rsid w:val="004219CF"/>
    <w:rsid w:val="004234F0"/>
    <w:rsid w:val="00423E98"/>
    <w:rsid w:val="00433DDB"/>
    <w:rsid w:val="004356A6"/>
    <w:rsid w:val="00435A29"/>
    <w:rsid w:val="0043639A"/>
    <w:rsid w:val="00437619"/>
    <w:rsid w:val="00442A4C"/>
    <w:rsid w:val="00447280"/>
    <w:rsid w:val="004543CB"/>
    <w:rsid w:val="00465A1E"/>
    <w:rsid w:val="004741B7"/>
    <w:rsid w:val="00484E75"/>
    <w:rsid w:val="004A2A63"/>
    <w:rsid w:val="004B210C"/>
    <w:rsid w:val="004C7B71"/>
    <w:rsid w:val="004D405F"/>
    <w:rsid w:val="004E4F4F"/>
    <w:rsid w:val="004E6789"/>
    <w:rsid w:val="004F1EB7"/>
    <w:rsid w:val="004F61E3"/>
    <w:rsid w:val="00502E10"/>
    <w:rsid w:val="00506BFC"/>
    <w:rsid w:val="0051015C"/>
    <w:rsid w:val="00516CF1"/>
    <w:rsid w:val="00521AF6"/>
    <w:rsid w:val="00531AE9"/>
    <w:rsid w:val="00534745"/>
    <w:rsid w:val="00550A66"/>
    <w:rsid w:val="00553BF3"/>
    <w:rsid w:val="00567EC7"/>
    <w:rsid w:val="00570013"/>
    <w:rsid w:val="00570244"/>
    <w:rsid w:val="005801A2"/>
    <w:rsid w:val="005843D7"/>
    <w:rsid w:val="005952A5"/>
    <w:rsid w:val="005A33A1"/>
    <w:rsid w:val="005A6318"/>
    <w:rsid w:val="005B217D"/>
    <w:rsid w:val="005C385F"/>
    <w:rsid w:val="005C7B76"/>
    <w:rsid w:val="005D0B50"/>
    <w:rsid w:val="005E1AC6"/>
    <w:rsid w:val="005E1FDC"/>
    <w:rsid w:val="005E4881"/>
    <w:rsid w:val="005F3F55"/>
    <w:rsid w:val="005F621E"/>
    <w:rsid w:val="005F6F1B"/>
    <w:rsid w:val="0060786E"/>
    <w:rsid w:val="00613036"/>
    <w:rsid w:val="00615995"/>
    <w:rsid w:val="00616155"/>
    <w:rsid w:val="00624B33"/>
    <w:rsid w:val="0063041A"/>
    <w:rsid w:val="00630AA2"/>
    <w:rsid w:val="00646707"/>
    <w:rsid w:val="00654F0E"/>
    <w:rsid w:val="00657F7E"/>
    <w:rsid w:val="00662E58"/>
    <w:rsid w:val="006637F2"/>
    <w:rsid w:val="006642A5"/>
    <w:rsid w:val="00664DCF"/>
    <w:rsid w:val="00671970"/>
    <w:rsid w:val="00680AD0"/>
    <w:rsid w:val="006A134B"/>
    <w:rsid w:val="006C5D39"/>
    <w:rsid w:val="006C75E4"/>
    <w:rsid w:val="006D53A2"/>
    <w:rsid w:val="006D5927"/>
    <w:rsid w:val="006D6D9B"/>
    <w:rsid w:val="006E0597"/>
    <w:rsid w:val="006E2810"/>
    <w:rsid w:val="006E5417"/>
    <w:rsid w:val="006F2F20"/>
    <w:rsid w:val="007023DE"/>
    <w:rsid w:val="00712F60"/>
    <w:rsid w:val="00720E3B"/>
    <w:rsid w:val="00734786"/>
    <w:rsid w:val="00735238"/>
    <w:rsid w:val="0074393F"/>
    <w:rsid w:val="00745F6B"/>
    <w:rsid w:val="0075585E"/>
    <w:rsid w:val="00764809"/>
    <w:rsid w:val="00764D18"/>
    <w:rsid w:val="00765F06"/>
    <w:rsid w:val="007665CD"/>
    <w:rsid w:val="00770571"/>
    <w:rsid w:val="007768FF"/>
    <w:rsid w:val="007824D3"/>
    <w:rsid w:val="007857F3"/>
    <w:rsid w:val="0079267E"/>
    <w:rsid w:val="00796EE3"/>
    <w:rsid w:val="007A08DF"/>
    <w:rsid w:val="007A7D29"/>
    <w:rsid w:val="007B25A2"/>
    <w:rsid w:val="007B4AB8"/>
    <w:rsid w:val="007D1181"/>
    <w:rsid w:val="007D21CA"/>
    <w:rsid w:val="007D31E6"/>
    <w:rsid w:val="007E01A3"/>
    <w:rsid w:val="007F1F8B"/>
    <w:rsid w:val="007F67A1"/>
    <w:rsid w:val="00811C05"/>
    <w:rsid w:val="008206C8"/>
    <w:rsid w:val="00823DA2"/>
    <w:rsid w:val="0083703A"/>
    <w:rsid w:val="00842D93"/>
    <w:rsid w:val="00844952"/>
    <w:rsid w:val="0085568E"/>
    <w:rsid w:val="0086387C"/>
    <w:rsid w:val="0086463D"/>
    <w:rsid w:val="008666BE"/>
    <w:rsid w:val="00874A6C"/>
    <w:rsid w:val="00876C65"/>
    <w:rsid w:val="008A3229"/>
    <w:rsid w:val="008A4B4C"/>
    <w:rsid w:val="008B6FE8"/>
    <w:rsid w:val="008C239F"/>
    <w:rsid w:val="008D2A2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5C8"/>
    <w:rsid w:val="009721EF"/>
    <w:rsid w:val="00977C16"/>
    <w:rsid w:val="0098551D"/>
    <w:rsid w:val="0099518F"/>
    <w:rsid w:val="009A523D"/>
    <w:rsid w:val="009A5DF7"/>
    <w:rsid w:val="009B02A1"/>
    <w:rsid w:val="009D6DCE"/>
    <w:rsid w:val="009D7CE6"/>
    <w:rsid w:val="009F496B"/>
    <w:rsid w:val="00A01439"/>
    <w:rsid w:val="00A01C1C"/>
    <w:rsid w:val="00A02E61"/>
    <w:rsid w:val="00A05CFF"/>
    <w:rsid w:val="00A114A2"/>
    <w:rsid w:val="00A13048"/>
    <w:rsid w:val="00A16569"/>
    <w:rsid w:val="00A204DB"/>
    <w:rsid w:val="00A45B57"/>
    <w:rsid w:val="00A46843"/>
    <w:rsid w:val="00A56B97"/>
    <w:rsid w:val="00A6093D"/>
    <w:rsid w:val="00A767DC"/>
    <w:rsid w:val="00A76A6D"/>
    <w:rsid w:val="00A83253"/>
    <w:rsid w:val="00A8759B"/>
    <w:rsid w:val="00A950B4"/>
    <w:rsid w:val="00AA0115"/>
    <w:rsid w:val="00AA6E84"/>
    <w:rsid w:val="00AB1A1C"/>
    <w:rsid w:val="00AC1CE5"/>
    <w:rsid w:val="00AC6F8A"/>
    <w:rsid w:val="00AD05A8"/>
    <w:rsid w:val="00AE341B"/>
    <w:rsid w:val="00B07CA7"/>
    <w:rsid w:val="00B1079F"/>
    <w:rsid w:val="00B1279A"/>
    <w:rsid w:val="00B34E65"/>
    <w:rsid w:val="00B4194A"/>
    <w:rsid w:val="00B42B32"/>
    <w:rsid w:val="00B437E8"/>
    <w:rsid w:val="00B5222E"/>
    <w:rsid w:val="00B53179"/>
    <w:rsid w:val="00B600CD"/>
    <w:rsid w:val="00B61C96"/>
    <w:rsid w:val="00B7178F"/>
    <w:rsid w:val="00B73A2A"/>
    <w:rsid w:val="00B75A51"/>
    <w:rsid w:val="00B827C6"/>
    <w:rsid w:val="00B94B06"/>
    <w:rsid w:val="00B94C28"/>
    <w:rsid w:val="00BC10BA"/>
    <w:rsid w:val="00BC37ED"/>
    <w:rsid w:val="00BC5AFD"/>
    <w:rsid w:val="00BD0FCE"/>
    <w:rsid w:val="00BE1C14"/>
    <w:rsid w:val="00C00DDE"/>
    <w:rsid w:val="00C04F43"/>
    <w:rsid w:val="00C0609D"/>
    <w:rsid w:val="00C115AB"/>
    <w:rsid w:val="00C239F6"/>
    <w:rsid w:val="00C26CCB"/>
    <w:rsid w:val="00C30249"/>
    <w:rsid w:val="00C3723B"/>
    <w:rsid w:val="00C42466"/>
    <w:rsid w:val="00C46F4B"/>
    <w:rsid w:val="00C606C9"/>
    <w:rsid w:val="00C62469"/>
    <w:rsid w:val="00C80288"/>
    <w:rsid w:val="00C84003"/>
    <w:rsid w:val="00C90650"/>
    <w:rsid w:val="00C97D78"/>
    <w:rsid w:val="00CB7AB4"/>
    <w:rsid w:val="00CC2AAE"/>
    <w:rsid w:val="00CC5A42"/>
    <w:rsid w:val="00CD0EAB"/>
    <w:rsid w:val="00CD0FD9"/>
    <w:rsid w:val="00CE01FA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6131"/>
    <w:rsid w:val="00D652C5"/>
    <w:rsid w:val="00D807BF"/>
    <w:rsid w:val="00D82FCC"/>
    <w:rsid w:val="00DA17FC"/>
    <w:rsid w:val="00DA3408"/>
    <w:rsid w:val="00DA5350"/>
    <w:rsid w:val="00DA58C8"/>
    <w:rsid w:val="00DA7887"/>
    <w:rsid w:val="00DB1ABD"/>
    <w:rsid w:val="00DB2C26"/>
    <w:rsid w:val="00DB4B29"/>
    <w:rsid w:val="00DC0BF9"/>
    <w:rsid w:val="00DD02F4"/>
    <w:rsid w:val="00DD1750"/>
    <w:rsid w:val="00DD6622"/>
    <w:rsid w:val="00DE1C7C"/>
    <w:rsid w:val="00DE6B43"/>
    <w:rsid w:val="00DF2C79"/>
    <w:rsid w:val="00E11923"/>
    <w:rsid w:val="00E1547B"/>
    <w:rsid w:val="00E24F01"/>
    <w:rsid w:val="00E262D4"/>
    <w:rsid w:val="00E36250"/>
    <w:rsid w:val="00E47F2D"/>
    <w:rsid w:val="00E51897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4979"/>
    <w:rsid w:val="00EE7CD8"/>
    <w:rsid w:val="00EF48CC"/>
    <w:rsid w:val="00F002B6"/>
    <w:rsid w:val="00F00801"/>
    <w:rsid w:val="00F207CC"/>
    <w:rsid w:val="00F21B5F"/>
    <w:rsid w:val="00F2488D"/>
    <w:rsid w:val="00F50F30"/>
    <w:rsid w:val="00F601A0"/>
    <w:rsid w:val="00F63085"/>
    <w:rsid w:val="00F70695"/>
    <w:rsid w:val="00F712E9"/>
    <w:rsid w:val="00F724C0"/>
    <w:rsid w:val="00F73032"/>
    <w:rsid w:val="00F826F1"/>
    <w:rsid w:val="00F848FC"/>
    <w:rsid w:val="00F906F6"/>
    <w:rsid w:val="00F9282A"/>
    <w:rsid w:val="00F96BAD"/>
    <w:rsid w:val="00FA139D"/>
    <w:rsid w:val="00FA6AA2"/>
    <w:rsid w:val="00FB0E84"/>
    <w:rsid w:val="00FC10EB"/>
    <w:rsid w:val="00FC31C1"/>
    <w:rsid w:val="00FC3BEB"/>
    <w:rsid w:val="00FD01C2"/>
    <w:rsid w:val="00FD10F7"/>
    <w:rsid w:val="00FD25A1"/>
    <w:rsid w:val="00FE595C"/>
    <w:rsid w:val="00FE6828"/>
    <w:rsid w:val="00FF0CE3"/>
    <w:rsid w:val="00FF44E1"/>
    <w:rsid w:val="00FF62DF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A204DB"/>
    <w:rPr>
      <w:color w:val="808080"/>
      <w:shd w:val="clear" w:color="auto" w:fill="E6E6E6"/>
    </w:rPr>
  </w:style>
  <w:style w:type="character" w:styleId="CommentReference">
    <w:name w:val="annotation reference"/>
    <w:rsid w:val="00423E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3E98"/>
    <w:rPr>
      <w:sz w:val="20"/>
    </w:rPr>
  </w:style>
  <w:style w:type="character" w:customStyle="1" w:styleId="CommentTextChar">
    <w:name w:val="Comment Text Char"/>
    <w:link w:val="CommentText"/>
    <w:rsid w:val="00423E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3E98"/>
    <w:rPr>
      <w:b/>
      <w:bCs/>
    </w:rPr>
  </w:style>
  <w:style w:type="character" w:customStyle="1" w:styleId="CommentSubjectChar">
    <w:name w:val="Comment Subject Char"/>
    <w:link w:val="CommentSubject"/>
    <w:rsid w:val="00423E98"/>
    <w:rPr>
      <w:b/>
      <w:bCs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4543CB"/>
    <w:rPr>
      <w:b/>
      <w:bCs/>
      <w:sz w:val="20"/>
    </w:rPr>
  </w:style>
  <w:style w:type="paragraph" w:styleId="Revision">
    <w:name w:val="Revision"/>
    <w:hidden/>
    <w:uiPriority w:val="99"/>
    <w:semiHidden/>
    <w:rsid w:val="006A134B"/>
    <w:rPr>
      <w:sz w:val="22"/>
      <w:lang w:eastAsia="en-US"/>
    </w:rPr>
  </w:style>
  <w:style w:type="character" w:styleId="Emphasis">
    <w:name w:val="Emphasis"/>
    <w:uiPriority w:val="20"/>
    <w:qFormat/>
    <w:rsid w:val="00534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x265.readthedocs.io/en/default/threading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18ED2-0978-4088-80D1-8EC3D01E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190</cp:revision>
  <cp:lastPrinted>1900-01-01T08:00:00Z</cp:lastPrinted>
  <dcterms:created xsi:type="dcterms:W3CDTF">2017-12-03T02:45:00Z</dcterms:created>
  <dcterms:modified xsi:type="dcterms:W3CDTF">2018-04-14T05:08:00Z</dcterms:modified>
</cp:coreProperties>
</file>