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5F1889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5F1889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5F1889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5F1889">
              <w:rPr>
                <w:b/>
                <w:smallCaps/>
                <w:sz w:val="20"/>
                <w:szCs w:val="19"/>
              </w:rPr>
              <w:t xml:space="preserve"> 1, </w:t>
            </w:r>
            <w:r w:rsidRPr="005F1889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5F1889">
              <w:rPr>
                <w:b/>
                <w:smallCaps/>
                <w:sz w:val="20"/>
                <w:szCs w:val="19"/>
              </w:rPr>
              <w:t>1</w:t>
            </w:r>
            <w:r w:rsidRPr="005F1889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5F1889" w:rsidRDefault="006C499C" w:rsidP="007D1E08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5F1889">
              <w:rPr>
                <w:b/>
                <w:bCs/>
                <w:sz w:val="40"/>
              </w:rPr>
              <w:t>AVD</w:t>
            </w:r>
            <w:r w:rsidR="002D09A6" w:rsidRPr="005F1889">
              <w:rPr>
                <w:b/>
                <w:bCs/>
                <w:sz w:val="40"/>
              </w:rPr>
              <w:t>-4</w:t>
            </w:r>
            <w:r w:rsidR="007D1E08" w:rsidRPr="005F1889">
              <w:rPr>
                <w:b/>
                <w:bCs/>
                <w:sz w:val="40"/>
              </w:rPr>
              <w:t>744</w:t>
            </w:r>
            <w:bookmarkEnd w:id="2"/>
          </w:p>
        </w:tc>
      </w:tr>
      <w:tr w:rsidR="006C499C" w:rsidRPr="005F1889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5F1889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5F1889">
              <w:rPr>
                <w:b/>
                <w:bCs/>
                <w:sz w:val="26"/>
              </w:rPr>
              <w:t>TELECOMMUNICATION</w:t>
            </w:r>
            <w:r w:rsidRPr="005F1889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5F1889" w:rsidRDefault="006C499C" w:rsidP="004F3600">
            <w:pPr>
              <w:rPr>
                <w:smallCaps/>
                <w:sz w:val="20"/>
              </w:rPr>
            </w:pPr>
            <w:r w:rsidRPr="005F1889">
              <w:rPr>
                <w:sz w:val="20"/>
              </w:rPr>
              <w:t>STUDY PERIOD 20</w:t>
            </w:r>
            <w:r w:rsidR="004F3600" w:rsidRPr="005F1889">
              <w:rPr>
                <w:sz w:val="20"/>
              </w:rPr>
              <w:t>13</w:t>
            </w:r>
            <w:r w:rsidRPr="005F1889">
              <w:rPr>
                <w:sz w:val="20"/>
              </w:rPr>
              <w:t>-20</w:t>
            </w:r>
            <w:r w:rsidR="005066C3" w:rsidRPr="005F1889">
              <w:rPr>
                <w:sz w:val="20"/>
              </w:rPr>
              <w:t>1</w:t>
            </w:r>
            <w:r w:rsidR="004F3600" w:rsidRPr="005F1889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5F1889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5F1889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5F1889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5F1889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5F1889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5F1889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5F1889" w:rsidTr="009F5199">
        <w:trPr>
          <w:cantSplit/>
          <w:trHeight w:val="357"/>
        </w:trPr>
        <w:tc>
          <w:tcPr>
            <w:tcW w:w="1617" w:type="dxa"/>
          </w:tcPr>
          <w:p w:rsidR="00DE2128" w:rsidRPr="005F1889" w:rsidRDefault="00DE2128" w:rsidP="009F5199">
            <w:pPr>
              <w:rPr>
                <w:b/>
                <w:bCs/>
              </w:rPr>
            </w:pPr>
            <w:r w:rsidRPr="005F1889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5F1889" w:rsidRDefault="00DE2128" w:rsidP="009F5199">
            <w:r w:rsidRPr="005F1889">
              <w:t>3</w:t>
            </w:r>
            <w:r w:rsidR="005F1889" w:rsidRPr="005F1889">
              <w:t>/16</w:t>
            </w:r>
          </w:p>
        </w:tc>
        <w:tc>
          <w:tcPr>
            <w:tcW w:w="5276" w:type="dxa"/>
            <w:gridSpan w:val="3"/>
          </w:tcPr>
          <w:p w:rsidR="00DE2128" w:rsidRPr="005F1889" w:rsidRDefault="0050633F" w:rsidP="008B3A0B">
            <w:pPr>
              <w:wordWrap w:val="0"/>
              <w:jc w:val="right"/>
              <w:rPr>
                <w:szCs w:val="24"/>
              </w:rPr>
            </w:pPr>
            <w:r w:rsidRPr="005F1889">
              <w:rPr>
                <w:rFonts w:eastAsia="Malgun Gothic"/>
                <w:szCs w:val="24"/>
                <w:lang w:eastAsia="ko-KR"/>
              </w:rPr>
              <w:t>Chengdu</w:t>
            </w:r>
            <w:r w:rsidR="00B05B56" w:rsidRPr="005F1889">
              <w:rPr>
                <w:rFonts w:eastAsia="Malgun Gothic"/>
                <w:szCs w:val="24"/>
                <w:lang w:eastAsia="ko-KR"/>
              </w:rPr>
              <w:t xml:space="preserve"> (China), 8 - 12 June 2015</w:t>
            </w:r>
          </w:p>
        </w:tc>
      </w:tr>
      <w:tr w:rsidR="00DE2128" w:rsidRPr="005F1889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5F1889" w:rsidRDefault="00DE2128" w:rsidP="009F5199">
            <w:pPr>
              <w:jc w:val="center"/>
              <w:rPr>
                <w:b/>
                <w:bCs/>
              </w:rPr>
            </w:pPr>
            <w:r w:rsidRPr="005F1889">
              <w:rPr>
                <w:b/>
                <w:bCs/>
              </w:rPr>
              <w:t>RAPPORTEUR MEETING DOCUMENT</w:t>
            </w:r>
          </w:p>
        </w:tc>
      </w:tr>
      <w:tr w:rsidR="00DE2128" w:rsidRPr="005F1889" w:rsidTr="009F5199">
        <w:trPr>
          <w:cantSplit/>
          <w:trHeight w:val="357"/>
        </w:trPr>
        <w:tc>
          <w:tcPr>
            <w:tcW w:w="1617" w:type="dxa"/>
          </w:tcPr>
          <w:p w:rsidR="00DE2128" w:rsidRPr="005F1889" w:rsidRDefault="00DE2128" w:rsidP="009F5199">
            <w:pPr>
              <w:rPr>
                <w:b/>
                <w:bCs/>
              </w:rPr>
            </w:pPr>
            <w:r w:rsidRPr="005F1889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5F1889" w:rsidRDefault="00DE2128" w:rsidP="009F5199">
            <w:r w:rsidRPr="005F1889">
              <w:t>ALCATEL-LUCENT</w:t>
            </w:r>
          </w:p>
        </w:tc>
      </w:tr>
      <w:tr w:rsidR="00DE2128" w:rsidRPr="005F1889" w:rsidTr="009F5199">
        <w:trPr>
          <w:cantSplit/>
          <w:trHeight w:val="357"/>
        </w:trPr>
        <w:tc>
          <w:tcPr>
            <w:tcW w:w="1617" w:type="dxa"/>
          </w:tcPr>
          <w:p w:rsidR="00DE2128" w:rsidRPr="005F1889" w:rsidRDefault="00DE2128" w:rsidP="009F5199">
            <w:pPr>
              <w:spacing w:after="120"/>
            </w:pPr>
            <w:r w:rsidRPr="005F1889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5F1889" w:rsidRDefault="002D09A6" w:rsidP="004F3600">
            <w:pPr>
              <w:spacing w:after="120"/>
            </w:pPr>
            <w:r w:rsidRPr="005F1889">
              <w:t xml:space="preserve">H.248.77 (Rev): </w:t>
            </w:r>
            <w:r w:rsidR="007D1E08" w:rsidRPr="005F1889">
              <w:t>Discussion – H.248 package(s) design versus SRTP key management schemes</w:t>
            </w:r>
          </w:p>
        </w:tc>
      </w:tr>
      <w:tr w:rsidR="00DE2128" w:rsidRPr="005F1889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5F1889" w:rsidRDefault="00DE2128" w:rsidP="009F5199">
            <w:pPr>
              <w:spacing w:after="120"/>
            </w:pPr>
            <w:r w:rsidRPr="005F1889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5F1889" w:rsidRDefault="00DE2128" w:rsidP="002D09A6">
            <w:pPr>
              <w:spacing w:after="120"/>
            </w:pPr>
            <w:r w:rsidRPr="005F1889">
              <w:t>Proposal</w:t>
            </w:r>
          </w:p>
        </w:tc>
      </w:tr>
    </w:tbl>
    <w:p w:rsidR="00DE2128" w:rsidRPr="005F1889" w:rsidRDefault="00DE2128" w:rsidP="006C499C"/>
    <w:p w:rsidR="00FE1DA9" w:rsidRPr="005F1889" w:rsidRDefault="00FE1DA9" w:rsidP="00FE1DA9">
      <w:pPr>
        <w:pStyle w:val="Headingb"/>
      </w:pPr>
      <w:r w:rsidRPr="005F1889">
        <w:t>Summary</w:t>
      </w:r>
    </w:p>
    <w:p w:rsidR="00FE1DA9" w:rsidRPr="005F1889" w:rsidRDefault="000E33BC" w:rsidP="00FE1DA9">
      <w:r w:rsidRPr="005F1889">
        <w:t>This contr</w:t>
      </w:r>
      <w:r w:rsidR="00FC66F6" w:rsidRPr="005F1889">
        <w:t xml:space="preserve">ibution </w:t>
      </w:r>
      <w:r w:rsidR="007D1E08" w:rsidRPr="005F1889">
        <w:t>discuss</w:t>
      </w:r>
      <w:bookmarkStart w:id="5" w:name="_GoBack"/>
      <w:bookmarkEnd w:id="5"/>
      <w:r w:rsidR="007D1E08" w:rsidRPr="005F1889">
        <w:t xml:space="preserve">es some general aspects related to H.248.77 package(s) versus support of </w:t>
      </w:r>
      <w:r w:rsidR="007D1E08" w:rsidRPr="005F1889">
        <w:rPr>
          <w:i/>
        </w:rPr>
        <w:t>multiple SRTP key management schem</w:t>
      </w:r>
      <w:r w:rsidR="00D00BD1" w:rsidRPr="005F1889">
        <w:rPr>
          <w:i/>
        </w:rPr>
        <w:t>e</w:t>
      </w:r>
      <w:r w:rsidR="007D1E08" w:rsidRPr="005F1889">
        <w:rPr>
          <w:i/>
        </w:rPr>
        <w:t>s</w:t>
      </w:r>
      <w:r w:rsidR="007D1E08" w:rsidRPr="005F1889">
        <w:t>.</w:t>
      </w:r>
      <w:r w:rsidR="00FC66F6" w:rsidRPr="005F1889">
        <w:t xml:space="preserve"> </w:t>
      </w:r>
    </w:p>
    <w:p w:rsidR="00FE1DA9" w:rsidRPr="005F1889" w:rsidRDefault="00FE1DA9" w:rsidP="00FE1DA9">
      <w:pPr>
        <w:rPr>
          <w:b/>
          <w:lang w:eastAsia="ja-JP"/>
        </w:rPr>
      </w:pPr>
    </w:p>
    <w:p w:rsidR="00FE1DA9" w:rsidRPr="005F1889" w:rsidRDefault="0030108C" w:rsidP="00FE1DA9">
      <w:pPr>
        <w:rPr>
          <w:b/>
          <w:lang w:eastAsia="ja-JP"/>
        </w:rPr>
      </w:pPr>
      <w:r w:rsidRPr="005F1889">
        <w:rPr>
          <w:b/>
          <w:lang w:eastAsia="ja-JP"/>
        </w:rPr>
        <w:t>1</w:t>
      </w:r>
      <w:r w:rsidR="00FE1DA9" w:rsidRPr="005F1889">
        <w:rPr>
          <w:b/>
          <w:lang w:eastAsia="ja-JP"/>
        </w:rPr>
        <w:tab/>
        <w:t>Introduction</w:t>
      </w:r>
    </w:p>
    <w:p w:rsidR="00FE1DA9" w:rsidRPr="005F1889" w:rsidRDefault="00F03535" w:rsidP="00FE1DA9">
      <w:r w:rsidRPr="005F1889">
        <w:t>Starting situation is the fact that there are multiple SRTP key management options, as described in detail by following two RFCs:</w:t>
      </w:r>
    </w:p>
    <w:p w:rsidR="007D1E08" w:rsidRPr="005F1889" w:rsidRDefault="00F03535" w:rsidP="00F03535">
      <w:pPr>
        <w:pStyle w:val="Reftext"/>
        <w:ind w:left="1361"/>
      </w:pPr>
      <w:r w:rsidRPr="005F1889">
        <w:t xml:space="preserve">IETF </w:t>
      </w:r>
      <w:r w:rsidRPr="005F1889">
        <w:rPr>
          <w:b/>
        </w:rPr>
        <w:t>RFC 5479</w:t>
      </w:r>
      <w:r w:rsidRPr="005F1889">
        <w:t xml:space="preserve"> (04/2009), </w:t>
      </w:r>
      <w:r w:rsidRPr="005F1889">
        <w:rPr>
          <w:i/>
          <w:iCs/>
        </w:rPr>
        <w:t>Requirements and Analysis of Media Security Management Protocols.</w:t>
      </w:r>
    </w:p>
    <w:p w:rsidR="007D1E08" w:rsidRPr="005F1889" w:rsidRDefault="007D1E08" w:rsidP="00F03535">
      <w:pPr>
        <w:pStyle w:val="Reftext"/>
        <w:ind w:left="1361"/>
      </w:pPr>
      <w:r w:rsidRPr="005F1889">
        <w:t xml:space="preserve">IETF </w:t>
      </w:r>
      <w:r w:rsidRPr="005F1889">
        <w:rPr>
          <w:b/>
        </w:rPr>
        <w:t>RFC 7202</w:t>
      </w:r>
      <w:r w:rsidRPr="005F1889">
        <w:t xml:space="preserve"> (04/2014), </w:t>
      </w:r>
      <w:r w:rsidRPr="005F1889">
        <w:rPr>
          <w:i/>
          <w:iCs/>
        </w:rPr>
        <w:t>Securing the RTP Framework: Why RTP Does Not Mandate a Single Media Security Solution.</w:t>
      </w:r>
      <w:r w:rsidRPr="005F1889">
        <w:t xml:space="preserve"> </w:t>
      </w:r>
    </w:p>
    <w:p w:rsidR="003F10F5" w:rsidRPr="005F1889" w:rsidRDefault="00F03535" w:rsidP="00FE1DA9">
      <w:r w:rsidRPr="005F1889">
        <w:t xml:space="preserve">RFC 5479 did already identify </w:t>
      </w:r>
      <w:r w:rsidRPr="005F1889">
        <w:rPr>
          <w:i/>
        </w:rPr>
        <w:t>15 key management schemes</w:t>
      </w:r>
      <w:r w:rsidRPr="005F1889">
        <w:t xml:space="preserve"> in </w:t>
      </w:r>
      <w:r w:rsidRPr="005F1889">
        <w:rPr>
          <w:b/>
        </w:rPr>
        <w:t>2009</w:t>
      </w:r>
      <w:r w:rsidRPr="005F1889">
        <w:t xml:space="preserve"> (see Figure 1). There are even more in the meanwhile (due to some proprietary ones).</w:t>
      </w:r>
    </w:p>
    <w:p w:rsidR="00F03535" w:rsidRPr="005F1889" w:rsidRDefault="00F03535" w:rsidP="00FE1DA9">
      <w:r w:rsidRPr="005F1889">
        <w:t xml:space="preserve">The actual number is out of discussion here, we are rather concerned with the various </w:t>
      </w:r>
      <w:r w:rsidRPr="005F1889">
        <w:rPr>
          <w:i/>
        </w:rPr>
        <w:t>categories</w:t>
      </w:r>
      <w:r w:rsidRPr="005F1889">
        <w:t xml:space="preserve"> of schemes from H.248 protocol design perspetive. There are </w:t>
      </w:r>
      <w:r w:rsidRPr="005F1889">
        <w:rPr>
          <w:i/>
        </w:rPr>
        <w:t>three categories</w:t>
      </w:r>
      <w:r w:rsidRPr="005F1889">
        <w:t xml:space="preserve"> with a different </w:t>
      </w:r>
      <w:r w:rsidRPr="005F1889">
        <w:lastRenderedPageBreak/>
        <w:t xml:space="preserve">distribution of </w:t>
      </w:r>
      <w:r w:rsidRPr="005F1889">
        <w:rPr>
          <w:i/>
        </w:rPr>
        <w:t>information flows</w:t>
      </w:r>
      <w:r w:rsidRPr="005F1889">
        <w:t xml:space="preserve"> over the network signaling and/or media plane. Figure 2 outlines a H.248 gateway perspective.</w:t>
      </w:r>
    </w:p>
    <w:p w:rsidR="007D1E08" w:rsidRPr="005F1889" w:rsidRDefault="00F03535" w:rsidP="007D1E08">
      <w:pPr>
        <w:pStyle w:val="Figure"/>
      </w:pPr>
      <w:r w:rsidRPr="005F1889">
        <w:rPr>
          <w:noProof/>
        </w:rPr>
        <w:drawing>
          <wp:inline distT="0" distB="0" distL="0" distR="0">
            <wp:extent cx="5695950" cy="3143250"/>
            <wp:effectExtent l="1905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E08" w:rsidRPr="005F1889" w:rsidRDefault="007D1E08" w:rsidP="00F03535">
      <w:pPr>
        <w:pStyle w:val="FigureNoTitle0"/>
      </w:pPr>
      <w:r w:rsidRPr="005F1889">
        <w:t xml:space="preserve">Figure 1 – </w:t>
      </w:r>
      <w:r w:rsidR="00F03535" w:rsidRPr="005F1889">
        <w:t>RFC 5479</w:t>
      </w:r>
      <w:r w:rsidRPr="005F1889">
        <w:t xml:space="preserve">: </w:t>
      </w:r>
      <w:r w:rsidR="00F03535" w:rsidRPr="005F1889">
        <w:t>Overview of existing keying mechanisms (Status 2009)</w:t>
      </w:r>
    </w:p>
    <w:p w:rsidR="007D1E08" w:rsidRPr="005F1889" w:rsidRDefault="007D1E08" w:rsidP="00FE1DA9"/>
    <w:p w:rsidR="007D1E08" w:rsidRPr="005F1889" w:rsidRDefault="007D1E08" w:rsidP="007D1E08">
      <w:pPr>
        <w:pStyle w:val="Figure"/>
      </w:pPr>
      <w:r w:rsidRPr="005F1889">
        <w:rPr>
          <w:noProof/>
        </w:rPr>
        <w:drawing>
          <wp:inline distT="0" distB="0" distL="0" distR="0">
            <wp:extent cx="5943600" cy="3459480"/>
            <wp:effectExtent l="19050" t="0" r="0" b="0"/>
            <wp:docPr id="2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640960" cy="5029200"/>
                      <a:chOff x="272480" y="1143000"/>
                      <a:chExt cx="8640960" cy="5029200"/>
                    </a:xfrm>
                  </a:grpSpPr>
                  <a:sp>
                    <a:nvSpPr>
                      <a:cNvPr id="431266" name="AutoShape 162"/>
                      <a:cNvSpPr>
                        <a:spLocks noChangeArrowheads="1"/>
                      </a:cNvSpPr>
                    </a:nvSpPr>
                    <a:spPr bwMode="auto">
                      <a:xfrm>
                        <a:off x="1219200" y="1143000"/>
                        <a:ext cx="2209800" cy="2036763"/>
                      </a:xfrm>
                      <a:prstGeom prst="roundRect">
                        <a:avLst>
                          <a:gd name="adj" fmla="val 3884"/>
                        </a:avLst>
                      </a:prstGeom>
                      <a:solidFill>
                        <a:srgbClr val="EAEAEA">
                          <a:alpha val="50000"/>
                        </a:srgbClr>
                      </a:solidFill>
                      <a:ln w="317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lIns="0" tIns="0" rIns="0" bIns="0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>
                              <a:latin typeface="Trebuchet MS" pitchFamily="34" charset="0"/>
                            </a:rPr>
                            <a:t>e.g., Call Server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431267" name="Text Box 16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295400" y="4648200"/>
                        <a:ext cx="1752600" cy="1524000"/>
                      </a:xfrm>
                      <a:prstGeom prst="rect">
                        <a:avLst/>
                      </a:prstGeom>
                      <a:solidFill>
                        <a:srgbClr val="F0F0F0"/>
                      </a:solidFill>
                      <a:ln w="6350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lIns="10800" tIns="10800" rIns="10800" bIns="10800" anchor="b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b="1">
                              <a:latin typeface="Trebuchet MS" pitchFamily="34" charset="0"/>
                            </a:rPr>
                            <a:t>Media Gateway</a:t>
                          </a:r>
                          <a:r>
                            <a:rPr lang="en-US" sz="1200">
                              <a:latin typeface="Trebuchet MS" pitchFamily="34" charset="0"/>
                            </a:rPr>
                            <a:t> (MG)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431268" name="Text Box 16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600200" y="2514600"/>
                        <a:ext cx="1524000" cy="588963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6350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lIns="45720" rIns="45720" bIns="46800" anchor="ctr" anchorCtr="1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>
                              <a:latin typeface="Trebuchet MS" pitchFamily="34" charset="0"/>
                            </a:rPr>
                            <a:t>Media Gateway Controller (</a:t>
                          </a:r>
                          <a:r>
                            <a:rPr lang="en-US" sz="1200" b="1">
                              <a:latin typeface="Trebuchet MS" pitchFamily="34" charset="0"/>
                            </a:rPr>
                            <a:t>MGC</a:t>
                          </a:r>
                          <a:r>
                            <a:rPr lang="en-US" sz="1200">
                              <a:latin typeface="Trebuchet MS" pitchFamily="34" charset="0"/>
                            </a:rPr>
                            <a:t>)</a:t>
                          </a:r>
                        </a:p>
                      </a:txBody>
                      <a:useSpRect/>
                    </a:txSp>
                  </a:sp>
                  <a:cxnSp>
                    <a:nvCxnSpPr>
                      <a:cNvPr id="431269" name="AutoShape 165"/>
                      <a:cNvCxnSpPr>
                        <a:cxnSpLocks noChangeShapeType="1"/>
                        <a:stCxn id="431268" idx="2"/>
                        <a:endCxn id="431267" idx="0"/>
                      </a:cNvCxnSpPr>
                    </a:nvCxnSpPr>
                    <a:spPr bwMode="auto">
                      <a:xfrm flipH="1">
                        <a:off x="2171700" y="3103563"/>
                        <a:ext cx="190500" cy="1544637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</a:cxnSp>
                  <a:sp>
                    <a:nvSpPr>
                      <a:cNvPr id="431270" name="Text Box 16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752600" y="3810000"/>
                        <a:ext cx="457200" cy="228600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lIns="0" rIns="0" anchor="ctr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l"/>
                          <a:r>
                            <a:rPr lang="en-US" sz="1200" b="1">
                              <a:latin typeface="Trebuchet MS" pitchFamily="34" charset="0"/>
                            </a:rPr>
                            <a:t>H.248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431271" name="Text Box 167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371600" y="1350963"/>
                        <a:ext cx="1981200" cy="63023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6350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lIns="45720" rIns="45720" bIns="46800" anchor="ctr" anchorCtr="1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b="1">
                              <a:latin typeface="Trebuchet MS" pitchFamily="34" charset="0"/>
                            </a:rPr>
                            <a:t>SIP B2BUA</a:t>
                          </a:r>
                          <a:r>
                            <a:rPr lang="en-US" sz="1200">
                              <a:latin typeface="Trebuchet MS" pitchFamily="34" charset="0"/>
                            </a:rPr>
                            <a:t> </a:t>
                          </a:r>
                        </a:p>
                      </a:txBody>
                      <a:useSpRect/>
                    </a:txSp>
                  </a:sp>
                  <a:cxnSp>
                    <a:nvCxnSpPr>
                      <a:cNvPr id="431275" name="AutoShape 171"/>
                      <a:cNvCxnSpPr>
                        <a:cxnSpLocks noChangeShapeType="1"/>
                        <a:stCxn id="431280" idx="0"/>
                        <a:endCxn id="431271" idx="3"/>
                      </a:cNvCxnSpPr>
                    </a:nvCxnSpPr>
                    <a:spPr bwMode="auto">
                      <a:xfrm flipH="1" flipV="1">
                        <a:off x="3352800" y="1666875"/>
                        <a:ext cx="4114800" cy="29813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</a:cxnSp>
                  <a:sp>
                    <a:nvSpPr>
                      <a:cNvPr id="431280" name="Text Box 17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6858000" y="4648200"/>
                        <a:ext cx="1219200" cy="1524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lIns="10800" tIns="10800" rIns="10800" bIns="10800" anchor="b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>
                              <a:latin typeface="Trebuchet MS" pitchFamily="34" charset="0"/>
                            </a:rPr>
                            <a:t>SIP </a:t>
                          </a:r>
                          <a:r>
                            <a:rPr lang="en-US" sz="1200" b="1">
                              <a:latin typeface="Trebuchet MS" pitchFamily="34" charset="0"/>
                            </a:rPr>
                            <a:t>User Agent</a:t>
                          </a:r>
                          <a:endParaRPr lang="en-US" sz="1200" b="1" i="1">
                            <a:latin typeface="Trebuchet MS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31285" name="Text Box 181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410200" y="2971800"/>
                        <a:ext cx="381000" cy="152400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lIns="0" rIns="0" anchor="ctr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l"/>
                          <a:r>
                            <a:rPr lang="en-US" sz="1200" b="1">
                              <a:latin typeface="Trebuchet MS" pitchFamily="34" charset="0"/>
                            </a:rPr>
                            <a:t>SIP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431286" name="Oval 182"/>
                      <a:cNvSpPr>
                        <a:spLocks noChangeArrowheads="1"/>
                      </a:cNvSpPr>
                    </a:nvSpPr>
                    <a:spPr bwMode="auto">
                      <a:xfrm>
                        <a:off x="2819400" y="5105400"/>
                        <a:ext cx="76200" cy="76200"/>
                      </a:xfrm>
                      <a:prstGeom prst="ellipse">
                        <a:avLst/>
                      </a:prstGeom>
                      <a:noFill/>
                      <a:ln w="6350">
                        <a:noFill/>
                        <a:round/>
                        <a:headEnd type="none" w="sm" len="sm"/>
                        <a:tailEnd type="none" w="sm" len="sm"/>
                      </a:ln>
                      <a:effectLst/>
                    </a:spPr>
                    <a:txSp>
                      <a:txBody>
                        <a:bodyPr wrap="none" lIns="18000" tIns="10800" rIns="18000" bIns="10800" anchor="ctr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GB"/>
                        </a:p>
                      </a:txBody>
                      <a:useSpRect/>
                    </a:txSp>
                  </a:sp>
                  <a:sp>
                    <a:nvSpPr>
                      <a:cNvPr id="431287" name="Text Box 18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752600" y="4800600"/>
                        <a:ext cx="1219200" cy="10668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6350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lIns="45720" tIns="0" rIns="45720" bIns="10800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l"/>
                          <a:r>
                            <a:rPr lang="en-US" sz="1000" i="1">
                              <a:latin typeface="Trebuchet MS" pitchFamily="34" charset="0"/>
                            </a:rPr>
                            <a:t>Context C1</a:t>
                          </a:r>
                          <a:endParaRPr lang="en-US" sz="1000" i="1" baseline="-25000">
                            <a:latin typeface="Trebuchet MS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31288" name="Text Box 18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905000" y="5029200"/>
                        <a:ext cx="9144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  <a:prstDash val="dash"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lIns="0" tIns="0" rIns="0" bIns="0" anchor="ctr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r"/>
                          <a:r>
                            <a:rPr lang="en-US" sz="1000" i="1">
                              <a:latin typeface="Trebuchet MS" pitchFamily="34" charset="0"/>
                            </a:rPr>
                            <a:t>Termination T1</a:t>
                          </a:r>
                          <a:endParaRPr lang="en-US" sz="1000" i="1" baseline="-25000">
                            <a:latin typeface="Trebuchet MS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31289" name="Text Box 18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733800" y="5638800"/>
                        <a:ext cx="24384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  <a:prstDash val="dash"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lIns="0" tIns="0" rIns="0" bIns="0" anchor="ctr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>
                              <a:latin typeface="Trebuchet MS" pitchFamily="34" charset="0"/>
                            </a:rPr>
                            <a:t>Bidirection RTP session with RTP SAVP Profile (RFC 3711) 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431290" name="Oval 186"/>
                      <a:cNvSpPr>
                        <a:spLocks noChangeArrowheads="1"/>
                      </a:cNvSpPr>
                    </a:nvSpPr>
                    <a:spPr bwMode="auto">
                      <a:xfrm>
                        <a:off x="2667000" y="5257800"/>
                        <a:ext cx="152400" cy="381000"/>
                      </a:xfrm>
                      <a:prstGeom prst="ellipse">
                        <a:avLst/>
                      </a:prstGeom>
                      <a:solidFill>
                        <a:srgbClr val="DDDDDD">
                          <a:alpha val="50000"/>
                        </a:srgbClr>
                      </a:solidFill>
                      <a:ln w="12700">
                        <a:solidFill>
                          <a:schemeClr val="hlink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</a:spPr>
                    <a:txSp>
                      <a:txBody>
                        <a:bodyPr wrap="none" lIns="18000" tIns="10800" rIns="18000" bIns="10800" anchor="ctr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GB"/>
                        </a:p>
                      </a:txBody>
                      <a:useSpRect/>
                    </a:txSp>
                  </a:sp>
                  <a:sp>
                    <a:nvSpPr>
                      <a:cNvPr id="431291" name="Oval 187"/>
                      <a:cNvSpPr>
                        <a:spLocks noChangeArrowheads="1"/>
                      </a:cNvSpPr>
                    </a:nvSpPr>
                    <a:spPr bwMode="auto">
                      <a:xfrm>
                        <a:off x="2705100" y="5334000"/>
                        <a:ext cx="76200" cy="76200"/>
                      </a:xfrm>
                      <a:prstGeom prst="ellipse">
                        <a:avLst/>
                      </a:prstGeom>
                      <a:solidFill>
                        <a:schemeClr val="bg1">
                          <a:alpha val="50000"/>
                        </a:schemeClr>
                      </a:solidFill>
                      <a:ln w="3175">
                        <a:solidFill>
                          <a:schemeClr val="tx1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</a:spPr>
                    <a:txSp>
                      <a:txBody>
                        <a:bodyPr wrap="none" lIns="18000" tIns="10800" rIns="18000" bIns="10800" anchor="ctr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GB"/>
                        </a:p>
                      </a:txBody>
                      <a:useSpRect/>
                    </a:txSp>
                  </a:sp>
                  <a:sp>
                    <a:nvSpPr>
                      <a:cNvPr id="431292" name="Oval 188"/>
                      <a:cNvSpPr>
                        <a:spLocks noChangeArrowheads="1"/>
                      </a:cNvSpPr>
                    </a:nvSpPr>
                    <a:spPr bwMode="auto">
                      <a:xfrm>
                        <a:off x="2705100" y="5486400"/>
                        <a:ext cx="76200" cy="76200"/>
                      </a:xfrm>
                      <a:prstGeom prst="ellipse">
                        <a:avLst/>
                      </a:prstGeom>
                      <a:solidFill>
                        <a:schemeClr val="bg1">
                          <a:alpha val="50000"/>
                        </a:schemeClr>
                      </a:solidFill>
                      <a:ln w="3175">
                        <a:solidFill>
                          <a:schemeClr val="tx1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</a:spPr>
                    <a:txSp>
                      <a:txBody>
                        <a:bodyPr wrap="none" lIns="18000" tIns="10800" rIns="18000" bIns="10800" anchor="ctr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GB"/>
                        </a:p>
                      </a:txBody>
                      <a:useSpRect/>
                    </a:txSp>
                  </a:sp>
                  <a:cxnSp>
                    <a:nvCxnSpPr>
                      <a:cNvPr id="431293" name="AutoShape 189"/>
                      <a:cNvCxnSpPr>
                        <a:cxnSpLocks noChangeShapeType="1"/>
                        <a:stCxn id="431292" idx="6"/>
                        <a:endCxn id="431297" idx="2"/>
                      </a:cNvCxnSpPr>
                    </a:nvCxnSpPr>
                    <a:spPr bwMode="auto">
                      <a:xfrm>
                        <a:off x="2781300" y="5524500"/>
                        <a:ext cx="42672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oval" w="sm" len="sm"/>
                        <a:tailEnd type="triangle" w="sm" len="med"/>
                      </a:ln>
                      <a:effectLst/>
                    </a:spPr>
                  </a:cxnSp>
                  <a:sp>
                    <a:nvSpPr>
                      <a:cNvPr id="431295" name="Oval 191"/>
                      <a:cNvSpPr>
                        <a:spLocks noChangeArrowheads="1"/>
                      </a:cNvSpPr>
                    </a:nvSpPr>
                    <a:spPr bwMode="auto">
                      <a:xfrm>
                        <a:off x="7010400" y="5257800"/>
                        <a:ext cx="152400" cy="381000"/>
                      </a:xfrm>
                      <a:prstGeom prst="ellipse">
                        <a:avLst/>
                      </a:prstGeom>
                      <a:solidFill>
                        <a:srgbClr val="DDDDDD">
                          <a:alpha val="50000"/>
                        </a:srgbClr>
                      </a:solidFill>
                      <a:ln w="12700">
                        <a:solidFill>
                          <a:schemeClr val="bg2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</a:spPr>
                    <a:txSp>
                      <a:txBody>
                        <a:bodyPr wrap="none" lIns="18000" tIns="10800" rIns="18000" bIns="10800" anchor="ctr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GB"/>
                        </a:p>
                      </a:txBody>
                      <a:useSpRect/>
                    </a:txSp>
                  </a:sp>
                  <a:sp>
                    <a:nvSpPr>
                      <a:cNvPr id="431296" name="Oval 192"/>
                      <a:cNvSpPr>
                        <a:spLocks noChangeArrowheads="1"/>
                      </a:cNvSpPr>
                    </a:nvSpPr>
                    <a:spPr bwMode="auto">
                      <a:xfrm>
                        <a:off x="7048500" y="5334000"/>
                        <a:ext cx="76200" cy="76200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2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</a:spPr>
                    <a:txSp>
                      <a:txBody>
                        <a:bodyPr wrap="none" lIns="18000" tIns="10800" rIns="18000" bIns="10800" anchor="ctr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GB"/>
                        </a:p>
                      </a:txBody>
                      <a:useSpRect/>
                    </a:txSp>
                  </a:sp>
                  <a:sp>
                    <a:nvSpPr>
                      <a:cNvPr id="431297" name="Oval 193"/>
                      <a:cNvSpPr>
                        <a:spLocks noChangeArrowheads="1"/>
                      </a:cNvSpPr>
                    </a:nvSpPr>
                    <a:spPr bwMode="auto">
                      <a:xfrm>
                        <a:off x="7048500" y="5486400"/>
                        <a:ext cx="76200" cy="76200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2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</a:spPr>
                    <a:txSp>
                      <a:txBody>
                        <a:bodyPr wrap="none" lIns="18000" tIns="10800" rIns="18000" bIns="10800" anchor="ctr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GB"/>
                        </a:p>
                      </a:txBody>
                      <a:useSpRect/>
                    </a:txSp>
                  </a:sp>
                  <a:cxnSp>
                    <a:nvCxnSpPr>
                      <a:cNvPr id="431298" name="AutoShape 194"/>
                      <a:cNvCxnSpPr>
                        <a:cxnSpLocks noChangeShapeType="1"/>
                        <a:stCxn id="431296" idx="2"/>
                        <a:endCxn id="431291" idx="6"/>
                      </a:cNvCxnSpPr>
                    </a:nvCxnSpPr>
                    <a:spPr bwMode="auto">
                      <a:xfrm flipH="1">
                        <a:off x="2781300" y="5372100"/>
                        <a:ext cx="42672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oval" w="sm" len="sm"/>
                        <a:tailEnd type="triangle" w="sm" len="med"/>
                      </a:ln>
                      <a:effectLst/>
                    </a:spPr>
                  </a:cxnSp>
                  <a:sp>
                    <a:nvSpPr>
                      <a:cNvPr id="431299" name="AutoShape 195"/>
                      <a:cNvSpPr>
                        <a:spLocks noChangeArrowheads="1"/>
                      </a:cNvSpPr>
                    </a:nvSpPr>
                    <a:spPr bwMode="auto">
                      <a:xfrm>
                        <a:off x="2209800" y="5181600"/>
                        <a:ext cx="685800" cy="533400"/>
                      </a:xfrm>
                      <a:prstGeom prst="roundRect">
                        <a:avLst>
                          <a:gd name="adj" fmla="val 10069"/>
                        </a:avLst>
                      </a:prstGeom>
                      <a:noFill/>
                      <a:ln w="3175">
                        <a:solidFill>
                          <a:schemeClr val="tx1"/>
                        </a:solidFill>
                        <a:prstDash val="dash"/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lIns="0" tIns="0" rIns="0" bIns="0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000" i="1">
                              <a:latin typeface="Trebuchet MS" pitchFamily="34" charset="0"/>
                            </a:rPr>
                            <a:t> 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431301" name="Oval 197"/>
                      <a:cNvSpPr>
                        <a:spLocks noChangeArrowheads="1"/>
                      </a:cNvSpPr>
                    </a:nvSpPr>
                    <a:spPr bwMode="auto">
                      <a:xfrm>
                        <a:off x="3276600" y="5257800"/>
                        <a:ext cx="76200" cy="304800"/>
                      </a:xfrm>
                      <a:prstGeom prst="ellipse">
                        <a:avLst/>
                      </a:prstGeom>
                      <a:noFill/>
                      <a:ln w="3175">
                        <a:solidFill>
                          <a:schemeClr val="tx1"/>
                        </a:solidFill>
                        <a:prstDash val="dash"/>
                        <a:round/>
                        <a:headEnd type="none" w="sm" len="sm"/>
                        <a:tailEnd type="none" w="sm" len="sm"/>
                      </a:ln>
                      <a:effectLst/>
                    </a:spPr>
                    <a:txSp>
                      <a:txBody>
                        <a:bodyPr wrap="none" lIns="18000" tIns="10800" rIns="18000" bIns="10800" anchor="ctr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GB"/>
                        </a:p>
                      </a:txBody>
                      <a:useSpRect/>
                    </a:txSp>
                  </a:sp>
                  <a:sp>
                    <a:nvSpPr>
                      <a:cNvPr id="431302" name="AutoShape 198"/>
                      <a:cNvSpPr>
                        <a:spLocks noChangeArrowheads="1"/>
                      </a:cNvSpPr>
                    </a:nvSpPr>
                    <a:spPr bwMode="auto">
                      <a:xfrm>
                        <a:off x="6934200" y="5181600"/>
                        <a:ext cx="762000" cy="533400"/>
                      </a:xfrm>
                      <a:prstGeom prst="roundRect">
                        <a:avLst>
                          <a:gd name="adj" fmla="val 8681"/>
                        </a:avLst>
                      </a:prstGeom>
                      <a:noFill/>
                      <a:ln w="3175">
                        <a:solidFill>
                          <a:schemeClr val="tx1"/>
                        </a:solidFill>
                        <a:prstDash val="dash"/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lIns="0" tIns="0" rIns="0" bIns="0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000" i="1">
                              <a:latin typeface="Trebuchet MS" pitchFamily="34" charset="0"/>
                            </a:rPr>
                            <a:t> 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431304" name="Text Box 200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286000" y="5257800"/>
                        <a:ext cx="3810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  <a:prstDash val="dash"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lIns="0" tIns="0" rIns="0" bIns="0" anchor="ctr" anchorCtr="1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l"/>
                          <a:r>
                            <a:rPr lang="en-US" sz="1000">
                              <a:solidFill>
                                <a:schemeClr val="hlink"/>
                              </a:solidFill>
                              <a:latin typeface="Trebuchet MS" pitchFamily="34" charset="0"/>
                            </a:rPr>
                            <a:t>SRTP/</a:t>
                          </a:r>
                          <a:br>
                            <a:rPr lang="en-US" sz="1000">
                              <a:solidFill>
                                <a:schemeClr val="hlink"/>
                              </a:solidFill>
                              <a:latin typeface="Trebuchet MS" pitchFamily="34" charset="0"/>
                            </a:rPr>
                          </a:br>
                          <a:r>
                            <a:rPr lang="en-US" sz="1000">
                              <a:solidFill>
                                <a:schemeClr val="hlink"/>
                              </a:solidFill>
                              <a:latin typeface="Trebuchet MS" pitchFamily="34" charset="0"/>
                            </a:rPr>
                            <a:t>SRTCP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431305" name="Oval 201"/>
                      <a:cNvSpPr>
                        <a:spLocks noChangeArrowheads="1"/>
                      </a:cNvSpPr>
                    </a:nvSpPr>
                    <a:spPr bwMode="auto">
                      <a:xfrm>
                        <a:off x="2819400" y="5562600"/>
                        <a:ext cx="76200" cy="76200"/>
                      </a:xfrm>
                      <a:prstGeom prst="ellipse">
                        <a:avLst/>
                      </a:prstGeom>
                      <a:noFill/>
                      <a:ln w="6350">
                        <a:noFill/>
                        <a:round/>
                        <a:headEnd type="none" w="sm" len="sm"/>
                        <a:tailEnd type="none" w="sm" len="sm"/>
                      </a:ln>
                      <a:effectLst/>
                    </a:spPr>
                    <a:txSp>
                      <a:txBody>
                        <a:bodyPr wrap="none" lIns="18000" tIns="10800" rIns="18000" bIns="10800" anchor="ctr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GB"/>
                        </a:p>
                      </a:txBody>
                      <a:useSpRect/>
                    </a:txSp>
                  </a:sp>
                  <a:sp>
                    <a:nvSpPr>
                      <a:cNvPr id="431339" name="Oval 235"/>
                      <a:cNvSpPr>
                        <a:spLocks noChangeArrowheads="1"/>
                      </a:cNvSpPr>
                    </a:nvSpPr>
                    <a:spPr bwMode="auto">
                      <a:xfrm>
                        <a:off x="6781800" y="4572000"/>
                        <a:ext cx="228600" cy="228600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rgbClr val="008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</a:spPr>
                    <a:txSp>
                      <a:txBody>
                        <a:bodyPr wrap="none" lIns="18000" tIns="10800" rIns="18000" bIns="10800" anchor="ctr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GB" sz="1000">
                              <a:latin typeface="Trebuchet MS" pitchFamily="34" charset="0"/>
                            </a:rPr>
                            <a:t>A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431340" name="Oval 236"/>
                      <a:cNvSpPr>
                        <a:spLocks noChangeArrowheads="1"/>
                      </a:cNvSpPr>
                    </a:nvSpPr>
                    <a:spPr bwMode="auto">
                      <a:xfrm>
                        <a:off x="2895600" y="4572000"/>
                        <a:ext cx="228600" cy="228600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rgbClr val="008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</a:spPr>
                    <a:txSp>
                      <a:txBody>
                        <a:bodyPr wrap="none" lIns="18000" tIns="10800" rIns="18000" bIns="10800" anchor="ctr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GB" sz="1000">
                              <a:latin typeface="Trebuchet MS" pitchFamily="34" charset="0"/>
                            </a:rPr>
                            <a:t>B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431341" name="Line 237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685800" y="1676400"/>
                        <a:ext cx="685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prstDash val="dash"/>
                        <a:round/>
                        <a:headEnd type="none" w="sm" len="sm"/>
                        <a:tailEnd type="none" w="sm" len="sm"/>
                      </a:ln>
                      <a:effectLst/>
                    </a:spPr>
                    <a:txSp>
                      <a:txBody>
                        <a:bodyPr wrap="none" lIns="18000" tIns="10800" rIns="18000" bIns="10800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GB"/>
                        </a:p>
                      </a:txBody>
                      <a:useSpRect/>
                    </a:txSp>
                  </a:sp>
                  <a:sp>
                    <a:nvSpPr>
                      <a:cNvPr id="431342" name="Line 238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762000" y="5486400"/>
                        <a:ext cx="9906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prstDash val="dash"/>
                        <a:round/>
                        <a:headEnd type="none" w="sm" len="sm"/>
                        <a:tailEnd type="none" w="sm" len="sm"/>
                      </a:ln>
                      <a:effectLst/>
                    </a:spPr>
                    <a:txSp>
                      <a:txBody>
                        <a:bodyPr wrap="none" lIns="18000" tIns="10800" rIns="18000" bIns="10800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GB"/>
                        </a:p>
                      </a:txBody>
                      <a:useSpRect/>
                    </a:txSp>
                  </a:sp>
                  <a:sp>
                    <a:nvSpPr>
                      <a:cNvPr id="431343" name="Text Box 239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7239000" y="5257800"/>
                        <a:ext cx="3810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  <a:prstDash val="dash"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lIns="0" tIns="0" rIns="0" bIns="0" anchor="ctr" anchorCtr="1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l"/>
                          <a:r>
                            <a:rPr lang="en-US" sz="1000">
                              <a:solidFill>
                                <a:schemeClr val="hlink"/>
                              </a:solidFill>
                              <a:latin typeface="Trebuchet MS" pitchFamily="34" charset="0"/>
                            </a:rPr>
                            <a:t>SRTP/</a:t>
                          </a:r>
                          <a:br>
                            <a:rPr lang="en-US" sz="1000">
                              <a:solidFill>
                                <a:schemeClr val="hlink"/>
                              </a:solidFill>
                              <a:latin typeface="Trebuchet MS" pitchFamily="34" charset="0"/>
                            </a:rPr>
                          </a:br>
                          <a:r>
                            <a:rPr lang="en-US" sz="1000">
                              <a:solidFill>
                                <a:schemeClr val="hlink"/>
                              </a:solidFill>
                              <a:latin typeface="Trebuchet MS" pitchFamily="34" charset="0"/>
                            </a:rPr>
                            <a:t>SRTCP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431345" name="Freeform 241"/>
                      <a:cNvSpPr>
                        <a:spLocks/>
                      </a:cNvSpPr>
                    </a:nvSpPr>
                    <a:spPr bwMode="auto">
                      <a:xfrm>
                        <a:off x="2286000" y="1444625"/>
                        <a:ext cx="5486400" cy="3203575"/>
                      </a:xfrm>
                      <a:custGeom>
                        <a:avLst/>
                        <a:gdLst/>
                        <a:ahLst/>
                        <a:cxnLst>
                          <a:cxn ang="0">
                            <a:pos x="0" y="2018"/>
                          </a:cxn>
                          <a:cxn ang="0">
                            <a:pos x="108" y="1194"/>
                          </a:cxn>
                          <a:cxn ang="0">
                            <a:pos x="432" y="338"/>
                          </a:cxn>
                          <a:cxn ang="0">
                            <a:pos x="864" y="50"/>
                          </a:cxn>
                          <a:cxn ang="0">
                            <a:pos x="1880" y="638"/>
                          </a:cxn>
                          <a:cxn ang="0">
                            <a:pos x="3048" y="1578"/>
                          </a:cxn>
                          <a:cxn ang="0">
                            <a:pos x="3456" y="2018"/>
                          </a:cxn>
                        </a:cxnLst>
                        <a:rect l="0" t="0" r="r" b="b"/>
                        <a:pathLst>
                          <a:path w="3456" h="2018">
                            <a:moveTo>
                              <a:pt x="0" y="2018"/>
                            </a:moveTo>
                            <a:cubicBezTo>
                              <a:pt x="18" y="1881"/>
                              <a:pt x="36" y="1474"/>
                              <a:pt x="108" y="1194"/>
                            </a:cubicBezTo>
                            <a:cubicBezTo>
                              <a:pt x="180" y="914"/>
                              <a:pt x="306" y="529"/>
                              <a:pt x="432" y="338"/>
                            </a:cubicBezTo>
                            <a:cubicBezTo>
                              <a:pt x="558" y="147"/>
                              <a:pt x="623" y="0"/>
                              <a:pt x="864" y="50"/>
                            </a:cubicBezTo>
                            <a:cubicBezTo>
                              <a:pt x="1105" y="100"/>
                              <a:pt x="1516" y="383"/>
                              <a:pt x="1880" y="638"/>
                            </a:cubicBezTo>
                            <a:cubicBezTo>
                              <a:pt x="2244" y="893"/>
                              <a:pt x="2785" y="1348"/>
                              <a:pt x="3048" y="1578"/>
                            </a:cubicBezTo>
                            <a:cubicBezTo>
                              <a:pt x="3311" y="1808"/>
                              <a:pt x="3371" y="1926"/>
                              <a:pt x="3456" y="2018"/>
                            </a:cubicBezTo>
                          </a:path>
                        </a:pathLst>
                      </a:custGeom>
                      <a:noFill/>
                      <a:ln w="31750" cap="flat" cmpd="sng">
                        <a:solidFill>
                          <a:srgbClr val="FF0000"/>
                        </a:solidFill>
                        <a:prstDash val="solid"/>
                        <a:round/>
                        <a:headEnd type="arrow" w="med" len="med"/>
                        <a:tailEnd type="arrow" w="med" len="med"/>
                      </a:ln>
                      <a:effectLst/>
                    </a:spPr>
                    <a:txSp>
                      <a:txBody>
                        <a:bodyPr wrap="none" lIns="18000" tIns="10800" rIns="18000" bIns="10800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GB"/>
                        </a:p>
                      </a:txBody>
                      <a:useSpRect/>
                    </a:txSp>
                  </a:sp>
                  <a:sp>
                    <a:nvSpPr>
                      <a:cNvPr id="431346" name="Freeform 242"/>
                      <a:cNvSpPr>
                        <a:spLocks/>
                      </a:cNvSpPr>
                    </a:nvSpPr>
                    <a:spPr bwMode="auto">
                      <a:xfrm>
                        <a:off x="3048000" y="4800600"/>
                        <a:ext cx="3810000" cy="231775"/>
                      </a:xfrm>
                      <a:custGeom>
                        <a:avLst/>
                        <a:gdLst/>
                        <a:ahLst/>
                        <a:cxnLst>
                          <a:cxn ang="0">
                            <a:pos x="0" y="231"/>
                          </a:cxn>
                          <a:cxn ang="0">
                            <a:pos x="252" y="103"/>
                          </a:cxn>
                          <a:cxn ang="0">
                            <a:pos x="549" y="16"/>
                          </a:cxn>
                          <a:cxn ang="0">
                            <a:pos x="930" y="7"/>
                          </a:cxn>
                          <a:cxn ang="0">
                            <a:pos x="1467" y="40"/>
                          </a:cxn>
                          <a:cxn ang="0">
                            <a:pos x="2043" y="115"/>
                          </a:cxn>
                          <a:cxn ang="0">
                            <a:pos x="2400" y="231"/>
                          </a:cxn>
                        </a:cxnLst>
                        <a:rect l="0" t="0" r="r" b="b"/>
                        <a:pathLst>
                          <a:path w="2400" h="231">
                            <a:moveTo>
                              <a:pt x="0" y="231"/>
                            </a:moveTo>
                            <a:cubicBezTo>
                              <a:pt x="42" y="210"/>
                              <a:pt x="161" y="139"/>
                              <a:pt x="252" y="103"/>
                            </a:cubicBezTo>
                            <a:cubicBezTo>
                              <a:pt x="343" y="67"/>
                              <a:pt x="436" y="32"/>
                              <a:pt x="549" y="16"/>
                            </a:cubicBezTo>
                            <a:cubicBezTo>
                              <a:pt x="662" y="0"/>
                              <a:pt x="777" y="3"/>
                              <a:pt x="930" y="7"/>
                            </a:cubicBezTo>
                            <a:cubicBezTo>
                              <a:pt x="1083" y="11"/>
                              <a:pt x="1282" y="22"/>
                              <a:pt x="1467" y="40"/>
                            </a:cubicBezTo>
                            <a:cubicBezTo>
                              <a:pt x="1652" y="58"/>
                              <a:pt x="1888" y="83"/>
                              <a:pt x="2043" y="115"/>
                            </a:cubicBezTo>
                            <a:cubicBezTo>
                              <a:pt x="2198" y="147"/>
                              <a:pt x="2326" y="207"/>
                              <a:pt x="2400" y="231"/>
                            </a:cubicBezTo>
                          </a:path>
                        </a:pathLst>
                      </a:custGeom>
                      <a:noFill/>
                      <a:ln w="31750" cap="flat" cmpd="sng">
                        <a:solidFill>
                          <a:srgbClr val="009900"/>
                        </a:solidFill>
                        <a:prstDash val="solid"/>
                        <a:round/>
                        <a:headEnd type="arrow" w="med" len="med"/>
                        <a:tailEnd type="arrow" w="med" len="med"/>
                      </a:ln>
                      <a:effectLst/>
                    </a:spPr>
                    <a:txSp>
                      <a:txBody>
                        <a:bodyPr wrap="none" lIns="18000" tIns="10800" rIns="18000" bIns="10800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GB"/>
                        </a:p>
                      </a:txBody>
                      <a:useSpRect/>
                    </a:txSp>
                  </a:sp>
                  <a:sp>
                    <a:nvSpPr>
                      <a:cNvPr id="431347" name="Oval 243"/>
                      <a:cNvSpPr>
                        <a:spLocks noChangeArrowheads="1"/>
                      </a:cNvSpPr>
                    </a:nvSpPr>
                    <a:spPr bwMode="auto">
                      <a:xfrm>
                        <a:off x="2133600" y="4038600"/>
                        <a:ext cx="304800" cy="76200"/>
                      </a:xfrm>
                      <a:prstGeom prst="ellipse">
                        <a:avLst/>
                      </a:prstGeom>
                      <a:noFill/>
                      <a:ln w="6350">
                        <a:solidFill>
                          <a:schemeClr val="tx1"/>
                        </a:solidFill>
                        <a:prstDash val="dash"/>
                        <a:round/>
                        <a:headEnd type="none" w="sm" len="sm"/>
                        <a:tailEnd type="none" w="sm" len="sm"/>
                      </a:ln>
                      <a:effectLst/>
                    </a:spPr>
                    <a:txSp>
                      <a:txBody>
                        <a:bodyPr wrap="none" lIns="18000" tIns="10800" rIns="18000" bIns="10800" anchor="ctr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GB"/>
                        </a:p>
                      </a:txBody>
                      <a:useSpRect/>
                    </a:txSp>
                  </a:sp>
                  <a:sp>
                    <a:nvSpPr>
                      <a:cNvPr id="431348" name="Oval 244"/>
                      <a:cNvSpPr>
                        <a:spLocks noChangeArrowheads="1"/>
                      </a:cNvSpPr>
                    </a:nvSpPr>
                    <a:spPr bwMode="auto">
                      <a:xfrm rot="19677925">
                        <a:off x="5029200" y="2849563"/>
                        <a:ext cx="838200" cy="76200"/>
                      </a:xfrm>
                      <a:prstGeom prst="ellipse">
                        <a:avLst/>
                      </a:prstGeom>
                      <a:noFill/>
                      <a:ln w="6350">
                        <a:solidFill>
                          <a:schemeClr val="tx1"/>
                        </a:solidFill>
                        <a:prstDash val="dash"/>
                        <a:round/>
                        <a:headEnd type="none" w="sm" len="sm"/>
                        <a:tailEnd type="none" w="sm" len="sm"/>
                      </a:ln>
                      <a:effectLst/>
                    </a:spPr>
                    <a:txSp>
                      <a:txBody>
                        <a:bodyPr wrap="none" lIns="18000" tIns="10800" rIns="18000" bIns="10800" anchor="ctr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GB"/>
                        </a:p>
                      </a:txBody>
                      <a:useSpRect/>
                    </a:txSp>
                  </a:sp>
                  <a:sp>
                    <a:nvSpPr>
                      <a:cNvPr id="431349" name="Text Box 24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600200" y="2057400"/>
                        <a:ext cx="1524000" cy="3048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tx1"/>
                        </a:solidFill>
                        <a:prstDash val="dash"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lIns="45720" rIns="45720" bIns="46800" anchor="ctr" anchorCtr="1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i="1">
                              <a:latin typeface="Trebuchet MS" pitchFamily="34" charset="0"/>
                            </a:rPr>
                            <a:t>SDP Mapper 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431350" name="AutoShape 246"/>
                      <a:cNvSpPr>
                        <a:spLocks noChangeArrowheads="1"/>
                      </a:cNvSpPr>
                    </a:nvSpPr>
                    <a:spPr bwMode="auto">
                      <a:xfrm>
                        <a:off x="5097016" y="1196752"/>
                        <a:ext cx="2304256" cy="533400"/>
                      </a:xfrm>
                      <a:prstGeom prst="wedgeRectCallout">
                        <a:avLst>
                          <a:gd name="adj1" fmla="val -49162"/>
                          <a:gd name="adj2" fmla="val 154463"/>
                        </a:avLst>
                      </a:prstGeom>
                      <a:solidFill>
                        <a:schemeClr val="bg1">
                          <a:alpha val="50000"/>
                        </a:schemeClr>
                      </a:solidFill>
                      <a:ln w="317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lIns="36000" tIns="36000" rIns="36000" bIns="36000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b="1" dirty="0" smtClean="0">
                              <a:latin typeface="Trebuchet MS" pitchFamily="34" charset="0"/>
                            </a:rPr>
                            <a:t>Category 1: </a:t>
                          </a:r>
                          <a:r>
                            <a:rPr lang="en-US" sz="1400" b="1" dirty="0" smtClean="0">
                              <a:solidFill>
                                <a:schemeClr val="accent2"/>
                              </a:solidFill>
                              <a:latin typeface="Trebuchet MS" pitchFamily="34" charset="0"/>
                            </a:rPr>
                            <a:t>Signaling Path Keying Techniques</a:t>
                          </a:r>
                          <a:endParaRPr lang="en-GB" sz="1400" b="1" dirty="0">
                            <a:solidFill>
                              <a:srgbClr val="160098"/>
                            </a:solidFill>
                            <a:latin typeface="Trebuchet MS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4" name="AutoShape 246"/>
                      <a:cNvSpPr>
                        <a:spLocks noChangeArrowheads="1"/>
                      </a:cNvSpPr>
                    </a:nvSpPr>
                    <a:spPr bwMode="auto">
                      <a:xfrm>
                        <a:off x="3728864" y="3717032"/>
                        <a:ext cx="2016224" cy="533400"/>
                      </a:xfrm>
                      <a:prstGeom prst="wedgeRectCallout">
                        <a:avLst>
                          <a:gd name="adj1" fmla="val -15892"/>
                          <a:gd name="adj2" fmla="val 140610"/>
                        </a:avLst>
                      </a:prstGeom>
                      <a:solidFill>
                        <a:schemeClr val="bg1">
                          <a:alpha val="50000"/>
                        </a:schemeClr>
                      </a:solidFill>
                      <a:ln w="317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lIns="36000" tIns="36000" rIns="36000" bIns="36000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b="1" dirty="0" smtClean="0">
                              <a:latin typeface="Trebuchet MS" pitchFamily="34" charset="0"/>
                            </a:rPr>
                            <a:t>Category 2: </a:t>
                          </a:r>
                          <a:r>
                            <a:rPr lang="en-US" sz="1400" b="1" dirty="0" smtClean="0">
                              <a:solidFill>
                                <a:srgbClr val="009900"/>
                              </a:solidFill>
                              <a:latin typeface="Trebuchet MS" pitchFamily="34" charset="0"/>
                            </a:rPr>
                            <a:t>Media Path Keying Techniques</a:t>
                          </a:r>
                          <a:endParaRPr lang="en-GB" sz="1400" b="1" dirty="0">
                            <a:solidFill>
                              <a:srgbClr val="009900"/>
                            </a:solidFill>
                            <a:latin typeface="Trebuchet MS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5" name="AutoShape 246"/>
                      <a:cNvSpPr>
                        <a:spLocks noChangeArrowheads="1"/>
                      </a:cNvSpPr>
                    </a:nvSpPr>
                    <a:spPr bwMode="auto">
                      <a:xfrm>
                        <a:off x="6249144" y="2492896"/>
                        <a:ext cx="2664296" cy="533400"/>
                      </a:xfrm>
                      <a:prstGeom prst="wedgeRectCallout">
                        <a:avLst>
                          <a:gd name="adj1" fmla="val -32879"/>
                          <a:gd name="adj2" fmla="val 107710"/>
                        </a:avLst>
                      </a:prstGeom>
                      <a:solidFill>
                        <a:schemeClr val="bg1">
                          <a:alpha val="50000"/>
                        </a:schemeClr>
                      </a:solidFill>
                      <a:ln w="317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lIns="36000" tIns="36000" rIns="36000" bIns="36000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b="1" dirty="0" smtClean="0">
                              <a:latin typeface="Trebuchet MS" pitchFamily="34" charset="0"/>
                            </a:rPr>
                            <a:t>Category 3: </a:t>
                          </a:r>
                          <a:r>
                            <a:rPr lang="en-US" sz="1400" b="1" dirty="0" smtClean="0">
                              <a:solidFill>
                                <a:srgbClr val="C00000"/>
                              </a:solidFill>
                              <a:latin typeface="Trebuchet MS" pitchFamily="34" charset="0"/>
                            </a:rPr>
                            <a:t>Signaling &amp; </a:t>
                          </a:r>
                          <a:r>
                            <a:rPr lang="en-US" sz="1400" b="1" dirty="0" smtClean="0">
                              <a:solidFill>
                                <a:srgbClr val="009900"/>
                              </a:solidFill>
                              <a:latin typeface="Trebuchet MS" pitchFamily="34" charset="0"/>
                            </a:rPr>
                            <a:t>Media Path </a:t>
                          </a:r>
                          <a:r>
                            <a:rPr lang="en-US" sz="1400" b="1" dirty="0" smtClean="0">
                              <a:latin typeface="Trebuchet MS" pitchFamily="34" charset="0"/>
                            </a:rPr>
                            <a:t>Keying Techniques</a:t>
                          </a:r>
                          <a:endParaRPr lang="en-GB" sz="1400" b="1" dirty="0">
                            <a:latin typeface="Trebuchet MS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6" name="AutoShape 246"/>
                      <a:cNvSpPr>
                        <a:spLocks noChangeArrowheads="1"/>
                      </a:cNvSpPr>
                    </a:nvSpPr>
                    <a:spPr bwMode="auto">
                      <a:xfrm>
                        <a:off x="272480" y="3429000"/>
                        <a:ext cx="1152128" cy="288032"/>
                      </a:xfrm>
                      <a:prstGeom prst="wedgeRectCallout">
                        <a:avLst>
                          <a:gd name="adj1" fmla="val 118619"/>
                          <a:gd name="adj2" fmla="val 34662"/>
                        </a:avLst>
                      </a:prstGeom>
                      <a:solidFill>
                        <a:schemeClr val="bg1">
                          <a:alpha val="50000"/>
                        </a:schemeClr>
                      </a:solidFill>
                      <a:ln w="317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lIns="36000" tIns="36000" rIns="36000" bIns="36000" anchor="ctr"/>
                        <a:lstStyle>
                          <a:defPPr>
                            <a:defRPr lang="en-US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6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b="1" dirty="0" smtClean="0">
                              <a:solidFill>
                                <a:schemeClr val="tx2">
                                  <a:lumMod val="75000"/>
                                  <a:lumOff val="25000"/>
                                </a:schemeClr>
                              </a:solidFill>
                              <a:latin typeface="Trebuchet MS" pitchFamily="34" charset="0"/>
                            </a:rPr>
                            <a:t>H.248.77</a:t>
                          </a:r>
                          <a:endParaRPr lang="en-GB" b="1" dirty="0">
                            <a:solidFill>
                              <a:schemeClr val="tx2">
                                <a:lumMod val="75000"/>
                                <a:lumOff val="25000"/>
                              </a:schemeClr>
                            </a:solidFill>
                            <a:latin typeface="Trebuchet MS" pitchFamily="34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7D1E08" w:rsidRPr="005F1889" w:rsidRDefault="007D1E08" w:rsidP="007D1E08">
      <w:pPr>
        <w:pStyle w:val="FigureNoTitle0"/>
      </w:pPr>
      <w:bookmarkStart w:id="6" w:name="_Toc410739980"/>
      <w:r w:rsidRPr="005F1889">
        <w:t xml:space="preserve">Figure </w:t>
      </w:r>
      <w:r w:rsidR="00F03535" w:rsidRPr="005F1889">
        <w:t>2</w:t>
      </w:r>
      <w:r w:rsidRPr="005F1889">
        <w:t xml:space="preserve"> – </w:t>
      </w:r>
      <w:bookmarkEnd w:id="6"/>
      <w:r w:rsidRPr="005F1889">
        <w:t>Example scenario: H.248 Media Gateway peering an IP Terminal</w:t>
      </w:r>
      <w:r w:rsidRPr="005F1889">
        <w:br/>
        <w:t>Key exchange management between SRTP endpoints</w:t>
      </w:r>
    </w:p>
    <w:p w:rsidR="003F10F5" w:rsidRPr="005F1889" w:rsidRDefault="00013AC3" w:rsidP="00FE1DA9">
      <w:r w:rsidRPr="005F1889">
        <w:t xml:space="preserve">The three categories are termed as </w:t>
      </w:r>
      <w:r w:rsidRPr="005F1889">
        <w:rPr>
          <w:i/>
        </w:rPr>
        <w:t>signaling path</w:t>
      </w:r>
      <w:r w:rsidRPr="005F1889">
        <w:t xml:space="preserve"> keying techniques (1), </w:t>
      </w:r>
      <w:r w:rsidRPr="005F1889">
        <w:rPr>
          <w:i/>
        </w:rPr>
        <w:t>media path</w:t>
      </w:r>
      <w:r w:rsidRPr="005F1889">
        <w:t xml:space="preserve"> keying techniques (2) and </w:t>
      </w:r>
      <w:r w:rsidRPr="005F1889">
        <w:rPr>
          <w:i/>
        </w:rPr>
        <w:t>signaling and media path</w:t>
      </w:r>
      <w:r w:rsidRPr="005F1889">
        <w:t xml:space="preserve"> keying techniques (3).</w:t>
      </w:r>
    </w:p>
    <w:p w:rsidR="00013AC3" w:rsidRPr="005F1889" w:rsidRDefault="00013AC3" w:rsidP="00FE1DA9"/>
    <w:p w:rsidR="00FE1DA9" w:rsidRPr="005F1889" w:rsidRDefault="0030108C" w:rsidP="00FE1DA9">
      <w:pPr>
        <w:rPr>
          <w:b/>
          <w:lang w:eastAsia="ja-JP"/>
        </w:rPr>
      </w:pPr>
      <w:r w:rsidRPr="005F1889">
        <w:rPr>
          <w:b/>
          <w:lang w:eastAsia="ja-JP"/>
        </w:rPr>
        <w:t>2</w:t>
      </w:r>
      <w:r w:rsidR="00FE1DA9" w:rsidRPr="005F1889">
        <w:rPr>
          <w:b/>
          <w:lang w:eastAsia="ja-JP"/>
        </w:rPr>
        <w:tab/>
        <w:t>Discussion</w:t>
      </w:r>
    </w:p>
    <w:p w:rsidR="002460B5" w:rsidRPr="005F1889" w:rsidRDefault="002460B5" w:rsidP="002460B5">
      <w:pPr>
        <w:rPr>
          <w:b/>
          <w:lang w:eastAsia="ja-JP"/>
        </w:rPr>
      </w:pPr>
      <w:r w:rsidRPr="005F1889">
        <w:rPr>
          <w:b/>
          <w:lang w:eastAsia="ja-JP"/>
        </w:rPr>
        <w:t>2.1</w:t>
      </w:r>
      <w:r w:rsidRPr="005F1889">
        <w:rPr>
          <w:b/>
          <w:lang w:eastAsia="ja-JP"/>
        </w:rPr>
        <w:tab/>
        <w:t>Topic #1: Key management category dependent H.248 support?</w:t>
      </w:r>
    </w:p>
    <w:p w:rsidR="00013AC3" w:rsidRPr="005F1889" w:rsidRDefault="00013AC3" w:rsidP="00013AC3">
      <w:r w:rsidRPr="005F1889">
        <w:t xml:space="preserve">It is obvious from Figure 2 that H.248 signalling is directly involved in categories 1 and 3, where all or partial SRTP key management information is subject of the (call and gateway control) signaling plane. H.248.77 (09/2010) does support only the </w:t>
      </w:r>
      <w:r w:rsidRPr="005F1889">
        <w:rPr>
          <w:i/>
        </w:rPr>
        <w:t>SDES</w:t>
      </w:r>
      <w:r w:rsidRPr="005F1889">
        <w:t xml:space="preserve"> based key management scheme, which belong</w:t>
      </w:r>
      <w:r w:rsidR="00D00BD1" w:rsidRPr="005F1889">
        <w:t>s</w:t>
      </w:r>
      <w:r w:rsidRPr="005F1889">
        <w:t xml:space="preserve"> to category one. The current revision of H.248.77 adds </w:t>
      </w:r>
      <w:r w:rsidRPr="005F1889">
        <w:rPr>
          <w:i/>
        </w:rPr>
        <w:t>DTLS-SRTP</w:t>
      </w:r>
      <w:r w:rsidRPr="005F1889">
        <w:t xml:space="preserve"> as a second supported key management scheme</w:t>
      </w:r>
      <w:r w:rsidR="00D2319C" w:rsidRPr="005F1889">
        <w:t>, which belongs to category 2</w:t>
      </w:r>
      <w:r w:rsidRPr="005F1889">
        <w:t>.</w:t>
      </w:r>
    </w:p>
    <w:p w:rsidR="00D2319C" w:rsidRPr="005F1889" w:rsidRDefault="00D2319C" w:rsidP="00013AC3">
      <w:r w:rsidRPr="005F1889">
        <w:t>Well, the information flow of category 2 is solely along the (IP) media path (</w:t>
      </w:r>
      <w:r w:rsidR="00D00BD1" w:rsidRPr="005F1889">
        <w:t>aka</w:t>
      </w:r>
      <w:r w:rsidRPr="005F1889">
        <w:t xml:space="preserve"> H.248 bearer plane), - why is any H.248 support required at all? H.248.93 on DTLS could </w:t>
      </w:r>
      <w:r w:rsidR="00D00BD1" w:rsidRPr="005F1889">
        <w:t xml:space="preserve">also </w:t>
      </w:r>
      <w:r w:rsidRPr="005F1889">
        <w:t>address DTLS-SRTP as well</w:t>
      </w:r>
      <w:r w:rsidR="00D00BD1" w:rsidRPr="005F1889">
        <w:t>, right</w:t>
      </w:r>
      <w:r w:rsidRPr="005F1889">
        <w:t>?</w:t>
      </w:r>
    </w:p>
    <w:p w:rsidR="00D2319C" w:rsidRPr="005F1889" w:rsidRDefault="00D2319C" w:rsidP="00013AC3">
      <w:r w:rsidRPr="005F1889">
        <w:t>The rationale behind again is the fact that a single H.248 MG must support multiple SRTP key management schemes in parallel.</w:t>
      </w:r>
      <w:r w:rsidR="00A54946" w:rsidRPr="005F1889">
        <w:t xml:space="preserve"> There is consequently a H.248 specific signalling requirement for the </w:t>
      </w:r>
      <w:r w:rsidR="00A54946" w:rsidRPr="005F1889">
        <w:rPr>
          <w:i/>
        </w:rPr>
        <w:t>indication of a particular SRTP key management scheme</w:t>
      </w:r>
      <w:r w:rsidR="00A54946" w:rsidRPr="005F1889">
        <w:t>, - independent of the three categories.</w:t>
      </w:r>
    </w:p>
    <w:p w:rsidR="002460B5" w:rsidRPr="005F1889" w:rsidRDefault="002460B5" w:rsidP="002460B5">
      <w:pPr>
        <w:rPr>
          <w:b/>
          <w:lang w:eastAsia="ja-JP"/>
        </w:rPr>
      </w:pPr>
      <w:r w:rsidRPr="005F1889">
        <w:rPr>
          <w:b/>
          <w:lang w:eastAsia="ja-JP"/>
        </w:rPr>
        <w:t>2.2</w:t>
      </w:r>
      <w:r w:rsidRPr="005F1889">
        <w:rPr>
          <w:b/>
          <w:lang w:eastAsia="ja-JP"/>
        </w:rPr>
        <w:tab/>
        <w:t>Topic #2: Generic versus key management specific H.248 signalling requirements</w:t>
      </w:r>
    </w:p>
    <w:p w:rsidR="002460B5" w:rsidRPr="005F1889" w:rsidRDefault="00B558C8" w:rsidP="00013AC3">
      <w:r w:rsidRPr="005F1889">
        <w:t xml:space="preserve">Figure 3 illustrates the </w:t>
      </w:r>
      <w:r w:rsidRPr="005F1889">
        <w:rPr>
          <w:i/>
        </w:rPr>
        <w:t>srtp</w:t>
      </w:r>
      <w:r w:rsidRPr="005F1889">
        <w:t xml:space="preserve"> package design as well as </w:t>
      </w:r>
      <w:r w:rsidRPr="005F1889">
        <w:rPr>
          <w:i/>
        </w:rPr>
        <w:t>key management specific usage profile</w:t>
      </w:r>
      <w:r w:rsidR="00D00BD1" w:rsidRPr="005F1889">
        <w:rPr>
          <w:i/>
        </w:rPr>
        <w:t>s</w:t>
      </w:r>
      <w:r w:rsidRPr="005F1889">
        <w:t>:</w:t>
      </w:r>
    </w:p>
    <w:p w:rsidR="004668F9" w:rsidRPr="005F1889" w:rsidRDefault="00B558C8" w:rsidP="004668F9">
      <w:pPr>
        <w:pStyle w:val="Figure"/>
      </w:pPr>
      <w:r w:rsidRPr="005F1889">
        <w:rPr>
          <w:noProof/>
        </w:rPr>
        <w:drawing>
          <wp:inline distT="0" distB="0" distL="0" distR="0">
            <wp:extent cx="6120765" cy="4953168"/>
            <wp:effectExtent l="1905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953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68F9" w:rsidRPr="005F1889" w:rsidRDefault="004668F9" w:rsidP="004668F9">
      <w:pPr>
        <w:pStyle w:val="FigureNotitle"/>
      </w:pPr>
      <w:bookmarkStart w:id="7" w:name="_Toc327950242"/>
      <w:bookmarkStart w:id="8" w:name="_Toc382917499"/>
      <w:r w:rsidRPr="005F1889">
        <w:t xml:space="preserve">Figure 3 – </w:t>
      </w:r>
      <w:bookmarkEnd w:id="7"/>
      <w:bookmarkEnd w:id="8"/>
      <w:r w:rsidRPr="005F1889">
        <w:t xml:space="preserve">H.248 </w:t>
      </w:r>
      <w:r w:rsidR="00B67E6D" w:rsidRPr="005F1889">
        <w:rPr>
          <w:i/>
        </w:rPr>
        <w:t>srtp</w:t>
      </w:r>
      <w:r w:rsidRPr="005F1889">
        <w:t xml:space="preserve"> package – </w:t>
      </w:r>
      <w:r w:rsidR="00B558C8" w:rsidRPr="005F1889">
        <w:t>Structure and key management specific usage profile</w:t>
      </w:r>
      <w:r w:rsidR="00D00BD1" w:rsidRPr="005F1889">
        <w:t>s</w:t>
      </w:r>
    </w:p>
    <w:p w:rsidR="000D10B8" w:rsidRPr="005F1889" w:rsidRDefault="000D10B8" w:rsidP="0030108C">
      <w:r w:rsidRPr="005F1889">
        <w:lastRenderedPageBreak/>
        <w:t xml:space="preserve">There are essentially two </w:t>
      </w:r>
      <w:r w:rsidRPr="005F1889">
        <w:rPr>
          <w:i/>
        </w:rPr>
        <w:t>network subfunctions</w:t>
      </w:r>
      <w:r w:rsidRPr="005F1889">
        <w:t xml:space="preserve"> behind </w:t>
      </w:r>
      <w:r w:rsidR="00D00BD1" w:rsidRPr="005F1889">
        <w:t>each</w:t>
      </w:r>
      <w:r w:rsidRPr="005F1889">
        <w:t xml:space="preserve"> </w:t>
      </w:r>
      <w:r w:rsidRPr="005F1889">
        <w:rPr>
          <w:i/>
        </w:rPr>
        <w:t>srtp</w:t>
      </w:r>
      <w:r w:rsidRPr="005F1889">
        <w:t xml:space="preserve"> package element:</w:t>
      </w:r>
    </w:p>
    <w:p w:rsidR="000D10B8" w:rsidRPr="005F1889" w:rsidRDefault="000D10B8" w:rsidP="000D10B8">
      <w:pPr>
        <w:pStyle w:val="ListParagraph"/>
        <w:numPr>
          <w:ilvl w:val="0"/>
          <w:numId w:val="29"/>
        </w:numPr>
      </w:pPr>
      <w:r w:rsidRPr="005F1889">
        <w:t>the "secure RTP function" in the packet path and</w:t>
      </w:r>
    </w:p>
    <w:p w:rsidR="000D10B8" w:rsidRPr="005F1889" w:rsidRDefault="000D10B8" w:rsidP="000D10B8">
      <w:pPr>
        <w:pStyle w:val="ListParagraph"/>
        <w:numPr>
          <w:ilvl w:val="0"/>
          <w:numId w:val="29"/>
        </w:numPr>
      </w:pPr>
      <w:r w:rsidRPr="005F1889">
        <w:t>the SRTP key management function</w:t>
      </w:r>
      <w:r w:rsidR="00D00BD1" w:rsidRPr="005F1889">
        <w:t xml:space="preserve"> in the control path</w:t>
      </w:r>
      <w:r w:rsidRPr="005F1889">
        <w:t>.</w:t>
      </w:r>
    </w:p>
    <w:p w:rsidR="000D10B8" w:rsidRPr="005F1889" w:rsidRDefault="000D10B8" w:rsidP="0030108C">
      <w:r w:rsidRPr="005F1889">
        <w:t xml:space="preserve">The original package design was done from SDES specific view only. Figure 3 makes an attempt in qualifying the </w:t>
      </w:r>
      <w:r w:rsidRPr="005F1889">
        <w:rPr>
          <w:i/>
        </w:rPr>
        <w:t>srtp</w:t>
      </w:r>
      <w:r w:rsidRPr="005F1889">
        <w:t xml:space="preserve"> </w:t>
      </w:r>
      <w:r w:rsidRPr="005F1889">
        <w:rPr>
          <w:i/>
        </w:rPr>
        <w:t>v1</w:t>
      </w:r>
      <w:r w:rsidRPr="005F1889">
        <w:t xml:space="preserve"> package elements as "</w:t>
      </w:r>
      <w:r w:rsidRPr="005F1889">
        <w:rPr>
          <w:i/>
        </w:rPr>
        <w:t>generic</w:t>
      </w:r>
      <w:r w:rsidRPr="005F1889">
        <w:t>" (when SRTP key management scheme independent) and "</w:t>
      </w:r>
      <w:r w:rsidRPr="005F1889">
        <w:rPr>
          <w:i/>
        </w:rPr>
        <w:t>specific</w:t>
      </w:r>
      <w:r w:rsidRPr="005F1889">
        <w:t>" (when tightly coupled to SDES functionality).</w:t>
      </w:r>
    </w:p>
    <w:p w:rsidR="000D10B8" w:rsidRPr="005F1889" w:rsidRDefault="000D10B8" w:rsidP="0030108C">
      <w:r w:rsidRPr="005F1889">
        <w:t>Further, Figure 3 provides key management scheme specific columns "SDES" and "DTLS-SRTP". All elements in the SDES colum</w:t>
      </w:r>
      <w:r w:rsidR="00D00BD1" w:rsidRPr="005F1889">
        <w:t>n</w:t>
      </w:r>
      <w:r w:rsidRPr="005F1889">
        <w:t xml:space="preserve"> are of course tagged as "Used". The basic question</w:t>
      </w:r>
      <w:r w:rsidR="00D00BD1" w:rsidRPr="005F1889">
        <w:t>s for "DTLS-SRTP" are</w:t>
      </w:r>
      <w:r w:rsidRPr="005F1889">
        <w:t xml:space="preserve"> then the following</w:t>
      </w:r>
      <w:r w:rsidR="00D00BD1" w:rsidRPr="005F1889">
        <w:t>s</w:t>
      </w:r>
      <w:r w:rsidRPr="005F1889">
        <w:t>:</w:t>
      </w:r>
    </w:p>
    <w:p w:rsidR="000D10B8" w:rsidRPr="005F1889" w:rsidRDefault="000D10B8" w:rsidP="000D10B8">
      <w:pPr>
        <w:pStyle w:val="ListParagraph"/>
        <w:numPr>
          <w:ilvl w:val="0"/>
          <w:numId w:val="30"/>
        </w:numPr>
      </w:pPr>
      <w:r w:rsidRPr="005F1889">
        <w:t>Is the package element required at all for the next SRTP key management scheme?</w:t>
      </w:r>
    </w:p>
    <w:p w:rsidR="000D10B8" w:rsidRPr="005F1889" w:rsidRDefault="000D10B8" w:rsidP="000D10B8">
      <w:pPr>
        <w:pStyle w:val="ListParagraph"/>
        <w:numPr>
          <w:ilvl w:val="0"/>
          <w:numId w:val="30"/>
        </w:numPr>
      </w:pPr>
      <w:r w:rsidRPr="005F1889">
        <w:t>If yes, is the package element completely reusable without any modification?</w:t>
      </w:r>
    </w:p>
    <w:p w:rsidR="000D10B8" w:rsidRPr="005F1889" w:rsidRDefault="000D10B8" w:rsidP="000D10B8">
      <w:pPr>
        <w:pStyle w:val="ListParagraph"/>
        <w:numPr>
          <w:ilvl w:val="0"/>
          <w:numId w:val="30"/>
        </w:numPr>
      </w:pPr>
      <w:r w:rsidRPr="005F1889">
        <w:t>If no, could the package element used as baseline for an extension?</w:t>
      </w:r>
    </w:p>
    <w:p w:rsidR="000D10B8" w:rsidRPr="005F1889" w:rsidRDefault="000D10B8" w:rsidP="000D10B8">
      <w:pPr>
        <w:pStyle w:val="ListParagraph"/>
        <w:numPr>
          <w:ilvl w:val="0"/>
          <w:numId w:val="30"/>
        </w:numPr>
      </w:pPr>
      <w:r w:rsidRPr="005F1889">
        <w:t>If no, is a new package element required?</w:t>
      </w:r>
    </w:p>
    <w:p w:rsidR="0030108C" w:rsidRPr="005F1889" w:rsidRDefault="000D10B8" w:rsidP="0030108C">
      <w:r w:rsidRPr="005F1889">
        <w:t xml:space="preserve">Figure 3 provides a provisional classification ("which is used as baseline </w:t>
      </w:r>
      <w:r w:rsidR="00D00BD1" w:rsidRPr="005F1889">
        <w:t xml:space="preserve">for the </w:t>
      </w:r>
      <w:r w:rsidRPr="005F1889">
        <w:rPr>
          <w:b/>
        </w:rPr>
        <w:t>AVD-4692</w:t>
      </w:r>
      <w:r w:rsidRPr="005F1889">
        <w:t xml:space="preserve"> change proposals").</w:t>
      </w:r>
    </w:p>
    <w:p w:rsidR="002460B5" w:rsidRPr="005F1889" w:rsidRDefault="002460B5" w:rsidP="002460B5">
      <w:pPr>
        <w:rPr>
          <w:b/>
          <w:lang w:eastAsia="ja-JP"/>
        </w:rPr>
      </w:pPr>
      <w:r w:rsidRPr="005F1889">
        <w:rPr>
          <w:b/>
          <w:lang w:eastAsia="ja-JP"/>
        </w:rPr>
        <w:t>2.3</w:t>
      </w:r>
      <w:r w:rsidRPr="005F1889">
        <w:rPr>
          <w:b/>
          <w:lang w:eastAsia="ja-JP"/>
        </w:rPr>
        <w:tab/>
        <w:t>Topic #3: H.248.77 packages design considerations</w:t>
      </w:r>
    </w:p>
    <w:p w:rsidR="002460B5" w:rsidRPr="005F1889" w:rsidRDefault="006405A7" w:rsidP="0030108C">
      <w:r w:rsidRPr="005F1889">
        <w:t>There are basically three options how new SRTP key management schemes could be integrated in H.248.77, see Figure 4:</w:t>
      </w:r>
    </w:p>
    <w:p w:rsidR="00A73388" w:rsidRPr="005F1889" w:rsidRDefault="00684423" w:rsidP="00A73388">
      <w:pPr>
        <w:pStyle w:val="Figure"/>
      </w:pPr>
      <w:r w:rsidRPr="005F1889">
        <w:object w:dxaOrig="10978" w:dyaOrig="50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75pt;height:221.3pt" o:ole="">
            <v:imagedata r:id="rId10" o:title=""/>
          </v:shape>
          <o:OLEObject Type="Embed" ProgID="Visio.Drawing.11" ShapeID="_x0000_i1025" DrawAspect="Content" ObjectID="_1494011636" r:id="rId11"/>
        </w:object>
      </w:r>
    </w:p>
    <w:p w:rsidR="00A73388" w:rsidRPr="005F1889" w:rsidRDefault="00A73388" w:rsidP="00A73388">
      <w:pPr>
        <w:pStyle w:val="FigureNotitle"/>
      </w:pPr>
      <w:r w:rsidRPr="005F1889">
        <w:t xml:space="preserve">Figure 4 – </w:t>
      </w:r>
      <w:r w:rsidR="006405A7" w:rsidRPr="005F1889">
        <w:t>H.248.77 packages design considerations</w:t>
      </w:r>
    </w:p>
    <w:p w:rsidR="002460B5" w:rsidRPr="005F1889" w:rsidRDefault="006405A7" w:rsidP="0030108C">
      <w:r w:rsidRPr="005F1889">
        <w:t xml:space="preserve">The basic result of Figure 3, - which implies that multiple srtp v1 packages elements needs to be revised from DTLS-SRTP perspective -, could lead to the conclusion that a new DTLS-SRTP specific extension package (option 2) or a new self-contained DTLS-SRTP package (option 3) might be the cleanest approach from perspective of protocol semantics and </w:t>
      </w:r>
      <w:r w:rsidR="00D00BD1" w:rsidRPr="005F1889">
        <w:t xml:space="preserve">structured </w:t>
      </w:r>
      <w:r w:rsidRPr="005F1889">
        <w:t>specification.</w:t>
      </w:r>
    </w:p>
    <w:p w:rsidR="006405A7" w:rsidRPr="005F1889" w:rsidRDefault="006405A7" w:rsidP="0030108C">
      <w:r w:rsidRPr="005F1889">
        <w:t xml:space="preserve">On contrary, the "generic" attribution of the majority of srtp package elements (see Figure 3) underlines the design approach in just upversioning the </w:t>
      </w:r>
      <w:r w:rsidRPr="005F1889">
        <w:rPr>
          <w:i/>
        </w:rPr>
        <w:t>srtp</w:t>
      </w:r>
      <w:r w:rsidRPr="005F1889">
        <w:t xml:space="preserve"> package (option 1) </w:t>
      </w:r>
      <w:r w:rsidR="00D00BD1" w:rsidRPr="005F1889">
        <w:t>when</w:t>
      </w:r>
      <w:r w:rsidRPr="005F1889">
        <w:t xml:space="preserve"> new SRTP key management schemes</w:t>
      </w:r>
      <w:r w:rsidR="00D00BD1" w:rsidRPr="005F1889">
        <w:t xml:space="preserve"> are required to be supported</w:t>
      </w:r>
      <w:r w:rsidRPr="005F1889">
        <w:t>.</w:t>
      </w:r>
    </w:p>
    <w:p w:rsidR="006405A7" w:rsidRPr="005F1889" w:rsidRDefault="006405A7" w:rsidP="0030108C">
      <w:r w:rsidRPr="005F1889">
        <w:lastRenderedPageBreak/>
        <w:t>We are still undecided at this stage, more analysis seems to be beneficial. Present draft H.248.77 follows option 1.</w:t>
      </w:r>
      <w:r w:rsidR="00683B4D" w:rsidRPr="005F1889">
        <w:t xml:space="preserve"> Option 1 might be also in the end sufficient when H.248.77 could survive with two SRTP key management schemes only in future. But what happens in case of a 3</w:t>
      </w:r>
      <w:r w:rsidR="00683B4D" w:rsidRPr="005F1889">
        <w:rPr>
          <w:vertAlign w:val="superscript"/>
        </w:rPr>
        <w:t>rd</w:t>
      </w:r>
      <w:r w:rsidR="00683B4D" w:rsidRPr="005F1889">
        <w:t xml:space="preserve"> scheme …?</w:t>
      </w:r>
    </w:p>
    <w:p w:rsidR="00AD1C39" w:rsidRPr="005F1889" w:rsidRDefault="00AD1C39" w:rsidP="0030108C">
      <w:r w:rsidRPr="005F1889">
        <w:t>("Well, all answers to these questions demand "just" the evaluation of all RFC 5479 SRTP key management schemes, or alternatively the consideration of the three categories only</w:t>
      </w:r>
      <w:r w:rsidR="001F144F" w:rsidRPr="005F1889">
        <w:t>, from perspective of H.248.77 design …</w:t>
      </w:r>
      <w:r w:rsidR="001F144F" w:rsidRPr="005F1889">
        <w:sym w:font="Wingdings" w:char="F04A"/>
      </w:r>
      <w:r w:rsidR="001F144F" w:rsidRPr="005F1889">
        <w:t>")</w:t>
      </w:r>
    </w:p>
    <w:p w:rsidR="00AC2CAE" w:rsidRPr="005F1889" w:rsidRDefault="0030108C" w:rsidP="00AC2CAE">
      <w:pPr>
        <w:rPr>
          <w:b/>
          <w:lang w:eastAsia="ja-JP"/>
        </w:rPr>
      </w:pPr>
      <w:r w:rsidRPr="005F1889">
        <w:rPr>
          <w:b/>
          <w:lang w:eastAsia="ja-JP"/>
        </w:rPr>
        <w:t>3</w:t>
      </w:r>
      <w:r w:rsidR="00FE1DA9" w:rsidRPr="005F1889">
        <w:rPr>
          <w:b/>
          <w:lang w:eastAsia="ja-JP"/>
        </w:rPr>
        <w:tab/>
      </w:r>
      <w:r w:rsidR="00A73388" w:rsidRPr="005F1889">
        <w:rPr>
          <w:b/>
          <w:lang w:eastAsia="ja-JP"/>
        </w:rPr>
        <w:t>Summary</w:t>
      </w:r>
    </w:p>
    <w:p w:rsidR="006C499C" w:rsidRPr="005F1889" w:rsidRDefault="00A73388">
      <w:r w:rsidRPr="005F1889">
        <w:t xml:space="preserve">This contribution provides a general discussion on the subject of multiple SRTP key management schemes versus H.248 support by </w:t>
      </w:r>
      <w:r w:rsidRPr="005F1889">
        <w:rPr>
          <w:i/>
        </w:rPr>
        <w:t>srtp</w:t>
      </w:r>
      <w:r w:rsidRPr="005F1889">
        <w:t xml:space="preserve"> package(s).</w:t>
      </w:r>
    </w:p>
    <w:p w:rsidR="00284A0E" w:rsidRPr="005F1889" w:rsidRDefault="00A73388" w:rsidP="00284A0E">
      <w:r w:rsidRPr="005F1889">
        <w:t>The contribution does not request any action.</w:t>
      </w:r>
    </w:p>
    <w:p w:rsidR="00C049A9" w:rsidRPr="005F1889" w:rsidRDefault="00C049A9" w:rsidP="00C049A9">
      <w:pPr>
        <w:jc w:val="center"/>
      </w:pPr>
      <w:r w:rsidRPr="005F1889">
        <w:t>____________________</w:t>
      </w:r>
    </w:p>
    <w:p w:rsidR="00C049A9" w:rsidRPr="005F1889" w:rsidRDefault="00C049A9"/>
    <w:sectPr w:rsidR="00C049A9" w:rsidRPr="005F1889" w:rsidSect="006C499C">
      <w:headerReference w:type="default" r:id="rId12"/>
      <w:footerReference w:type="first" r:id="rId13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CF1" w:rsidRDefault="00DD7CF1">
      <w:r>
        <w:separator/>
      </w:r>
    </w:p>
  </w:endnote>
  <w:endnote w:type="continuationSeparator" w:id="0">
    <w:p w:rsidR="00DD7CF1" w:rsidRDefault="00DD7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AD1C3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AD1C39" w:rsidRPr="007D5DAA" w:rsidRDefault="00AD1C39" w:rsidP="007D1E0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AD1C39" w:rsidRPr="00EC6836" w:rsidRDefault="00AD1C39" w:rsidP="007D1E08">
          <w:pPr>
            <w:pStyle w:val="Headingb"/>
            <w:spacing w:before="120"/>
            <w:rPr>
              <w:bCs/>
              <w:smallCaps/>
              <w:sz w:val="20"/>
            </w:rPr>
          </w:pPr>
          <w:r w:rsidRPr="00EC6836">
            <w:rPr>
              <w:bCs/>
              <w:smallCaps/>
              <w:sz w:val="20"/>
            </w:rPr>
            <w:t>Jens Guballa</w:t>
          </w:r>
        </w:p>
        <w:p w:rsidR="00AD1C39" w:rsidRPr="00EC6836" w:rsidRDefault="00AD1C39" w:rsidP="007D1E08">
          <w:pPr>
            <w:spacing w:before="0"/>
            <w:rPr>
              <w:sz w:val="20"/>
            </w:rPr>
          </w:pPr>
          <w:r w:rsidRPr="00EC6836">
            <w:rPr>
              <w:sz w:val="20"/>
            </w:rPr>
            <w:t>ALCATEL-LUCENT</w:t>
          </w:r>
        </w:p>
        <w:p w:rsidR="00AD1C39" w:rsidRPr="00EC6836" w:rsidRDefault="00AD1C39" w:rsidP="007D1E08">
          <w:pPr>
            <w:spacing w:before="0"/>
            <w:rPr>
              <w:sz w:val="20"/>
            </w:rPr>
          </w:pPr>
          <w:r w:rsidRPr="00EC6836">
            <w:rPr>
              <w:sz w:val="20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AD1C39" w:rsidRPr="007D5DAA" w:rsidRDefault="00AD1C39" w:rsidP="007D1E0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</w:t>
          </w:r>
          <w:r>
            <w:rPr>
              <w:sz w:val="20"/>
              <w:lang w:val="fr-FR"/>
            </w:rPr>
            <w:t>1303</w:t>
          </w:r>
        </w:p>
        <w:p w:rsidR="00AD1C39" w:rsidRPr="007D5DAA" w:rsidRDefault="00AD1C39" w:rsidP="007D1E0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AD1C39" w:rsidRPr="007D5DAA" w:rsidRDefault="00AD1C39" w:rsidP="007D1E0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86A4E">
              <w:rPr>
                <w:rStyle w:val="Hyperlink"/>
                <w:sz w:val="20"/>
                <w:lang w:val="fr-FR"/>
              </w:rPr>
              <w:t>Jens.Guballa@alcatel-lucent.com</w:t>
            </w:r>
          </w:hyperlink>
        </w:p>
      </w:tc>
    </w:tr>
    <w:tr w:rsidR="00AD1C3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AD1C39" w:rsidRPr="007D5DAA" w:rsidRDefault="00AD1C39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AD1C39" w:rsidRPr="007D5DAA" w:rsidRDefault="00AD1C39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AD1C39" w:rsidRPr="007D5DAA" w:rsidRDefault="00AD1C39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AD1C39" w:rsidRPr="007D5DAA" w:rsidRDefault="00AD1C39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AD1C39" w:rsidRPr="007D5DAA" w:rsidRDefault="00AD1C3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AD1C39" w:rsidRPr="007D5DAA" w:rsidRDefault="00AD1C3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AD1C39" w:rsidRPr="007D5DAA" w:rsidRDefault="00AD1C3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AD1C3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AD1C39" w:rsidRPr="007D5DAA" w:rsidRDefault="00AD1C39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AD1C39" w:rsidRPr="007D5DAA" w:rsidRDefault="00AD1C39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:rsidR="00AD1C39" w:rsidRPr="007D5DAA" w:rsidRDefault="00AD1C3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:rsidR="00AD1C39" w:rsidRPr="007D5DAA" w:rsidRDefault="00AD1C39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AD1C39" w:rsidRPr="007D5DAA" w:rsidRDefault="00AD1C3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AD1C39" w:rsidRPr="007D5DAA" w:rsidRDefault="00AD1C3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AD1C39" w:rsidRPr="007D5DAA" w:rsidRDefault="00AD1C3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AD1C3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AD1C39" w:rsidRPr="007D5DAA" w:rsidRDefault="00AD1C39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AD1C39" w:rsidRPr="007D5DAA" w:rsidRDefault="00AD1C39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AD1C39" w:rsidRPr="007D5DAA" w:rsidRDefault="00AD1C39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AD1C39" w:rsidRPr="007D5DAA" w:rsidRDefault="00AD1C39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AD1C39" w:rsidRPr="007D5DAA" w:rsidRDefault="00AD1C3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AD1C39" w:rsidRPr="007D5DAA" w:rsidRDefault="00AD1C3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AD1C39" w:rsidRPr="00C94986" w:rsidRDefault="00AD1C3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AD1C3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AD1C39" w:rsidRPr="007D5DAA" w:rsidRDefault="00AD1C39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AD1C39" w:rsidRPr="007D5DAA" w:rsidRDefault="00AD1C39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AD1C39" w:rsidRPr="007D5DAA" w:rsidRDefault="00AD1C39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AD1C39" w:rsidRPr="007D5DAA" w:rsidRDefault="00AD1C39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AD1C39" w:rsidRPr="007D5DAA" w:rsidRDefault="00AD1C3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AD1C39" w:rsidRPr="007D5DAA" w:rsidRDefault="00AD1C3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AD1C39" w:rsidRPr="00C94986" w:rsidRDefault="00AD1C3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AD1C39" w:rsidRPr="00981DCE" w:rsidRDefault="00AD1C39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CF1" w:rsidRDefault="00DD7CF1">
      <w:r>
        <w:separator/>
      </w:r>
    </w:p>
  </w:footnote>
  <w:footnote w:type="continuationSeparator" w:id="0">
    <w:p w:rsidR="00DD7CF1" w:rsidRDefault="00DD7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C39" w:rsidRPr="005F1889" w:rsidRDefault="00AD1C39" w:rsidP="006C499C">
    <w:pPr>
      <w:pStyle w:val="Header"/>
    </w:pPr>
    <w:r w:rsidRPr="005F1889">
      <w:t xml:space="preserve">- </w:t>
    </w:r>
    <w:r w:rsidR="00DD7CF1" w:rsidRPr="005F1889">
      <w:fldChar w:fldCharType="begin"/>
    </w:r>
    <w:r w:rsidR="00DD7CF1" w:rsidRPr="005F1889">
      <w:instrText xml:space="preserve"> PAGE  \* MERGEFORMAT </w:instrText>
    </w:r>
    <w:r w:rsidR="00DD7CF1" w:rsidRPr="005F1889">
      <w:fldChar w:fldCharType="separate"/>
    </w:r>
    <w:r w:rsidR="005F1889">
      <w:rPr>
        <w:noProof/>
      </w:rPr>
      <w:t>4</w:t>
    </w:r>
    <w:r w:rsidR="00DD7CF1" w:rsidRPr="005F1889">
      <w:rPr>
        <w:noProof/>
      </w:rPr>
      <w:fldChar w:fldCharType="end"/>
    </w:r>
    <w:r w:rsidRPr="005F1889">
      <w:t xml:space="preserve"> -</w:t>
    </w:r>
  </w:p>
  <w:p w:rsidR="00AD1C39" w:rsidRPr="00711FE1" w:rsidRDefault="00DD7CF1" w:rsidP="006C499C">
    <w:pPr>
      <w:pStyle w:val="Header"/>
    </w:pPr>
    <w:r w:rsidRPr="005F1889">
      <w:fldChar w:fldCharType="begin"/>
    </w:r>
    <w:r w:rsidRPr="005F1889">
      <w:instrText xml:space="preserve"> REF docnumber \h  \* MERGEFORMAT </w:instrText>
    </w:r>
    <w:r w:rsidRPr="005F1889">
      <w:fldChar w:fldCharType="separate"/>
    </w:r>
    <w:r w:rsidR="00AD1C39" w:rsidRPr="005F1889">
      <w:t>AVD-4744</w:t>
    </w:r>
    <w:r w:rsidRPr="005F1889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6069EA"/>
    <w:multiLevelType w:val="hybridMultilevel"/>
    <w:tmpl w:val="F778505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B196545"/>
    <w:multiLevelType w:val="hybridMultilevel"/>
    <w:tmpl w:val="C8D893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362EC"/>
    <w:multiLevelType w:val="hybridMultilevel"/>
    <w:tmpl w:val="9640A792"/>
    <w:lvl w:ilvl="0" w:tplc="30F6C32A">
      <w:start w:val="1"/>
      <w:numFmt w:val="bullet"/>
      <w:lvlText w:val="-"/>
      <w:lvlJc w:val="left"/>
      <w:pPr>
        <w:tabs>
          <w:tab w:val="num" w:pos="2234"/>
        </w:tabs>
        <w:ind w:left="2234" w:hanging="360"/>
      </w:pPr>
      <w:rPr>
        <w:rFonts w:ascii="Garamond" w:hAnsi="Garamond" w:hint="default"/>
      </w:rPr>
    </w:lvl>
    <w:lvl w:ilvl="1" w:tplc="04070003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5" w15:restartNumberingAfterBreak="0">
    <w:nsid w:val="1E8F10D0"/>
    <w:multiLevelType w:val="hybridMultilevel"/>
    <w:tmpl w:val="7548EC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1B437E5"/>
    <w:multiLevelType w:val="hybridMultilevel"/>
    <w:tmpl w:val="0D7810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882196"/>
    <w:multiLevelType w:val="hybridMultilevel"/>
    <w:tmpl w:val="3B185A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8119E0"/>
    <w:multiLevelType w:val="hybridMultilevel"/>
    <w:tmpl w:val="14544DF8"/>
    <w:lvl w:ilvl="0" w:tplc="3D1477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157588"/>
    <w:multiLevelType w:val="hybridMultilevel"/>
    <w:tmpl w:val="6802A6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FB44507"/>
    <w:multiLevelType w:val="hybridMultilevel"/>
    <w:tmpl w:val="ABA68A7E"/>
    <w:lvl w:ilvl="0" w:tplc="56381CA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4070525D"/>
    <w:multiLevelType w:val="hybridMultilevel"/>
    <w:tmpl w:val="91446A88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43BB1EF7"/>
    <w:multiLevelType w:val="multilevel"/>
    <w:tmpl w:val="91446A8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4D6862AC"/>
    <w:multiLevelType w:val="hybridMultilevel"/>
    <w:tmpl w:val="367C9770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523172BB"/>
    <w:multiLevelType w:val="hybridMultilevel"/>
    <w:tmpl w:val="71F2DE7E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E41588"/>
    <w:multiLevelType w:val="hybridMultilevel"/>
    <w:tmpl w:val="9A7E3DF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30F6C32A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Garamond" w:hAnsi="Garamond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9" w15:restartNumberingAfterBreak="0">
    <w:nsid w:val="6C890884"/>
    <w:multiLevelType w:val="hybridMultilevel"/>
    <w:tmpl w:val="9CD085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0F0079C"/>
    <w:multiLevelType w:val="hybridMultilevel"/>
    <w:tmpl w:val="430C8FA8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712F79B7"/>
    <w:multiLevelType w:val="hybridMultilevel"/>
    <w:tmpl w:val="448E54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81441C"/>
    <w:multiLevelType w:val="hybridMultilevel"/>
    <w:tmpl w:val="46AED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F77351"/>
    <w:multiLevelType w:val="hybridMultilevel"/>
    <w:tmpl w:val="4C523BE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7"/>
  </w:num>
  <w:num w:numId="8">
    <w:abstractNumId w:val="13"/>
  </w:num>
  <w:num w:numId="9">
    <w:abstractNumId w:val="16"/>
  </w:num>
  <w:num w:numId="10">
    <w:abstractNumId w:val="23"/>
  </w:num>
  <w:num w:numId="11">
    <w:abstractNumId w:val="9"/>
  </w:num>
  <w:num w:numId="12">
    <w:abstractNumId w:val="19"/>
  </w:num>
  <w:num w:numId="13">
    <w:abstractNumId w:val="11"/>
  </w:num>
  <w:num w:numId="14">
    <w:abstractNumId w:val="21"/>
  </w:num>
  <w:num w:numId="15">
    <w:abstractNumId w:val="7"/>
  </w:num>
  <w:num w:numId="16">
    <w:abstractNumId w:val="5"/>
  </w:num>
  <w:num w:numId="17">
    <w:abstractNumId w:val="15"/>
  </w:num>
  <w:num w:numId="18">
    <w:abstractNumId w:val="1"/>
  </w:num>
  <w:num w:numId="19">
    <w:abstractNumId w:val="25"/>
  </w:num>
  <w:num w:numId="20">
    <w:abstractNumId w:val="18"/>
  </w:num>
  <w:num w:numId="21">
    <w:abstractNumId w:val="4"/>
  </w:num>
  <w:num w:numId="22">
    <w:abstractNumId w:val="10"/>
  </w:num>
  <w:num w:numId="23">
    <w:abstractNumId w:val="6"/>
  </w:num>
  <w:num w:numId="24">
    <w:abstractNumId w:val="12"/>
  </w:num>
  <w:num w:numId="25">
    <w:abstractNumId w:val="24"/>
  </w:num>
  <w:num w:numId="26">
    <w:abstractNumId w:val="8"/>
  </w:num>
  <w:num w:numId="27">
    <w:abstractNumId w:val="22"/>
  </w:num>
  <w:num w:numId="28">
    <w:abstractNumId w:val="20"/>
  </w:num>
  <w:num w:numId="29">
    <w:abstractNumId w:val="3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7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13AC3"/>
    <w:rsid w:val="00056DAD"/>
    <w:rsid w:val="000628A1"/>
    <w:rsid w:val="000939EC"/>
    <w:rsid w:val="000B4F47"/>
    <w:rsid w:val="000B77CF"/>
    <w:rsid w:val="000C6D4E"/>
    <w:rsid w:val="000D10B8"/>
    <w:rsid w:val="000E33BC"/>
    <w:rsid w:val="000F4172"/>
    <w:rsid w:val="00100218"/>
    <w:rsid w:val="00121B82"/>
    <w:rsid w:val="001C12EE"/>
    <w:rsid w:val="001C72EC"/>
    <w:rsid w:val="001E3845"/>
    <w:rsid w:val="001E3E74"/>
    <w:rsid w:val="001F144F"/>
    <w:rsid w:val="00203CC6"/>
    <w:rsid w:val="00205A28"/>
    <w:rsid w:val="00226C7B"/>
    <w:rsid w:val="002460B5"/>
    <w:rsid w:val="002644A0"/>
    <w:rsid w:val="00276AE7"/>
    <w:rsid w:val="00284A0E"/>
    <w:rsid w:val="002A33FC"/>
    <w:rsid w:val="002D09A6"/>
    <w:rsid w:val="002D15E7"/>
    <w:rsid w:val="0030108C"/>
    <w:rsid w:val="00301D02"/>
    <w:rsid w:val="003131C3"/>
    <w:rsid w:val="00314ED9"/>
    <w:rsid w:val="0034157B"/>
    <w:rsid w:val="00342FDD"/>
    <w:rsid w:val="00345D8B"/>
    <w:rsid w:val="00381CDF"/>
    <w:rsid w:val="003A113F"/>
    <w:rsid w:val="003E5802"/>
    <w:rsid w:val="003F10F5"/>
    <w:rsid w:val="003F3C15"/>
    <w:rsid w:val="00406BC2"/>
    <w:rsid w:val="004209C0"/>
    <w:rsid w:val="00421DB9"/>
    <w:rsid w:val="004431E9"/>
    <w:rsid w:val="00445C37"/>
    <w:rsid w:val="00451009"/>
    <w:rsid w:val="00457BE6"/>
    <w:rsid w:val="004668F9"/>
    <w:rsid w:val="00481990"/>
    <w:rsid w:val="0049269B"/>
    <w:rsid w:val="004E300A"/>
    <w:rsid w:val="004F3600"/>
    <w:rsid w:val="00504CB4"/>
    <w:rsid w:val="0050633F"/>
    <w:rsid w:val="005066C3"/>
    <w:rsid w:val="00510C0D"/>
    <w:rsid w:val="005455F0"/>
    <w:rsid w:val="00546304"/>
    <w:rsid w:val="00562491"/>
    <w:rsid w:val="0057475A"/>
    <w:rsid w:val="005B1896"/>
    <w:rsid w:val="005E52A7"/>
    <w:rsid w:val="005E596E"/>
    <w:rsid w:val="005F1889"/>
    <w:rsid w:val="00610C71"/>
    <w:rsid w:val="00627E88"/>
    <w:rsid w:val="00633E9F"/>
    <w:rsid w:val="00634E9C"/>
    <w:rsid w:val="006405A7"/>
    <w:rsid w:val="00652FC6"/>
    <w:rsid w:val="00657EDF"/>
    <w:rsid w:val="00683B4D"/>
    <w:rsid w:val="00684423"/>
    <w:rsid w:val="006969D1"/>
    <w:rsid w:val="006B0F27"/>
    <w:rsid w:val="006C2928"/>
    <w:rsid w:val="006C499C"/>
    <w:rsid w:val="006C6ACE"/>
    <w:rsid w:val="006F5CBB"/>
    <w:rsid w:val="0070419A"/>
    <w:rsid w:val="00721873"/>
    <w:rsid w:val="007530B8"/>
    <w:rsid w:val="00762E0E"/>
    <w:rsid w:val="00767787"/>
    <w:rsid w:val="00792B1E"/>
    <w:rsid w:val="007A4BB5"/>
    <w:rsid w:val="007C0997"/>
    <w:rsid w:val="007C10FD"/>
    <w:rsid w:val="007C6D6B"/>
    <w:rsid w:val="007D1E08"/>
    <w:rsid w:val="007D5DAA"/>
    <w:rsid w:val="0086014B"/>
    <w:rsid w:val="008B3A0B"/>
    <w:rsid w:val="0094714B"/>
    <w:rsid w:val="0095066D"/>
    <w:rsid w:val="00990883"/>
    <w:rsid w:val="009C2A71"/>
    <w:rsid w:val="009F5199"/>
    <w:rsid w:val="00A23348"/>
    <w:rsid w:val="00A541AA"/>
    <w:rsid w:val="00A54946"/>
    <w:rsid w:val="00A55B3D"/>
    <w:rsid w:val="00A67AF2"/>
    <w:rsid w:val="00A73388"/>
    <w:rsid w:val="00A77C0A"/>
    <w:rsid w:val="00A86EDA"/>
    <w:rsid w:val="00AB00A6"/>
    <w:rsid w:val="00AC2CAE"/>
    <w:rsid w:val="00AD1C39"/>
    <w:rsid w:val="00AD2D8B"/>
    <w:rsid w:val="00AD412C"/>
    <w:rsid w:val="00AF346D"/>
    <w:rsid w:val="00B05B56"/>
    <w:rsid w:val="00B53CC2"/>
    <w:rsid w:val="00B558C8"/>
    <w:rsid w:val="00B67E6D"/>
    <w:rsid w:val="00BB09F8"/>
    <w:rsid w:val="00BB0FFF"/>
    <w:rsid w:val="00C01892"/>
    <w:rsid w:val="00C049A9"/>
    <w:rsid w:val="00C158C3"/>
    <w:rsid w:val="00C24EC8"/>
    <w:rsid w:val="00C2627D"/>
    <w:rsid w:val="00C54997"/>
    <w:rsid w:val="00C7005C"/>
    <w:rsid w:val="00C82327"/>
    <w:rsid w:val="00C93339"/>
    <w:rsid w:val="00C94986"/>
    <w:rsid w:val="00C95FD6"/>
    <w:rsid w:val="00CB7E9F"/>
    <w:rsid w:val="00CE6D6A"/>
    <w:rsid w:val="00D00BD1"/>
    <w:rsid w:val="00D170FB"/>
    <w:rsid w:val="00D20D6D"/>
    <w:rsid w:val="00D2319C"/>
    <w:rsid w:val="00D40DCA"/>
    <w:rsid w:val="00D81498"/>
    <w:rsid w:val="00D93393"/>
    <w:rsid w:val="00D9469C"/>
    <w:rsid w:val="00DD7CF1"/>
    <w:rsid w:val="00DE2128"/>
    <w:rsid w:val="00DE3CB3"/>
    <w:rsid w:val="00E17EF9"/>
    <w:rsid w:val="00E470C3"/>
    <w:rsid w:val="00E6522C"/>
    <w:rsid w:val="00EB6B91"/>
    <w:rsid w:val="00EC6836"/>
    <w:rsid w:val="00F03535"/>
    <w:rsid w:val="00F2250F"/>
    <w:rsid w:val="00F31227"/>
    <w:rsid w:val="00F40BA8"/>
    <w:rsid w:val="00F432D8"/>
    <w:rsid w:val="00F43BF4"/>
    <w:rsid w:val="00F64F35"/>
    <w:rsid w:val="00F85FD0"/>
    <w:rsid w:val="00F948D7"/>
    <w:rsid w:val="00FA3684"/>
    <w:rsid w:val="00FC66F6"/>
    <w:rsid w:val="00FD0239"/>
    <w:rsid w:val="00FD589F"/>
    <w:rsid w:val="00FE1DA9"/>
    <w:rsid w:val="00FF4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935E92F-84E3-4C33-B260-FBC3B0EB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link w:val="Heading4Char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205A28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205A28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205A28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character" w:customStyle="1" w:styleId="Heading4Char">
    <w:name w:val="Heading 4 Char"/>
    <w:aliases w:val="h4 Char,heading 4 Char,l4 Char,4 Char,4heading Char,Heading4 Char,H4-Heading 4 Char,a. Char,H4 Char,Head 4 Char,Dead4 Char,Heading 4 (H4) Char,l4+toc4 Char,I4 Char,H1 Char1"/>
    <w:basedOn w:val="DefaultParagraphFont"/>
    <w:link w:val="Heading4"/>
    <w:rsid w:val="002D09A6"/>
    <w:rPr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D09A6"/>
    <w:rPr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D09A6"/>
    <w:rPr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09A6"/>
    <w:rPr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D09A6"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09A6"/>
    <w:rPr>
      <w:b/>
      <w:sz w:val="24"/>
      <w:lang w:val="en-GB" w:eastAsia="en-US"/>
    </w:rPr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qFormat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link w:val="FooterChar"/>
    <w:uiPriority w:val="99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D09A6"/>
    <w:rPr>
      <w:caps/>
      <w:noProof/>
      <w:sz w:val="16"/>
      <w:lang w:val="en-GB" w:eastAsia="en-US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rsid w:val="00205A28"/>
    <w:pPr>
      <w:spacing w:before="80"/>
    </w:pPr>
  </w:style>
  <w:style w:type="paragraph" w:styleId="FootnoteText">
    <w:name w:val="footnote text"/>
    <w:basedOn w:val="Note"/>
    <w:link w:val="FootnoteTextChar"/>
    <w:semiHidden/>
    <w:rsid w:val="00205A28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basedOn w:val="DefaultParagraphFont"/>
    <w:link w:val="FootnoteText"/>
    <w:semiHidden/>
    <w:rsid w:val="002D09A6"/>
    <w:rPr>
      <w:sz w:val="24"/>
      <w:lang w:val="en-GB" w:eastAsia="en-US"/>
    </w:rPr>
  </w:style>
  <w:style w:type="paragraph" w:customStyle="1" w:styleId="Formal">
    <w:name w:val="Formal"/>
    <w:basedOn w:val="ASN1"/>
    <w:link w:val="FormalChar"/>
    <w:rsid w:val="00205A28"/>
    <w:rPr>
      <w:b w:val="0"/>
    </w:rPr>
  </w:style>
  <w:style w:type="character" w:customStyle="1" w:styleId="FormalChar">
    <w:name w:val="Formal Char"/>
    <w:basedOn w:val="DefaultParagraphFont"/>
    <w:link w:val="Formal"/>
    <w:locked/>
    <w:rsid w:val="002D09A6"/>
    <w:rPr>
      <w:rFonts w:ascii="Courier New" w:hAnsi="Courier New"/>
      <w:noProof/>
      <w:lang w:val="en-GB" w:eastAsia="en-US"/>
    </w:rPr>
  </w:style>
  <w:style w:type="paragraph" w:styleId="Header">
    <w:name w:val="header"/>
    <w:basedOn w:val="Normal"/>
    <w:link w:val="HeaderChar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2D09A6"/>
    <w:rPr>
      <w:sz w:val="18"/>
      <w:lang w:val="en-GB" w:eastAsia="en-US"/>
    </w:rPr>
  </w:style>
  <w:style w:type="paragraph" w:customStyle="1" w:styleId="Headingb">
    <w:name w:val="Heading_b"/>
    <w:basedOn w:val="Normal"/>
    <w:next w:val="Normal"/>
    <w:qFormat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uiPriority w:val="59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qFormat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uiPriority w:val="39"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39"/>
    <w:rsid w:val="00205A28"/>
    <w:pPr>
      <w:spacing w:before="80"/>
      <w:ind w:left="1531" w:hanging="851"/>
    </w:pPr>
  </w:style>
  <w:style w:type="paragraph" w:styleId="TOC3">
    <w:name w:val="toc 3"/>
    <w:basedOn w:val="TOC2"/>
    <w:uiPriority w:val="39"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paragraph" w:styleId="BalloonText">
    <w:name w:val="Balloon Text"/>
    <w:basedOn w:val="Normal"/>
    <w:link w:val="BalloonTextChar"/>
    <w:uiPriority w:val="99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Equation">
    <w:name w:val="Equation"/>
    <w:basedOn w:val="Normal"/>
    <w:rsid w:val="002D09A6"/>
    <w:pPr>
      <w:tabs>
        <w:tab w:val="clear" w:pos="794"/>
        <w:tab w:val="clear" w:pos="1191"/>
        <w:tab w:val="clear" w:pos="1588"/>
        <w:tab w:val="clear" w:pos="1985"/>
        <w:tab w:val="center" w:pos="4820"/>
        <w:tab w:val="right" w:pos="9639"/>
      </w:tabs>
      <w:overflowPunct/>
      <w:autoSpaceDE/>
      <w:autoSpaceDN/>
      <w:adjustRightInd/>
      <w:textAlignment w:val="auto"/>
    </w:pPr>
    <w:rPr>
      <w:rFonts w:eastAsiaTheme="minorEastAsia"/>
      <w:szCs w:val="24"/>
      <w:lang w:eastAsia="ja-JP"/>
    </w:rPr>
  </w:style>
  <w:style w:type="paragraph" w:customStyle="1" w:styleId="toc0">
    <w:name w:val="toc 0"/>
    <w:basedOn w:val="Normal"/>
    <w:next w:val="TOC1"/>
    <w:rsid w:val="002D09A6"/>
    <w:pPr>
      <w:keepLines/>
      <w:tabs>
        <w:tab w:val="clear" w:pos="794"/>
        <w:tab w:val="clear" w:pos="1191"/>
        <w:tab w:val="clear" w:pos="1588"/>
        <w:tab w:val="clear" w:pos="1985"/>
        <w:tab w:val="right" w:pos="9639"/>
      </w:tabs>
      <w:overflowPunct/>
      <w:autoSpaceDE/>
      <w:autoSpaceDN/>
      <w:adjustRightInd/>
      <w:textAlignment w:val="auto"/>
    </w:pPr>
    <w:rPr>
      <w:rFonts w:eastAsiaTheme="minorEastAsia"/>
      <w:b/>
      <w:szCs w:val="24"/>
      <w:lang w:eastAsia="ja-JP"/>
    </w:rPr>
  </w:style>
  <w:style w:type="paragraph" w:styleId="TOC9">
    <w:name w:val="toc 9"/>
    <w:basedOn w:val="TOC3"/>
    <w:rsid w:val="002D09A6"/>
    <w:pPr>
      <w:tabs>
        <w:tab w:val="clear" w:pos="964"/>
        <w:tab w:val="clear" w:pos="8789"/>
        <w:tab w:val="left" w:leader="dot" w:pos="9356"/>
      </w:tabs>
      <w:ind w:left="2269"/>
    </w:pPr>
    <w:rPr>
      <w:rFonts w:eastAsia="Batang"/>
      <w:noProof/>
    </w:rPr>
  </w:style>
  <w:style w:type="paragraph" w:customStyle="1" w:styleId="Chaptitle">
    <w:name w:val="Chap_title"/>
    <w:basedOn w:val="Normal"/>
    <w:next w:val="Normalaftertitle"/>
    <w:rsid w:val="002D09A6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jc w:val="center"/>
      <w:textAlignment w:val="auto"/>
    </w:pPr>
    <w:rPr>
      <w:rFonts w:eastAsiaTheme="minorEastAsia"/>
      <w:b/>
      <w:sz w:val="28"/>
      <w:szCs w:val="24"/>
      <w:lang w:eastAsia="ja-JP"/>
    </w:rPr>
  </w:style>
  <w:style w:type="paragraph" w:styleId="Index1">
    <w:name w:val="index 1"/>
    <w:basedOn w:val="Normal"/>
    <w:next w:val="Normal"/>
    <w:rsid w:val="002D09A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eastAsiaTheme="minorEastAsia"/>
      <w:szCs w:val="24"/>
      <w:lang w:eastAsia="ja-JP"/>
    </w:rPr>
  </w:style>
  <w:style w:type="paragraph" w:customStyle="1" w:styleId="AnnexNoTitle0">
    <w:name w:val="Annex_NoTitle"/>
    <w:basedOn w:val="Normal"/>
    <w:next w:val="Normalaftertitle"/>
    <w:rsid w:val="002D09A6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20"/>
      <w:jc w:val="center"/>
      <w:textAlignment w:val="auto"/>
    </w:pPr>
    <w:rPr>
      <w:rFonts w:eastAsiaTheme="minorEastAsia"/>
      <w:b/>
      <w:sz w:val="28"/>
      <w:szCs w:val="24"/>
      <w:lang w:eastAsia="ja-JP"/>
    </w:rPr>
  </w:style>
  <w:style w:type="character" w:customStyle="1" w:styleId="Appdef">
    <w:name w:val="App_def"/>
    <w:basedOn w:val="DefaultParagraphFont"/>
    <w:rsid w:val="002D09A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D09A6"/>
  </w:style>
  <w:style w:type="paragraph" w:customStyle="1" w:styleId="AppendixNoTitle0">
    <w:name w:val="Appendix_NoTitle"/>
    <w:basedOn w:val="AnnexNoTitle0"/>
    <w:next w:val="Normalaftertitle"/>
    <w:rsid w:val="002D09A6"/>
  </w:style>
  <w:style w:type="character" w:customStyle="1" w:styleId="Artdef">
    <w:name w:val="Art_def"/>
    <w:basedOn w:val="DefaultParagraphFont"/>
    <w:rsid w:val="002D09A6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2D09A6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80"/>
      <w:jc w:val="center"/>
      <w:textAlignment w:val="auto"/>
    </w:pPr>
    <w:rPr>
      <w:rFonts w:eastAsiaTheme="minorEastAsia"/>
      <w:caps/>
      <w:sz w:val="28"/>
      <w:szCs w:val="24"/>
      <w:lang w:eastAsia="ja-JP"/>
    </w:rPr>
  </w:style>
  <w:style w:type="paragraph" w:customStyle="1" w:styleId="Arttitle">
    <w:name w:val="Art_title"/>
    <w:basedOn w:val="Normal"/>
    <w:next w:val="Normalaftertitle"/>
    <w:rsid w:val="002D09A6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jc w:val="center"/>
      <w:textAlignment w:val="auto"/>
    </w:pPr>
    <w:rPr>
      <w:rFonts w:eastAsiaTheme="minorEastAsia"/>
      <w:b/>
      <w:sz w:val="28"/>
      <w:szCs w:val="24"/>
      <w:lang w:eastAsia="ja-JP"/>
    </w:rPr>
  </w:style>
  <w:style w:type="character" w:customStyle="1" w:styleId="Artref">
    <w:name w:val="Art_ref"/>
    <w:basedOn w:val="DefaultParagraphFont"/>
    <w:rsid w:val="002D09A6"/>
  </w:style>
  <w:style w:type="paragraph" w:customStyle="1" w:styleId="Call">
    <w:name w:val="Call"/>
    <w:basedOn w:val="Normal"/>
    <w:next w:val="Normal"/>
    <w:rsid w:val="002D09A6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/>
      <w:ind w:left="794"/>
      <w:textAlignment w:val="auto"/>
    </w:pPr>
    <w:rPr>
      <w:rFonts w:eastAsiaTheme="minorEastAsia"/>
      <w:i/>
      <w:szCs w:val="24"/>
      <w:lang w:eastAsia="ja-JP"/>
    </w:rPr>
  </w:style>
  <w:style w:type="paragraph" w:customStyle="1" w:styleId="ChapNo">
    <w:name w:val="Chap_No"/>
    <w:basedOn w:val="Normal"/>
    <w:next w:val="Chaptitle"/>
    <w:rsid w:val="002D09A6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80"/>
      <w:jc w:val="center"/>
      <w:textAlignment w:val="auto"/>
    </w:pPr>
    <w:rPr>
      <w:rFonts w:eastAsiaTheme="minorEastAsia"/>
      <w:b/>
      <w:caps/>
      <w:sz w:val="28"/>
      <w:szCs w:val="24"/>
      <w:lang w:eastAsia="ja-JP"/>
    </w:rPr>
  </w:style>
  <w:style w:type="paragraph" w:customStyle="1" w:styleId="Equationlegend">
    <w:name w:val="Equation_legend"/>
    <w:basedOn w:val="Normal"/>
    <w:rsid w:val="002D09A6"/>
    <w:pPr>
      <w:tabs>
        <w:tab w:val="clear" w:pos="794"/>
        <w:tab w:val="clear" w:pos="1191"/>
        <w:tab w:val="clear" w:pos="1588"/>
        <w:tab w:val="clear" w:pos="1985"/>
        <w:tab w:val="right" w:pos="1814"/>
      </w:tabs>
      <w:overflowPunct/>
      <w:autoSpaceDE/>
      <w:autoSpaceDN/>
      <w:adjustRightInd/>
      <w:spacing w:before="80"/>
      <w:ind w:left="1985" w:hanging="1985"/>
      <w:textAlignment w:val="auto"/>
    </w:pPr>
    <w:rPr>
      <w:rFonts w:eastAsiaTheme="minorEastAsia"/>
      <w:szCs w:val="24"/>
      <w:lang w:eastAsia="ja-JP"/>
    </w:rPr>
  </w:style>
  <w:style w:type="paragraph" w:customStyle="1" w:styleId="Figurelegend">
    <w:name w:val="Figure_legend"/>
    <w:basedOn w:val="Normal"/>
    <w:rsid w:val="002D09A6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" w:after="20"/>
      <w:textAlignment w:val="auto"/>
    </w:pPr>
    <w:rPr>
      <w:rFonts w:eastAsiaTheme="minorEastAsia"/>
      <w:sz w:val="18"/>
      <w:szCs w:val="24"/>
      <w:lang w:eastAsia="ja-JP"/>
    </w:rPr>
  </w:style>
  <w:style w:type="paragraph" w:customStyle="1" w:styleId="Figure">
    <w:name w:val="Figure"/>
    <w:basedOn w:val="Normal"/>
    <w:next w:val="Normal"/>
    <w:rsid w:val="002D09A6"/>
    <w:pPr>
      <w:keepNext/>
      <w:keepLines/>
      <w:spacing w:before="240" w:after="120"/>
      <w:jc w:val="center"/>
    </w:pPr>
    <w:rPr>
      <w:rFonts w:eastAsia="Times New Roman"/>
    </w:rPr>
  </w:style>
  <w:style w:type="paragraph" w:customStyle="1" w:styleId="FigureNoTitle0">
    <w:name w:val="Figure_NoTitle"/>
    <w:basedOn w:val="Normal"/>
    <w:next w:val="Normalaftertitle"/>
    <w:rsid w:val="002D09A6"/>
    <w:pPr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120"/>
      <w:jc w:val="center"/>
      <w:textAlignment w:val="auto"/>
    </w:pPr>
    <w:rPr>
      <w:rFonts w:eastAsiaTheme="minorEastAsia"/>
      <w:b/>
      <w:szCs w:val="24"/>
      <w:lang w:eastAsia="ja-JP"/>
    </w:rPr>
  </w:style>
  <w:style w:type="paragraph" w:customStyle="1" w:styleId="Figurewithouttitle">
    <w:name w:val="Figure_without_title"/>
    <w:basedOn w:val="Normal"/>
    <w:next w:val="Normalaftertitle"/>
    <w:rsid w:val="002D09A6"/>
    <w:pPr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120"/>
      <w:jc w:val="center"/>
      <w:textAlignment w:val="auto"/>
    </w:pPr>
    <w:rPr>
      <w:rFonts w:eastAsiaTheme="minorEastAsia"/>
      <w:szCs w:val="24"/>
      <w:lang w:eastAsia="ja-JP"/>
    </w:rPr>
  </w:style>
  <w:style w:type="paragraph" w:customStyle="1" w:styleId="FooterQP">
    <w:name w:val="Footer_QP"/>
    <w:basedOn w:val="Normal"/>
    <w:rsid w:val="002D09A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overflowPunct/>
      <w:autoSpaceDE/>
      <w:autoSpaceDN/>
      <w:adjustRightInd/>
      <w:spacing w:before="0"/>
      <w:textAlignment w:val="auto"/>
    </w:pPr>
    <w:rPr>
      <w:rFonts w:eastAsiaTheme="minorEastAsia"/>
      <w:b/>
      <w:sz w:val="22"/>
      <w:szCs w:val="24"/>
      <w:lang w:eastAsia="ja-JP"/>
    </w:rPr>
  </w:style>
  <w:style w:type="paragraph" w:customStyle="1" w:styleId="FirstFooter">
    <w:name w:val="FirstFooter"/>
    <w:basedOn w:val="Footer"/>
    <w:rsid w:val="002D09A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rFonts w:eastAsia="Times New Roman"/>
      <w:caps w:val="0"/>
      <w:noProof w:val="0"/>
    </w:rPr>
  </w:style>
  <w:style w:type="paragraph" w:styleId="Index2">
    <w:name w:val="index 2"/>
    <w:basedOn w:val="Normal"/>
    <w:next w:val="Normal"/>
    <w:rsid w:val="002D09A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left="284"/>
      <w:textAlignment w:val="auto"/>
    </w:pPr>
    <w:rPr>
      <w:rFonts w:eastAsiaTheme="minorEastAsia"/>
      <w:szCs w:val="24"/>
      <w:lang w:eastAsia="ja-JP"/>
    </w:rPr>
  </w:style>
  <w:style w:type="paragraph" w:styleId="Index3">
    <w:name w:val="index 3"/>
    <w:basedOn w:val="Normal"/>
    <w:next w:val="Normal"/>
    <w:rsid w:val="002D09A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left="567"/>
      <w:textAlignment w:val="auto"/>
    </w:pPr>
    <w:rPr>
      <w:rFonts w:eastAsiaTheme="minorEastAsia"/>
      <w:szCs w:val="24"/>
      <w:lang w:eastAsia="ja-JP"/>
    </w:rPr>
  </w:style>
  <w:style w:type="paragraph" w:customStyle="1" w:styleId="PartNo">
    <w:name w:val="Part_No"/>
    <w:basedOn w:val="Normal"/>
    <w:next w:val="Partref"/>
    <w:rsid w:val="002D09A6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80" w:after="80"/>
      <w:jc w:val="center"/>
      <w:textAlignment w:val="auto"/>
    </w:pPr>
    <w:rPr>
      <w:rFonts w:eastAsiaTheme="minorEastAsia"/>
      <w:caps/>
      <w:sz w:val="28"/>
      <w:szCs w:val="24"/>
      <w:lang w:eastAsia="ja-JP"/>
    </w:rPr>
  </w:style>
  <w:style w:type="paragraph" w:customStyle="1" w:styleId="Partref">
    <w:name w:val="Part_ref"/>
    <w:basedOn w:val="Normal"/>
    <w:next w:val="Parttitle"/>
    <w:rsid w:val="002D09A6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80"/>
      <w:jc w:val="center"/>
      <w:textAlignment w:val="auto"/>
    </w:pPr>
    <w:rPr>
      <w:rFonts w:eastAsiaTheme="minorEastAsia"/>
      <w:szCs w:val="24"/>
      <w:lang w:eastAsia="ja-JP"/>
    </w:rPr>
  </w:style>
  <w:style w:type="paragraph" w:customStyle="1" w:styleId="Parttitle">
    <w:name w:val="Part_title"/>
    <w:basedOn w:val="Normal"/>
    <w:next w:val="Normalaftertitle"/>
    <w:rsid w:val="002D09A6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80"/>
      <w:jc w:val="center"/>
      <w:textAlignment w:val="auto"/>
    </w:pPr>
    <w:rPr>
      <w:rFonts w:eastAsiaTheme="minorEastAsia"/>
      <w:b/>
      <w:sz w:val="28"/>
      <w:szCs w:val="24"/>
      <w:lang w:eastAsia="ja-JP"/>
    </w:rPr>
  </w:style>
  <w:style w:type="paragraph" w:customStyle="1" w:styleId="Recdate">
    <w:name w:val="Rec_date"/>
    <w:basedOn w:val="Normal"/>
    <w:next w:val="Normalaftertitle"/>
    <w:rsid w:val="002D09A6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jc w:val="right"/>
      <w:textAlignment w:val="auto"/>
    </w:pPr>
    <w:rPr>
      <w:rFonts w:eastAsiaTheme="minorEastAsia"/>
      <w:i/>
      <w:sz w:val="22"/>
      <w:szCs w:val="24"/>
      <w:lang w:eastAsia="ja-JP"/>
    </w:rPr>
  </w:style>
  <w:style w:type="paragraph" w:customStyle="1" w:styleId="Questiondate">
    <w:name w:val="Question_date"/>
    <w:basedOn w:val="Recdate"/>
    <w:next w:val="Normalaftertitle"/>
    <w:rsid w:val="002D09A6"/>
  </w:style>
  <w:style w:type="paragraph" w:customStyle="1" w:styleId="QuestionNo">
    <w:name w:val="Question_No"/>
    <w:basedOn w:val="RecNo"/>
    <w:next w:val="Questiontitle"/>
    <w:rsid w:val="002D09A6"/>
    <w:rPr>
      <w:rFonts w:eastAsiaTheme="minorEastAsia"/>
      <w:lang w:eastAsia="ja-JP"/>
    </w:rPr>
  </w:style>
  <w:style w:type="paragraph" w:customStyle="1" w:styleId="Questiontitle">
    <w:name w:val="Question_title"/>
    <w:basedOn w:val="Rectitle"/>
    <w:next w:val="Questionref"/>
    <w:rsid w:val="002D09A6"/>
    <w:rPr>
      <w:rFonts w:eastAsiaTheme="minorEastAsia"/>
      <w:lang w:eastAsia="ja-JP"/>
    </w:rPr>
  </w:style>
  <w:style w:type="paragraph" w:customStyle="1" w:styleId="Questionref">
    <w:name w:val="Question_ref"/>
    <w:basedOn w:val="Recref"/>
    <w:next w:val="Questiondate"/>
    <w:rsid w:val="002D09A6"/>
  </w:style>
  <w:style w:type="paragraph" w:customStyle="1" w:styleId="Recref">
    <w:name w:val="Rec_ref"/>
    <w:basedOn w:val="Normal"/>
    <w:next w:val="Recdate"/>
    <w:rsid w:val="002D09A6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jc w:val="center"/>
      <w:textAlignment w:val="auto"/>
    </w:pPr>
    <w:rPr>
      <w:rFonts w:eastAsiaTheme="minorEastAsia"/>
      <w:i/>
      <w:szCs w:val="24"/>
      <w:lang w:eastAsia="ja-JP"/>
    </w:rPr>
  </w:style>
  <w:style w:type="paragraph" w:customStyle="1" w:styleId="Repdate">
    <w:name w:val="Rep_date"/>
    <w:basedOn w:val="Recdate"/>
    <w:next w:val="Normalaftertitle"/>
    <w:rsid w:val="002D09A6"/>
  </w:style>
  <w:style w:type="paragraph" w:customStyle="1" w:styleId="RepNo">
    <w:name w:val="Rep_No"/>
    <w:basedOn w:val="RecNo"/>
    <w:next w:val="Reptitle"/>
    <w:rsid w:val="002D09A6"/>
    <w:rPr>
      <w:rFonts w:eastAsiaTheme="minorEastAsia"/>
      <w:lang w:eastAsia="ja-JP"/>
    </w:rPr>
  </w:style>
  <w:style w:type="paragraph" w:customStyle="1" w:styleId="Reptitle">
    <w:name w:val="Rep_title"/>
    <w:basedOn w:val="Rectitle"/>
    <w:next w:val="Repref"/>
    <w:rsid w:val="002D09A6"/>
    <w:rPr>
      <w:rFonts w:eastAsiaTheme="minorEastAsia"/>
      <w:lang w:eastAsia="ja-JP"/>
    </w:rPr>
  </w:style>
  <w:style w:type="paragraph" w:customStyle="1" w:styleId="Repref">
    <w:name w:val="Rep_ref"/>
    <w:basedOn w:val="Recref"/>
    <w:next w:val="Repdate"/>
    <w:rsid w:val="002D09A6"/>
  </w:style>
  <w:style w:type="paragraph" w:customStyle="1" w:styleId="Resdate">
    <w:name w:val="Res_date"/>
    <w:basedOn w:val="Recdate"/>
    <w:next w:val="Normalaftertitle"/>
    <w:rsid w:val="002D09A6"/>
  </w:style>
  <w:style w:type="character" w:customStyle="1" w:styleId="Resdef">
    <w:name w:val="Res_def"/>
    <w:basedOn w:val="DefaultParagraphFont"/>
    <w:rsid w:val="002D09A6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2D09A6"/>
    <w:rPr>
      <w:rFonts w:eastAsiaTheme="minorEastAsia"/>
      <w:lang w:eastAsia="ja-JP"/>
    </w:rPr>
  </w:style>
  <w:style w:type="paragraph" w:customStyle="1" w:styleId="Restitle">
    <w:name w:val="Res_title"/>
    <w:basedOn w:val="Rectitle"/>
    <w:next w:val="Resref"/>
    <w:rsid w:val="002D09A6"/>
    <w:rPr>
      <w:rFonts w:eastAsiaTheme="minorEastAsia"/>
      <w:lang w:eastAsia="ja-JP"/>
    </w:rPr>
  </w:style>
  <w:style w:type="paragraph" w:customStyle="1" w:styleId="Resref">
    <w:name w:val="Res_ref"/>
    <w:basedOn w:val="Recref"/>
    <w:next w:val="Resdate"/>
    <w:rsid w:val="002D09A6"/>
  </w:style>
  <w:style w:type="paragraph" w:customStyle="1" w:styleId="Section1">
    <w:name w:val="Section_1"/>
    <w:basedOn w:val="Normal"/>
    <w:next w:val="Normal"/>
    <w:rsid w:val="002D09A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24"/>
      <w:jc w:val="center"/>
      <w:textAlignment w:val="auto"/>
    </w:pPr>
    <w:rPr>
      <w:rFonts w:eastAsiaTheme="minorEastAsia"/>
      <w:b/>
      <w:szCs w:val="24"/>
      <w:lang w:eastAsia="ja-JP"/>
    </w:rPr>
  </w:style>
  <w:style w:type="paragraph" w:customStyle="1" w:styleId="Section2">
    <w:name w:val="Section_2"/>
    <w:basedOn w:val="Normal"/>
    <w:next w:val="Normal"/>
    <w:rsid w:val="002D09A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jc w:val="center"/>
      <w:textAlignment w:val="auto"/>
    </w:pPr>
    <w:rPr>
      <w:rFonts w:eastAsiaTheme="minorEastAsia"/>
      <w:i/>
      <w:szCs w:val="24"/>
      <w:lang w:eastAsia="ja-JP"/>
    </w:rPr>
  </w:style>
  <w:style w:type="paragraph" w:customStyle="1" w:styleId="SectionNo">
    <w:name w:val="Section_No"/>
    <w:basedOn w:val="Normal"/>
    <w:next w:val="Sectiontitle"/>
    <w:rsid w:val="002D09A6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80" w:after="80"/>
      <w:jc w:val="center"/>
      <w:textAlignment w:val="auto"/>
    </w:pPr>
    <w:rPr>
      <w:rFonts w:eastAsiaTheme="minorEastAsia"/>
      <w:caps/>
      <w:sz w:val="28"/>
      <w:szCs w:val="24"/>
      <w:lang w:eastAsia="ja-JP"/>
    </w:rPr>
  </w:style>
  <w:style w:type="paragraph" w:customStyle="1" w:styleId="Sectiontitle">
    <w:name w:val="Section_title"/>
    <w:basedOn w:val="Normal"/>
    <w:next w:val="Normalaftertitle"/>
    <w:rsid w:val="002D09A6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80" w:after="280"/>
      <w:jc w:val="center"/>
      <w:textAlignment w:val="auto"/>
    </w:pPr>
    <w:rPr>
      <w:rFonts w:eastAsiaTheme="minorEastAsia"/>
      <w:b/>
      <w:sz w:val="28"/>
      <w:szCs w:val="24"/>
      <w:lang w:eastAsia="ja-JP"/>
    </w:rPr>
  </w:style>
  <w:style w:type="character" w:customStyle="1" w:styleId="Tablefreq">
    <w:name w:val="Table_freq"/>
    <w:basedOn w:val="DefaultParagraphFont"/>
    <w:rsid w:val="002D09A6"/>
    <w:rPr>
      <w:b/>
      <w:color w:val="auto"/>
    </w:rPr>
  </w:style>
  <w:style w:type="paragraph" w:customStyle="1" w:styleId="Tablelegend">
    <w:name w:val="Table_legend"/>
    <w:basedOn w:val="Normal"/>
    <w:rsid w:val="002D09A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rFonts w:eastAsia="Times New Roman"/>
      <w:sz w:val="22"/>
    </w:rPr>
  </w:style>
  <w:style w:type="paragraph" w:customStyle="1" w:styleId="TableNoTitle0">
    <w:name w:val="Table_NoTitle"/>
    <w:basedOn w:val="Normal"/>
    <w:next w:val="Tablehead"/>
    <w:rsid w:val="002D09A6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120"/>
      <w:jc w:val="center"/>
      <w:textAlignment w:val="auto"/>
    </w:pPr>
    <w:rPr>
      <w:rFonts w:eastAsiaTheme="minorEastAsia"/>
      <w:b/>
      <w:szCs w:val="24"/>
      <w:lang w:eastAsia="ja-JP"/>
    </w:rPr>
  </w:style>
  <w:style w:type="paragraph" w:customStyle="1" w:styleId="Artheading">
    <w:name w:val="Art_heading"/>
    <w:basedOn w:val="Normal"/>
    <w:next w:val="Normalaftertitle"/>
    <w:rsid w:val="002D09A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80"/>
      <w:jc w:val="center"/>
      <w:textAlignment w:val="auto"/>
    </w:pPr>
    <w:rPr>
      <w:rFonts w:eastAsiaTheme="minorEastAsia"/>
      <w:b/>
      <w:sz w:val="28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D09A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left="720"/>
      <w:contextualSpacing/>
      <w:textAlignment w:val="auto"/>
    </w:pPr>
    <w:rPr>
      <w:rFonts w:eastAsiaTheme="minorEastAsia"/>
      <w:szCs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2D09A6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customStyle="1" w:styleId="CorrectionSeparatorEnd">
    <w:name w:val="Correction Separator End"/>
    <w:basedOn w:val="Normal"/>
    <w:rsid w:val="002D09A6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2D09A6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2D09A6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paragraph" w:customStyle="1" w:styleId="Docnumber">
    <w:name w:val="Docnumber"/>
    <w:basedOn w:val="Normal"/>
    <w:link w:val="DocnumberChar"/>
    <w:rsid w:val="002D09A6"/>
    <w:pPr>
      <w:jc w:val="right"/>
    </w:pPr>
    <w:rPr>
      <w:rFonts w:eastAsia="SimSun"/>
      <w:b/>
      <w:sz w:val="40"/>
    </w:rPr>
  </w:style>
  <w:style w:type="character" w:customStyle="1" w:styleId="DocnumberChar">
    <w:name w:val="Docnumber Char"/>
    <w:link w:val="Docnumber"/>
    <w:rsid w:val="002D09A6"/>
    <w:rPr>
      <w:rFonts w:eastAsia="SimSun"/>
      <w:b/>
      <w:sz w:val="40"/>
      <w:lang w:val="en-GB" w:eastAsia="en-US"/>
    </w:rPr>
  </w:style>
  <w:style w:type="character" w:styleId="Emphasis">
    <w:name w:val="Emphasis"/>
    <w:basedOn w:val="DefaultParagraphFont"/>
    <w:rsid w:val="002D09A6"/>
    <w:rPr>
      <w:i/>
      <w:iCs/>
    </w:rPr>
  </w:style>
  <w:style w:type="paragraph" w:styleId="Subtitle">
    <w:name w:val="Subtitle"/>
    <w:basedOn w:val="Normal"/>
    <w:next w:val="Normal"/>
    <w:link w:val="SubtitleChar"/>
    <w:rsid w:val="002D09A6"/>
    <w:pPr>
      <w:numPr>
        <w:ilvl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rsid w:val="002D09A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trong">
    <w:name w:val="Strong"/>
    <w:basedOn w:val="DefaultParagraphFont"/>
    <w:rsid w:val="002D09A6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2D09A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Theme="minorEastAsia"/>
      <w:i/>
      <w:iCs/>
      <w:color w:val="404040" w:themeColor="text1" w:themeTint="BF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2D09A6"/>
    <w:rPr>
      <w:rFonts w:eastAsiaTheme="minorEastAsia"/>
      <w:i/>
      <w:iCs/>
      <w:color w:val="404040" w:themeColor="text1" w:themeTint="BF"/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62491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rsid w:val="00562491"/>
    <w:rPr>
      <w:b/>
      <w:bCs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uergen.Stoetzer-Bradler@alcatel-lucent.com" TargetMode="External"/><Relationship Id="rId2" Type="http://schemas.openxmlformats.org/officeDocument/2006/relationships/hyperlink" Target="mailto:Albrecht.Schwarz@alcatel-lucent.com" TargetMode="External"/><Relationship Id="rId1" Type="http://schemas.openxmlformats.org/officeDocument/2006/relationships/hyperlink" Target="mailto:Jens.Guballa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6FA402-7C9D-42F1-AAE4-1BA55C74D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0</TotalTime>
  <Pages>5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5603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14</cp:revision>
  <cp:lastPrinted>2002-08-01T07:30:00Z</cp:lastPrinted>
  <dcterms:created xsi:type="dcterms:W3CDTF">2015-05-22T09:14:00Z</dcterms:created>
  <dcterms:modified xsi:type="dcterms:W3CDTF">2015-05-25T02:26:00Z</dcterms:modified>
</cp:coreProperties>
</file>