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A9051B" w:rsidRPr="00A14FB6" w:rsidTr="00827893">
        <w:trPr>
          <w:cantSplit/>
        </w:trPr>
        <w:tc>
          <w:tcPr>
            <w:tcW w:w="6297" w:type="dxa"/>
            <w:gridSpan w:val="4"/>
            <w:vAlign w:val="center"/>
          </w:tcPr>
          <w:p w:rsidR="00A9051B" w:rsidRPr="00A14FB6" w:rsidRDefault="00A9051B" w:rsidP="00827893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_GoBack"/>
            <w:bookmarkEnd w:id="0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A9051B" w:rsidRPr="00A14FB6" w:rsidRDefault="00A9051B" w:rsidP="00B055A6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1" w:name="docnumber"/>
            <w:r w:rsidRPr="00625FC1">
              <w:rPr>
                <w:b/>
                <w:bCs/>
                <w:sz w:val="40"/>
              </w:rPr>
              <w:t>AVD-</w:t>
            </w:r>
            <w:bookmarkEnd w:id="1"/>
            <w:r w:rsidR="0086692D">
              <w:rPr>
                <w:b/>
                <w:bCs/>
                <w:sz w:val="40"/>
              </w:rPr>
              <w:t>470</w:t>
            </w:r>
            <w:r w:rsidR="00B055A6">
              <w:rPr>
                <w:b/>
                <w:bCs/>
                <w:sz w:val="40"/>
              </w:rPr>
              <w:t>6</w:t>
            </w:r>
          </w:p>
        </w:tc>
      </w:tr>
      <w:tr w:rsidR="00A9051B" w:rsidRPr="00A14FB6" w:rsidTr="00827893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A9051B" w:rsidRPr="00A14FB6" w:rsidRDefault="00A9051B" w:rsidP="00827893">
            <w:pPr>
              <w:rPr>
                <w:b/>
                <w:bCs/>
                <w:sz w:val="26"/>
              </w:rPr>
            </w:pPr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A9051B" w:rsidRPr="00A14FB6" w:rsidRDefault="00A9051B" w:rsidP="00827893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>
              <w:rPr>
                <w:sz w:val="20"/>
              </w:rPr>
              <w:t>13</w:t>
            </w:r>
            <w:r w:rsidRPr="00A14FB6">
              <w:rPr>
                <w:sz w:val="20"/>
              </w:rPr>
              <w:t>-201</w:t>
            </w:r>
            <w:r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A9051B" w:rsidRPr="00A14FB6" w:rsidRDefault="00A9051B" w:rsidP="00827893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A9051B" w:rsidRPr="00A14FB6" w:rsidTr="00827893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A9051B" w:rsidRPr="00A14FB6" w:rsidRDefault="00A9051B" w:rsidP="00827893">
            <w:pPr>
              <w:rPr>
                <w:b/>
                <w:bCs/>
                <w:sz w:val="26"/>
              </w:rPr>
            </w:pPr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A9051B" w:rsidRPr="00A14FB6" w:rsidRDefault="00A9051B" w:rsidP="00827893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A9051B" w:rsidRPr="00A14FB6" w:rsidTr="00827893">
        <w:trPr>
          <w:cantSplit/>
          <w:trHeight w:val="357"/>
        </w:trPr>
        <w:tc>
          <w:tcPr>
            <w:tcW w:w="1617" w:type="dxa"/>
          </w:tcPr>
          <w:p w:rsidR="00A9051B" w:rsidRPr="00A14FB6" w:rsidRDefault="00A9051B" w:rsidP="00827893">
            <w:pPr>
              <w:rPr>
                <w:b/>
                <w:bCs/>
              </w:rPr>
            </w:pPr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A9051B" w:rsidRPr="00A14FB6" w:rsidRDefault="00A31982" w:rsidP="00827893">
            <w:r>
              <w:t>3</w:t>
            </w:r>
            <w:r w:rsidR="009F5BCD">
              <w:t>/16</w:t>
            </w:r>
          </w:p>
        </w:tc>
        <w:tc>
          <w:tcPr>
            <w:tcW w:w="5276" w:type="dxa"/>
            <w:gridSpan w:val="3"/>
          </w:tcPr>
          <w:p w:rsidR="00A9051B" w:rsidRPr="00A14FB6" w:rsidRDefault="00FC37E9" w:rsidP="00827893">
            <w:pPr>
              <w:wordWrap w:val="0"/>
              <w:jc w:val="right"/>
            </w:pPr>
            <w:r>
              <w:rPr>
                <w:rFonts w:eastAsia="Malgun Gothic"/>
                <w:lang w:eastAsia="ko-KR"/>
              </w:rPr>
              <w:t>Chengdu</w:t>
            </w:r>
            <w:r w:rsidR="00A9051B" w:rsidRPr="00A14FB6">
              <w:rPr>
                <w:rFonts w:eastAsia="Malgun Gothic"/>
                <w:lang w:eastAsia="ko-KR"/>
              </w:rPr>
              <w:t xml:space="preserve">, </w:t>
            </w:r>
            <w:r w:rsidR="00A9051B">
              <w:rPr>
                <w:rFonts w:eastAsia="Malgun Gothic"/>
                <w:lang w:eastAsia="ko-KR"/>
              </w:rPr>
              <w:t>8</w:t>
            </w:r>
            <w:r w:rsidR="00A9051B" w:rsidRPr="00A14FB6">
              <w:rPr>
                <w:rFonts w:eastAsia="Malgun Gothic"/>
                <w:lang w:eastAsia="ko-KR"/>
              </w:rPr>
              <w:t xml:space="preserve"> - </w:t>
            </w:r>
            <w:r w:rsidR="00A9051B">
              <w:rPr>
                <w:rFonts w:eastAsia="Malgun Gothic"/>
                <w:lang w:eastAsia="ko-KR"/>
              </w:rPr>
              <w:t>12</w:t>
            </w:r>
            <w:r w:rsidR="00A9051B" w:rsidRPr="00A14FB6">
              <w:rPr>
                <w:rFonts w:eastAsia="Malgun Gothic"/>
                <w:lang w:eastAsia="ko-KR"/>
              </w:rPr>
              <w:t xml:space="preserve"> </w:t>
            </w:r>
            <w:r w:rsidR="00A9051B">
              <w:rPr>
                <w:rFonts w:eastAsia="Malgun Gothic"/>
                <w:lang w:eastAsia="ko-KR"/>
              </w:rPr>
              <w:t>June</w:t>
            </w:r>
            <w:r w:rsidR="00A9051B" w:rsidRPr="00A14FB6">
              <w:rPr>
                <w:rFonts w:eastAsia="Malgun Gothic"/>
                <w:lang w:eastAsia="ko-KR"/>
              </w:rPr>
              <w:t xml:space="preserve"> 201</w:t>
            </w:r>
            <w:r w:rsidR="00A9051B">
              <w:rPr>
                <w:rFonts w:eastAsia="Malgun Gothic"/>
                <w:lang w:eastAsia="ko-KR"/>
              </w:rPr>
              <w:t>5</w:t>
            </w:r>
          </w:p>
        </w:tc>
      </w:tr>
      <w:tr w:rsidR="00A9051B" w:rsidRPr="00A14FB6" w:rsidTr="00827893">
        <w:trPr>
          <w:cantSplit/>
          <w:trHeight w:val="357"/>
        </w:trPr>
        <w:tc>
          <w:tcPr>
            <w:tcW w:w="9923" w:type="dxa"/>
            <w:gridSpan w:val="5"/>
          </w:tcPr>
          <w:p w:rsidR="00A9051B" w:rsidRPr="00A14FB6" w:rsidRDefault="00A9051B" w:rsidP="00827893">
            <w:pPr>
              <w:jc w:val="center"/>
              <w:rPr>
                <w:b/>
                <w:bCs/>
              </w:rPr>
            </w:pPr>
            <w:r w:rsidRPr="00A14FB6">
              <w:rPr>
                <w:b/>
                <w:bCs/>
              </w:rPr>
              <w:t>RAPPORTEUR MEETING DOCUMENT</w:t>
            </w:r>
          </w:p>
        </w:tc>
      </w:tr>
      <w:tr w:rsidR="00A9051B" w:rsidRPr="00A14FB6" w:rsidTr="00827893">
        <w:trPr>
          <w:cantSplit/>
          <w:trHeight w:val="357"/>
        </w:trPr>
        <w:tc>
          <w:tcPr>
            <w:tcW w:w="1617" w:type="dxa"/>
          </w:tcPr>
          <w:p w:rsidR="00A9051B" w:rsidRPr="00A14FB6" w:rsidRDefault="00A9051B" w:rsidP="00827893">
            <w:pPr>
              <w:rPr>
                <w:b/>
                <w:bCs/>
              </w:rPr>
            </w:pPr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A9051B" w:rsidRPr="00A14FB6" w:rsidRDefault="00B478CB" w:rsidP="00827893">
            <w:r>
              <w:t>Huawei</w:t>
            </w:r>
          </w:p>
        </w:tc>
      </w:tr>
      <w:tr w:rsidR="00A9051B" w:rsidRPr="00A14FB6" w:rsidTr="00827893">
        <w:trPr>
          <w:cantSplit/>
          <w:trHeight w:val="357"/>
        </w:trPr>
        <w:tc>
          <w:tcPr>
            <w:tcW w:w="1617" w:type="dxa"/>
          </w:tcPr>
          <w:p w:rsidR="00A9051B" w:rsidRPr="00A14FB6" w:rsidRDefault="00A9051B" w:rsidP="00827893">
            <w:pPr>
              <w:spacing w:after="120"/>
            </w:pPr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A9051B" w:rsidRPr="00A14FB6" w:rsidRDefault="005A638F" w:rsidP="00F470C8">
            <w:pPr>
              <w:spacing w:after="120"/>
            </w:pPr>
            <w:r>
              <w:t>H.</w:t>
            </w:r>
            <w:r w:rsidR="00B478CB">
              <w:t xml:space="preserve">248.STGROUP: </w:t>
            </w:r>
            <w:r w:rsidR="00F470C8">
              <w:t>Cascaded a</w:t>
            </w:r>
            <w:r w:rsidR="009972C9">
              <w:t xml:space="preserve">ggregation </w:t>
            </w:r>
            <w:r w:rsidR="00F470C8">
              <w:t>and d</w:t>
            </w:r>
            <w:r w:rsidR="009972C9">
              <w:t>e-aggregation stream</w:t>
            </w:r>
            <w:r w:rsidR="00F470C8">
              <w:t>s</w:t>
            </w:r>
          </w:p>
        </w:tc>
      </w:tr>
      <w:tr w:rsidR="00A9051B" w:rsidRPr="00A14FB6" w:rsidTr="00827893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A9051B" w:rsidRPr="00A14FB6" w:rsidRDefault="00A9051B" w:rsidP="00827893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A9051B" w:rsidRPr="00A14FB6" w:rsidRDefault="00A9051B" w:rsidP="00827893">
            <w:pPr>
              <w:spacing w:after="120"/>
            </w:pPr>
            <w:r w:rsidRPr="006D5CE8">
              <w:t>Proposal</w:t>
            </w:r>
          </w:p>
        </w:tc>
      </w:tr>
    </w:tbl>
    <w:p w:rsidR="009F5BCD" w:rsidRDefault="009F5BCD" w:rsidP="00A9051B">
      <w:pPr>
        <w:sectPr w:rsidR="009F5BCD" w:rsidSect="002D225C">
          <w:pgSz w:w="11907" w:h="16834" w:code="9"/>
          <w:pgMar w:top="1417" w:right="1134" w:bottom="1417" w:left="1134" w:header="720" w:footer="720" w:gutter="0"/>
          <w:cols w:space="720"/>
          <w:docGrid w:linePitch="326"/>
        </w:sectPr>
      </w:pPr>
    </w:p>
    <w:p w:rsidR="00A9051B" w:rsidRPr="00A14FB6" w:rsidRDefault="00A9051B" w:rsidP="00A9051B"/>
    <w:p w:rsidR="00BA540B" w:rsidRPr="00093C27" w:rsidRDefault="00BA540B" w:rsidP="00BA540B">
      <w:pPr>
        <w:spacing w:before="240"/>
        <w:rPr>
          <w:b/>
        </w:rPr>
      </w:pPr>
      <w:r w:rsidRPr="00093C27">
        <w:rPr>
          <w:b/>
        </w:rPr>
        <w:t>1.</w:t>
      </w:r>
      <w:r w:rsidRPr="00093C27">
        <w:rPr>
          <w:b/>
        </w:rPr>
        <w:tab/>
        <w:t>Introduction</w:t>
      </w:r>
    </w:p>
    <w:p w:rsidR="00BA540B" w:rsidRDefault="00A31982" w:rsidP="00BA540B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AC2E50">
        <w:rPr>
          <w:lang w:eastAsia="zh-CN"/>
        </w:rPr>
        <w:t>discusses cascading aggregation and de-aggregation streams</w:t>
      </w:r>
      <w:r w:rsidR="00EF5A0D">
        <w:rPr>
          <w:lang w:eastAsia="zh-CN"/>
        </w:rPr>
        <w:t>.</w:t>
      </w:r>
    </w:p>
    <w:p w:rsidR="00A31982" w:rsidRDefault="00A31982" w:rsidP="00A31982">
      <w:pPr>
        <w:pStyle w:val="Heading1"/>
      </w:pPr>
      <w:r>
        <w:t>2. Discussion</w:t>
      </w:r>
    </w:p>
    <w:p w:rsidR="00EF5A0D" w:rsidRDefault="00F43B6D" w:rsidP="008D40C9">
      <w:bookmarkStart w:id="2" w:name="_Toc342648756"/>
      <w:bookmarkStart w:id="3" w:name="_Toc412719160"/>
      <w:bookmarkStart w:id="4" w:name="_Toc412732082"/>
      <w:r>
        <w:t xml:space="preserve">At the February Q3/16 meeting there was a proposal </w:t>
      </w:r>
      <w:r w:rsidR="00FD2B43">
        <w:t xml:space="preserve">in C.734 </w:t>
      </w:r>
      <w:r>
        <w:t xml:space="preserve">to add text to H.248.STGROUP regarding the interaction between aggregation and de-aggregation streams. During discussions it was agreed further work </w:t>
      </w:r>
      <w:r w:rsidR="00AC2E50">
        <w:t xml:space="preserve">was </w:t>
      </w:r>
      <w:r>
        <w:t>needed to be done in this area. The discussions were recorded as an Editor’s note to clause 8.6.7 on “</w:t>
      </w:r>
      <w:r w:rsidRPr="00F43B6D">
        <w:t>Interaction of stream grouping methods "aggregation" and "de-aggregation"</w:t>
      </w:r>
      <w:r>
        <w:t>.</w:t>
      </w:r>
    </w:p>
    <w:p w:rsidR="00F43B6D" w:rsidRDefault="00F43B6D" w:rsidP="008D40C9">
      <w:r>
        <w:t>As noted by the editor’s note, t</w:t>
      </w:r>
      <w:r w:rsidRPr="00F43B6D">
        <w:t>he current model presents the following difficulty for such a cascading: components streams of a de-aggregation stream are internal to the context, they don’t’ exist externally whereas components of an aggregation stream are external to the context.</w:t>
      </w:r>
      <w:r>
        <w:t xml:space="preserve"> </w:t>
      </w:r>
      <w:r w:rsidRPr="00F43B6D">
        <w:t xml:space="preserve">A de-aggregation stream represents an external media stream. As such the component streams of the de-aggregation are a representation of part of the external media stream. </w:t>
      </w:r>
    </w:p>
    <w:p w:rsidR="00F500ED" w:rsidRDefault="00FD2B43" w:rsidP="008D40C9">
      <w:r>
        <w:t xml:space="preserve">In order to progress the topic the Contributors have analysed the possible “cascades” </w:t>
      </w:r>
      <w:r w:rsidR="00AC2E50">
        <w:t xml:space="preserve">and </w:t>
      </w:r>
      <w:r>
        <w:t>have determined 4 theoretically possible combinations for a stream:</w:t>
      </w:r>
    </w:p>
    <w:p w:rsidR="00FD2B43" w:rsidRDefault="00FD2B43" w:rsidP="00FD2B43">
      <w:pPr>
        <w:pStyle w:val="ListParagraph"/>
        <w:numPr>
          <w:ilvl w:val="0"/>
          <w:numId w:val="9"/>
        </w:numPr>
      </w:pPr>
      <w:r>
        <w:t>De-aggregation to de-aggregation</w:t>
      </w:r>
    </w:p>
    <w:p w:rsidR="00FD2B43" w:rsidRDefault="00FD2B43" w:rsidP="00FD2B43">
      <w:pPr>
        <w:pStyle w:val="ListParagraph"/>
        <w:numPr>
          <w:ilvl w:val="0"/>
          <w:numId w:val="9"/>
        </w:numPr>
      </w:pPr>
      <w:r>
        <w:t>De-aggregation to aggregation</w:t>
      </w:r>
    </w:p>
    <w:p w:rsidR="00FD2B43" w:rsidRDefault="00FD2B43" w:rsidP="00FD2B43">
      <w:pPr>
        <w:pStyle w:val="ListParagraph"/>
        <w:numPr>
          <w:ilvl w:val="0"/>
          <w:numId w:val="9"/>
        </w:numPr>
      </w:pPr>
      <w:r>
        <w:t xml:space="preserve">Aggregation to de-aggregation </w:t>
      </w:r>
    </w:p>
    <w:p w:rsidR="00FD2B43" w:rsidRDefault="00FD2B43" w:rsidP="00FD2B43">
      <w:pPr>
        <w:pStyle w:val="ListParagraph"/>
        <w:numPr>
          <w:ilvl w:val="0"/>
          <w:numId w:val="9"/>
        </w:numPr>
      </w:pPr>
      <w:r>
        <w:t>Aggregation to aggregation</w:t>
      </w:r>
    </w:p>
    <w:p w:rsidR="00FD2B43" w:rsidRDefault="00FD2B43" w:rsidP="00FD2B43">
      <w:r>
        <w:t>These are analysed below.</w:t>
      </w:r>
    </w:p>
    <w:p w:rsidR="00FD2B43" w:rsidRDefault="00FD2B43" w:rsidP="00FD2B43">
      <w:pPr>
        <w:pStyle w:val="Heading2"/>
      </w:pPr>
      <w:r>
        <w:t>2.1 De-aggregation to de-aggregation</w:t>
      </w:r>
    </w:p>
    <w:p w:rsidR="00056038" w:rsidRDefault="00FD2B43" w:rsidP="00FD2B43">
      <w:r>
        <w:t xml:space="preserve">In this combination an incoming data stream is essentially de-multiplexed multiple times as it enters the H.248 Context. </w:t>
      </w:r>
      <w:r w:rsidR="00016DCE">
        <w:t>This is illustrated in figure 1 below.</w:t>
      </w:r>
    </w:p>
    <w:p w:rsidR="00016DCE" w:rsidRDefault="00016DCE" w:rsidP="00FD2B43"/>
    <w:p w:rsidR="00016DCE" w:rsidRDefault="00016DCE" w:rsidP="00016DCE">
      <w:pPr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 wp14:anchorId="202EB99B" wp14:editId="3B934028">
            <wp:extent cx="3838597" cy="3211551"/>
            <wp:effectExtent l="0" t="0" r="0" b="8255"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417" cy="32114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16DCE" w:rsidRPr="002D03BC" w:rsidRDefault="00016DCE" w:rsidP="00016DCE">
      <w:pPr>
        <w:pStyle w:val="FigureNotitle0"/>
      </w:pPr>
      <w:r w:rsidRPr="002D03BC">
        <w:t xml:space="preserve">Figure </w:t>
      </w:r>
      <w:r>
        <w:t>1</w:t>
      </w:r>
      <w:r w:rsidRPr="002D03BC">
        <w:t xml:space="preserve"> – </w:t>
      </w:r>
      <w:r>
        <w:t>De-aggregation component to de-aggregation stream cascade</w:t>
      </w:r>
    </w:p>
    <w:p w:rsidR="00CF42D6" w:rsidRDefault="00FD2B43" w:rsidP="00FD2B43">
      <w:pPr>
        <w:rPr>
          <w:iCs/>
        </w:rPr>
      </w:pPr>
      <w:r>
        <w:t xml:space="preserve">A possible use case would be where DTLS/SCTP and SRTP are multiplexed over the same transport address/port. </w:t>
      </w:r>
      <w:r w:rsidR="00C3366B">
        <w:t xml:space="preserve">This use case is mandated by </w:t>
      </w:r>
      <w:r w:rsidR="00CF42D6">
        <w:t>clause 3.5/</w:t>
      </w:r>
      <w:r w:rsidR="00C3366B">
        <w:t>[</w:t>
      </w:r>
      <w:r w:rsidR="00C3366B" w:rsidRPr="006D4014">
        <w:rPr>
          <w:iCs/>
        </w:rPr>
        <w:t>draft-ietf-rtcweb-transports-08</w:t>
      </w:r>
      <w:r w:rsidR="00C3366B">
        <w:rPr>
          <w:iCs/>
        </w:rPr>
        <w:t xml:space="preserve">] for </w:t>
      </w:r>
      <w:r w:rsidR="00CF42D6">
        <w:rPr>
          <w:iCs/>
        </w:rPr>
        <w:t>WebRTC implementations, i.e.</w:t>
      </w:r>
    </w:p>
    <w:p w:rsidR="00CF42D6" w:rsidRPr="00CF42D6" w:rsidRDefault="00CF42D6" w:rsidP="00CF42D6">
      <w:pPr>
        <w:ind w:left="720"/>
        <w:rPr>
          <w:i/>
          <w:iCs/>
        </w:rPr>
      </w:pPr>
      <w:r w:rsidRPr="00CF42D6">
        <w:rPr>
          <w:i/>
          <w:iCs/>
        </w:rPr>
        <w:t>"WebRTC implementations MUST support multiplexing of DTLS and RTP over the same port pair, as described in the DTLS_SRTP specification [RFC5764], section 5.1.2.  All application layer protocol payloads over this DTLS connection are SCTP packets."</w:t>
      </w:r>
    </w:p>
    <w:p w:rsidR="00C3366B" w:rsidRDefault="00FD2B43" w:rsidP="00FD2B43">
      <w:r>
        <w:t xml:space="preserve">The first de-aggregation could de-multiplex </w:t>
      </w:r>
      <w:r w:rsidR="001B1B1C">
        <w:t xml:space="preserve">the external data stream into </w:t>
      </w:r>
      <w:r w:rsidR="00F470C8">
        <w:t>DTLS/</w:t>
      </w:r>
      <w:r>
        <w:t xml:space="preserve">SCTP and RTP </w:t>
      </w:r>
      <w:r w:rsidR="001B1B1C">
        <w:t xml:space="preserve">component </w:t>
      </w:r>
      <w:r>
        <w:t xml:space="preserve">streams. </w:t>
      </w:r>
      <w:r w:rsidR="00F470C8">
        <w:t xml:space="preserve"> In this case the external data stream could be modelled by two H.248 Streams (i.e. one </w:t>
      </w:r>
      <w:r w:rsidR="00F470C8" w:rsidRPr="00F470C8">
        <w:t xml:space="preserve">UDP/TLS/RTP/SAVPF" </w:t>
      </w:r>
      <w:r w:rsidR="00F470C8">
        <w:t>and</w:t>
      </w:r>
      <w:r w:rsidR="00F470C8" w:rsidRPr="00F470C8">
        <w:t xml:space="preserve"> one with "UDP/DTLS/SCTP</w:t>
      </w:r>
      <w:r w:rsidR="00F470C8">
        <w:t xml:space="preserve">” utilising the same transport address/port). A “bundle” semantic would be specified via the </w:t>
      </w:r>
      <w:r w:rsidR="00F470C8" w:rsidRPr="00F470C8">
        <w:rPr>
          <w:i/>
        </w:rPr>
        <w:t>groupse</w:t>
      </w:r>
      <w:r w:rsidR="00F470C8">
        <w:t xml:space="preserve"> property. However a de-aggregation stream would not be needed because of the use of multiple H.248 streams. </w:t>
      </w:r>
      <w:r w:rsidR="00E209D9">
        <w:t>So whilst this first “de-mux” could be modelled via a de-aggregation</w:t>
      </w:r>
      <w:r w:rsidR="00AC2E50">
        <w:t>,</w:t>
      </w:r>
      <w:r w:rsidR="00E209D9">
        <w:t xml:space="preserve"> practically it would be defined via another method.</w:t>
      </w:r>
    </w:p>
    <w:p w:rsidR="00F470C8" w:rsidRDefault="00F470C8" w:rsidP="00FD2B43">
      <w:r>
        <w:t xml:space="preserve">A </w:t>
      </w:r>
      <w:r w:rsidR="00FD2B43">
        <w:t>de-aggreg</w:t>
      </w:r>
      <w:r>
        <w:t>ation would</w:t>
      </w:r>
      <w:r w:rsidR="00FD2B43">
        <w:t xml:space="preserve"> </w:t>
      </w:r>
      <w:r>
        <w:t xml:space="preserve">be needed to </w:t>
      </w:r>
      <w:r w:rsidR="00FD2B43">
        <w:t xml:space="preserve">de-multiplex the SCTP </w:t>
      </w:r>
      <w:r w:rsidR="001B1B1C">
        <w:t>component stream representing the SCTP association into component streams representing the SCTP streams</w:t>
      </w:r>
      <w:r w:rsidR="00FD2B43">
        <w:t xml:space="preserve">. </w:t>
      </w:r>
    </w:p>
    <w:p w:rsidR="00FD2B43" w:rsidRDefault="00FD2B43" w:rsidP="00FD2B43">
      <w:r>
        <w:t xml:space="preserve">This is illustrated in figure </w:t>
      </w:r>
      <w:r w:rsidR="00016DCE">
        <w:t>2</w:t>
      </w:r>
      <w:r>
        <w:t xml:space="preserve"> below.</w:t>
      </w:r>
    </w:p>
    <w:p w:rsidR="00F500ED" w:rsidRDefault="00E209D9" w:rsidP="00BD5F85">
      <w:pPr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 wp14:anchorId="1B111800" wp14:editId="79D266D4">
            <wp:extent cx="4622853" cy="2845167"/>
            <wp:effectExtent l="0" t="0" r="6350" b="0"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3679" cy="2845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D5F85" w:rsidRPr="002D03BC" w:rsidRDefault="00BD5F85" w:rsidP="00BD5F85">
      <w:pPr>
        <w:pStyle w:val="FigureNotitle0"/>
      </w:pPr>
      <w:bookmarkStart w:id="5" w:name="_Toc403717630"/>
      <w:bookmarkStart w:id="6" w:name="_Toc411980026"/>
      <w:bookmarkStart w:id="7" w:name="_Toc411980601"/>
      <w:bookmarkEnd w:id="2"/>
      <w:bookmarkEnd w:id="3"/>
      <w:bookmarkEnd w:id="4"/>
      <w:r w:rsidRPr="002D03BC">
        <w:t xml:space="preserve">Figure </w:t>
      </w:r>
      <w:r w:rsidR="00016DCE">
        <w:t>2</w:t>
      </w:r>
      <w:r w:rsidRPr="002D03BC">
        <w:t xml:space="preserve"> – </w:t>
      </w:r>
      <w:bookmarkEnd w:id="5"/>
      <w:bookmarkEnd w:id="6"/>
      <w:bookmarkEnd w:id="7"/>
      <w:r w:rsidR="00016DCE">
        <w:t>Multiple de-multiplexes one de-aggregation</w:t>
      </w:r>
    </w:p>
    <w:p w:rsidR="00BD5F85" w:rsidRDefault="00F470C8" w:rsidP="00BD5F85">
      <w:r>
        <w:t xml:space="preserve">In considering other scenarios where </w:t>
      </w:r>
      <w:r w:rsidR="00E209D9">
        <w:t xml:space="preserve">bundle is used it appears that these can also be handled in the above manner. </w:t>
      </w:r>
      <w:r>
        <w:t xml:space="preserve">Thus no practical use case is identified for the support of de-aggregation to de-aggregation cascading. </w:t>
      </w:r>
    </w:p>
    <w:p w:rsidR="00016DCE" w:rsidRPr="00016DCE" w:rsidRDefault="00016DCE" w:rsidP="00BD5F85">
      <w:pPr>
        <w:rPr>
          <w:i/>
        </w:rPr>
      </w:pPr>
      <w:r w:rsidRPr="00016DCE">
        <w:rPr>
          <w:b/>
        </w:rPr>
        <w:t xml:space="preserve">Conclusion: </w:t>
      </w:r>
      <w:r w:rsidRPr="00016DCE">
        <w:rPr>
          <w:i/>
        </w:rPr>
        <w:t>Whilst multiple de-aggregations are per figure 1 are theoretically possible, their use should be avoided via the use of a configuration such as those in figure 2.</w:t>
      </w:r>
      <w:r w:rsidR="005B7F81">
        <w:rPr>
          <w:i/>
        </w:rPr>
        <w:t xml:space="preserve"> Therefore for the current version of the STGROUP package this configuration is not supported. A future version could introduce this configuration.</w:t>
      </w:r>
    </w:p>
    <w:p w:rsidR="00BD5F85" w:rsidRDefault="00BD5F85" w:rsidP="00BD5F85">
      <w:pPr>
        <w:pStyle w:val="Heading2"/>
      </w:pPr>
      <w:r>
        <w:t>2.2 De-aggregation to aggregation</w:t>
      </w:r>
    </w:p>
    <w:p w:rsidR="00004AEE" w:rsidRDefault="00004AEE" w:rsidP="00004AEE">
      <w:pPr>
        <w:pStyle w:val="Heading3"/>
      </w:pPr>
      <w:r>
        <w:t xml:space="preserve">2.2.1 </w:t>
      </w:r>
      <w:r w:rsidR="009C4FC3">
        <w:t>No cascade</w:t>
      </w:r>
    </w:p>
    <w:p w:rsidR="00BD5F85" w:rsidRDefault="00CF42D6" w:rsidP="00BD5F85">
      <w:r>
        <w:t>T</w:t>
      </w:r>
      <w:r w:rsidR="001B1B1C">
        <w:t xml:space="preserve">his scenario </w:t>
      </w:r>
      <w:r>
        <w:t>builds on the scenario in clause 2.1. A</w:t>
      </w:r>
      <w:r w:rsidR="001B1B1C">
        <w:t xml:space="preserve">n external data stream is de-multiplexed </w:t>
      </w:r>
      <w:r>
        <w:t>to</w:t>
      </w:r>
      <w:r w:rsidR="001B1B1C">
        <w:t xml:space="preserve"> several component streams. One or more of these component streams are then used as part of a stream aggregation. This could occur where the media from the de-aggregation stream needs to be aggregated with other st</w:t>
      </w:r>
      <w:r w:rsidR="00000DCB">
        <w:t>reams for example as part of a FID semantic</w:t>
      </w:r>
      <w:r w:rsidR="001B1B1C">
        <w:t xml:space="preserve">. Figure </w:t>
      </w:r>
      <w:r w:rsidR="00016DCE">
        <w:t>3</w:t>
      </w:r>
      <w:r w:rsidR="001B1B1C">
        <w:t xml:space="preserve"> shows this scenario.</w:t>
      </w:r>
    </w:p>
    <w:p w:rsidR="001B1B1C" w:rsidRDefault="0078308C" w:rsidP="001F43EE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48742560" wp14:editId="2ACAA194">
            <wp:extent cx="3802359" cy="2860078"/>
            <wp:effectExtent l="0" t="0" r="8255" b="0"/>
            <wp:docPr id="246" name="Picture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934" cy="28590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B1B1C" w:rsidRDefault="001B1B1C" w:rsidP="001B1B1C">
      <w:pPr>
        <w:pStyle w:val="FigureNotitle0"/>
      </w:pPr>
      <w:r w:rsidRPr="002D03BC">
        <w:lastRenderedPageBreak/>
        <w:t xml:space="preserve">Figure </w:t>
      </w:r>
      <w:r w:rsidR="00016DCE">
        <w:t>3</w:t>
      </w:r>
      <w:r w:rsidRPr="002D03BC">
        <w:t xml:space="preserve"> – </w:t>
      </w:r>
      <w:r w:rsidR="009C4FC3">
        <w:t>De-aggregation to aggregation no cascade</w:t>
      </w:r>
    </w:p>
    <w:p w:rsidR="001F43EE" w:rsidRDefault="001F43EE" w:rsidP="001F43EE">
      <w:r>
        <w:t xml:space="preserve">Figure </w:t>
      </w:r>
      <w:r w:rsidR="00016DCE">
        <w:t>3</w:t>
      </w:r>
      <w:r>
        <w:t xml:space="preserve"> shows that whilst de-aggregation and aggregation is used</w:t>
      </w:r>
      <w:r w:rsidR="00AC2E50">
        <w:t>, they are</w:t>
      </w:r>
      <w:r>
        <w:t xml:space="preserve"> not cascaded.</w:t>
      </w:r>
    </w:p>
    <w:p w:rsidR="00016DCE" w:rsidRPr="00016DCE" w:rsidRDefault="00016DCE" w:rsidP="00016DCE">
      <w:pPr>
        <w:rPr>
          <w:i/>
        </w:rPr>
      </w:pPr>
      <w:r w:rsidRPr="00016DCE">
        <w:rPr>
          <w:b/>
        </w:rPr>
        <w:t xml:space="preserve">Conclusion: </w:t>
      </w:r>
      <w:r>
        <w:rPr>
          <w:i/>
        </w:rPr>
        <w:t>This is a valid configuration</w:t>
      </w:r>
      <w:r w:rsidRPr="00016DCE">
        <w:rPr>
          <w:i/>
        </w:rPr>
        <w:t>.</w:t>
      </w:r>
    </w:p>
    <w:p w:rsidR="009C4FC3" w:rsidRDefault="009C4FC3" w:rsidP="009C4FC3">
      <w:pPr>
        <w:pStyle w:val="Heading3"/>
      </w:pPr>
      <w:r>
        <w:t>2.2.2 Component cascade</w:t>
      </w:r>
    </w:p>
    <w:p w:rsidR="001F43EE" w:rsidRDefault="001F43EE" w:rsidP="001F43EE">
      <w:r>
        <w:t xml:space="preserve">A slightly modified scenario is where one of the applications on an SCTP stream needs to be </w:t>
      </w:r>
      <w:r w:rsidR="0019288F">
        <w:t>included in an aggregation before being forwarded to Termination Tb</w:t>
      </w:r>
      <w:r>
        <w:t xml:space="preserve">. This is illustrated in figure </w:t>
      </w:r>
      <w:r w:rsidR="00016DCE">
        <w:t>4</w:t>
      </w:r>
      <w:r>
        <w:t>.</w:t>
      </w:r>
    </w:p>
    <w:p w:rsidR="001F43EE" w:rsidRDefault="0078308C" w:rsidP="001F43EE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00C4647A" wp14:editId="094F43D0">
            <wp:extent cx="4228792" cy="3242607"/>
            <wp:effectExtent l="0" t="0" r="635" b="0"/>
            <wp:docPr id="300" name="Picture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0930" cy="32442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F43EE" w:rsidRDefault="001F43EE" w:rsidP="001F43EE">
      <w:pPr>
        <w:pStyle w:val="FigureNotitle0"/>
      </w:pPr>
      <w:r w:rsidRPr="002D03BC">
        <w:t xml:space="preserve">Figure </w:t>
      </w:r>
      <w:r w:rsidR="00016DCE">
        <w:t>4</w:t>
      </w:r>
      <w:r w:rsidRPr="002D03BC">
        <w:t xml:space="preserve"> – </w:t>
      </w:r>
      <w:r w:rsidR="009C4FC3">
        <w:t>De-aggregation component to aggregation cascade</w:t>
      </w:r>
    </w:p>
    <w:p w:rsidR="0078308C" w:rsidRDefault="00016DCE" w:rsidP="0078308C">
      <w:r>
        <w:t>This</w:t>
      </w:r>
      <w:r w:rsidR="001F43EE">
        <w:t xml:space="preserve"> is very similar to scenario in that the same </w:t>
      </w:r>
      <w:r w:rsidR="001F43EE" w:rsidRPr="008A7184">
        <w:rPr>
          <w:i/>
        </w:rPr>
        <w:t>strdeagg</w:t>
      </w:r>
      <w:r w:rsidR="001F43EE">
        <w:t xml:space="preserve"> and </w:t>
      </w:r>
      <w:r w:rsidR="001F43EE" w:rsidRPr="008A7184">
        <w:rPr>
          <w:i/>
        </w:rPr>
        <w:t>stragg</w:t>
      </w:r>
      <w:r w:rsidR="001F43EE">
        <w:t xml:space="preserve"> properties are used. However the difference is that the component stream from the de-aggregation is used as part of the aggregation.</w:t>
      </w:r>
      <w:r w:rsidR="0078308C">
        <w:t xml:space="preserve"> Whilst theoretically possible no </w:t>
      </w:r>
      <w:r w:rsidR="00CE5E4E">
        <w:t>practical</w:t>
      </w:r>
      <w:r w:rsidR="0078308C">
        <w:t xml:space="preserve"> use case has been identified. The Stream aggregation semantic could be FID meaning that Sid6 would source media from Sid1, Sid4 or Sid5 however this usage is unlikely.</w:t>
      </w:r>
    </w:p>
    <w:p w:rsidR="00CE5E4E" w:rsidRDefault="00CE5E4E" w:rsidP="0078308C">
      <w:r>
        <w:t xml:space="preserve">A more likely scenario is that the de-aggregation component is processed according to a subsequent semantic on another Termination. Figure 5 shows a scenario where a de-aggregation component </w:t>
      </w:r>
      <w:r w:rsidR="00AE5BCF">
        <w:t xml:space="preserve"> (Sid4) becomes part of a BUNDLE on Termination Tb.</w:t>
      </w:r>
    </w:p>
    <w:p w:rsidR="00CE5E4E" w:rsidRDefault="00CE5E4E" w:rsidP="005B7F81">
      <w:pPr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 wp14:anchorId="085498E3" wp14:editId="3079F928">
            <wp:extent cx="5378335" cy="3618752"/>
            <wp:effectExtent l="0" t="0" r="0" b="1270"/>
            <wp:docPr id="353" name="Picture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5883" cy="36171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E5E4E" w:rsidRDefault="00CE5E4E" w:rsidP="00CE5E4E">
      <w:pPr>
        <w:pStyle w:val="FigureNotitle0"/>
      </w:pPr>
      <w:r w:rsidRPr="002D03BC">
        <w:t xml:space="preserve">Figure </w:t>
      </w:r>
      <w:r>
        <w:t>5</w:t>
      </w:r>
      <w:r w:rsidRPr="002D03BC">
        <w:t xml:space="preserve"> – </w:t>
      </w:r>
      <w:r>
        <w:t>De-aggregation component to subsequent semantic</w:t>
      </w:r>
    </w:p>
    <w:p w:rsidR="0078308C" w:rsidRDefault="0078308C" w:rsidP="0078308C"/>
    <w:p w:rsidR="00CE5E4E" w:rsidRPr="00016DCE" w:rsidRDefault="00016DCE" w:rsidP="00CE5E4E">
      <w:pPr>
        <w:rPr>
          <w:i/>
        </w:rPr>
      </w:pPr>
      <w:r w:rsidRPr="00016DCE">
        <w:rPr>
          <w:b/>
        </w:rPr>
        <w:t xml:space="preserve">Conclusion: </w:t>
      </w:r>
      <w:r w:rsidR="00CE5E4E" w:rsidRPr="00016DCE">
        <w:rPr>
          <w:i/>
        </w:rPr>
        <w:t xml:space="preserve">Whilst multiple de-aggregations are per figure </w:t>
      </w:r>
      <w:r w:rsidR="00CE5E4E">
        <w:rPr>
          <w:i/>
        </w:rPr>
        <w:t>4</w:t>
      </w:r>
      <w:r w:rsidR="00CE5E4E" w:rsidRPr="00016DCE">
        <w:rPr>
          <w:i/>
        </w:rPr>
        <w:t xml:space="preserve"> are theoretically possible, their use should be avoided via the use of a configuration</w:t>
      </w:r>
      <w:r w:rsidR="00AE5BCF">
        <w:rPr>
          <w:i/>
        </w:rPr>
        <w:t>s</w:t>
      </w:r>
      <w:r w:rsidR="00CE5E4E" w:rsidRPr="00016DCE">
        <w:rPr>
          <w:i/>
        </w:rPr>
        <w:t xml:space="preserve"> such as those in figure </w:t>
      </w:r>
      <w:r w:rsidR="00AE5BCF">
        <w:rPr>
          <w:i/>
        </w:rPr>
        <w:t>6</w:t>
      </w:r>
      <w:r w:rsidR="00CE5E4E" w:rsidRPr="00016DCE">
        <w:rPr>
          <w:i/>
        </w:rPr>
        <w:t>.</w:t>
      </w:r>
      <w:r w:rsidR="005B7F81">
        <w:rPr>
          <w:i/>
        </w:rPr>
        <w:t xml:space="preserve"> Therefore for the current version of the STGROUP package this configuration is not supported. A future version could introduce this configuration.</w:t>
      </w:r>
    </w:p>
    <w:p w:rsidR="00016DCE" w:rsidRPr="00016DCE" w:rsidRDefault="00016DCE" w:rsidP="00016DCE">
      <w:pPr>
        <w:rPr>
          <w:i/>
        </w:rPr>
      </w:pPr>
    </w:p>
    <w:p w:rsidR="00004AEE" w:rsidRDefault="00312609" w:rsidP="00004AEE">
      <w:pPr>
        <w:pStyle w:val="Heading3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239E05F" wp14:editId="61618722">
                <wp:simplePos x="0" y="0"/>
                <wp:positionH relativeFrom="column">
                  <wp:posOffset>3286915</wp:posOffset>
                </wp:positionH>
                <wp:positionV relativeFrom="paragraph">
                  <wp:posOffset>46707</wp:posOffset>
                </wp:positionV>
                <wp:extent cx="252095" cy="266700"/>
                <wp:effectExtent l="0" t="0" r="0" b="0"/>
                <wp:wrapNone/>
                <wp:docPr id="27" name="Text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095" cy="2667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C4FC3" w:rsidRDefault="009C4FC3" w:rsidP="009C4FC3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239E05F" id="_x0000_t202" coordsize="21600,21600" o:spt="202" path="m,l,21600r21600,l21600,xe">
                <v:stroke joinstyle="miter"/>
                <v:path gradientshapeok="t" o:connecttype="rect"/>
              </v:shapetype>
              <v:shape id="TextBox 74" o:spid="_x0000_s1026" type="#_x0000_t202" style="position:absolute;left:0;text-align:left;margin-left:258.8pt;margin-top:3.7pt;width:19.85pt;height:21pt;z-index:2516828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" filled="f" stroked="f">
                <v:textbox style="mso-fit-shape-to-text:t">
                  <w:txbxContent>
                    <w:p w:rsidR="009C4FC3" w:rsidRDefault="009C4FC3" w:rsidP="009C4FC3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shape>
            </w:pict>
          </mc:Fallback>
        </mc:AlternateContent>
      </w:r>
      <w:r w:rsidR="00004AEE">
        <w:t>2.2.2 De-aggregation Stream cascade</w:t>
      </w:r>
    </w:p>
    <w:p w:rsidR="00004AEE" w:rsidRDefault="00856E9F" w:rsidP="00856E9F">
      <w:r>
        <w:t>In this scenario the de-aggregation Stream is used as an input to a</w:t>
      </w:r>
      <w:r w:rsidR="00555D26">
        <w:t>n</w:t>
      </w:r>
      <w:r>
        <w:t xml:space="preserve"> aggregation Stream. Figure </w:t>
      </w:r>
      <w:r w:rsidR="00AE5BCF">
        <w:t xml:space="preserve">6 </w:t>
      </w:r>
      <w:r>
        <w:t>illustrates the scenario.</w:t>
      </w:r>
    </w:p>
    <w:p w:rsidR="00856E9F" w:rsidRDefault="00AE5BCF" w:rsidP="00555D26">
      <w:pPr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 wp14:anchorId="48B729D6" wp14:editId="35CCCEEF">
            <wp:extent cx="4516159" cy="3657600"/>
            <wp:effectExtent l="0" t="0" r="0" b="0"/>
            <wp:docPr id="405" name="Picture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690" cy="3658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16437">
        <w:rPr>
          <w:noProof/>
          <w:lang w:val="en-AU" w:eastAsia="en-AU"/>
        </w:rPr>
        <w:t xml:space="preserve"> </w:t>
      </w:r>
    </w:p>
    <w:p w:rsidR="00856E9F" w:rsidRDefault="00856E9F" w:rsidP="00856E9F">
      <w:pPr>
        <w:pStyle w:val="FigureNotitle0"/>
      </w:pPr>
      <w:r w:rsidRPr="002D03BC">
        <w:t xml:space="preserve">Figure </w:t>
      </w:r>
      <w:r w:rsidR="00AE5BCF">
        <w:t>6</w:t>
      </w:r>
      <w:r w:rsidR="00AE5BCF" w:rsidRPr="002D03BC">
        <w:t xml:space="preserve"> </w:t>
      </w:r>
      <w:r w:rsidRPr="002D03BC">
        <w:t xml:space="preserve">– </w:t>
      </w:r>
      <w:r w:rsidR="009C4FC3">
        <w:t>De-aggregation stream to aggregation cascade</w:t>
      </w:r>
    </w:p>
    <w:p w:rsidR="00856E9F" w:rsidRDefault="00555D26" w:rsidP="00856E9F">
      <w:r>
        <w:t xml:space="preserve">Figure </w:t>
      </w:r>
      <w:r w:rsidR="00AE5BCF">
        <w:t xml:space="preserve">6 </w:t>
      </w:r>
      <w:r>
        <w:t xml:space="preserve">illustrates a scenario where the de-aggregation Stream Sid1 is used as a component to the Aggregation Stream Sid5. This is theoretically </w:t>
      </w:r>
      <w:r w:rsidR="009C4FC3">
        <w:t>possible;</w:t>
      </w:r>
      <w:r>
        <w:t xml:space="preserve"> however none of the currently defined aggregation semantics (i.e. in clause 8.6.3/[H.248.STGROUP]) would result in such a configuration.</w:t>
      </w:r>
    </w:p>
    <w:p w:rsidR="00016DCE" w:rsidRPr="00016DCE" w:rsidRDefault="00016DCE" w:rsidP="00016DCE">
      <w:pPr>
        <w:rPr>
          <w:i/>
        </w:rPr>
      </w:pPr>
      <w:r w:rsidRPr="00016DCE">
        <w:rPr>
          <w:b/>
        </w:rPr>
        <w:t xml:space="preserve">Conclusion: </w:t>
      </w:r>
      <w:r>
        <w:rPr>
          <w:i/>
        </w:rPr>
        <w:t>A valid configuration however no semantics are currently defined that require this configuration.</w:t>
      </w:r>
      <w:r w:rsidR="005B7F81">
        <w:rPr>
          <w:i/>
        </w:rPr>
        <w:t xml:space="preserve"> Therefore for the current version of the STGROUP package this configuration is not supported. A future version could introduce this configuration.</w:t>
      </w:r>
    </w:p>
    <w:p w:rsidR="00CF42D6" w:rsidRDefault="00CF42D6" w:rsidP="00CF42D6">
      <w:pPr>
        <w:pStyle w:val="Heading2"/>
      </w:pPr>
      <w:r>
        <w:t>2.3 Aggregation to de-aggregation</w:t>
      </w:r>
    </w:p>
    <w:p w:rsidR="009C4FC3" w:rsidRDefault="009C4FC3" w:rsidP="00BD5F85">
      <w:r>
        <w:t xml:space="preserve">In this scenario an aggregation stream acts also acts as a de-aggregation Stream. This is illustrated in figure </w:t>
      </w:r>
      <w:r w:rsidR="00AE5BCF">
        <w:t>7</w:t>
      </w:r>
      <w:r>
        <w:t>.</w:t>
      </w:r>
    </w:p>
    <w:p w:rsidR="009C4FC3" w:rsidRDefault="009C4FC3" w:rsidP="009C4FC3">
      <w:pPr>
        <w:jc w:val="center"/>
      </w:pPr>
      <w:r w:rsidRPr="009C4FC3">
        <w:rPr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D2E230" wp14:editId="7C3C445E">
                <wp:simplePos x="0" y="0"/>
                <wp:positionH relativeFrom="column">
                  <wp:posOffset>-354330</wp:posOffset>
                </wp:positionH>
                <wp:positionV relativeFrom="paragraph">
                  <wp:posOffset>-7041515</wp:posOffset>
                </wp:positionV>
                <wp:extent cx="412229" cy="369332"/>
                <wp:effectExtent l="0" t="0" r="0" b="0"/>
                <wp:wrapNone/>
                <wp:docPr id="5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229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C4FC3" w:rsidRDefault="009C4FC3" w:rsidP="009C4FC3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Ta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D2E230" id="TextBox 4" o:spid="_x0000_s1027" type="#_x0000_t202" style="position:absolute;left:0;text-align:left;margin-left:-27.9pt;margin-top:-554.45pt;width:32.45pt;height:29.1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" filled="f" stroked="f">
                <v:textbox style="mso-fit-shape-to-text:t">
                  <w:txbxContent>
                    <w:p w:rsidR="009C4FC3" w:rsidRDefault="009C4FC3" w:rsidP="009C4FC3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  <w:t>Ta</w:t>
                      </w:r>
                    </w:p>
                  </w:txbxContent>
                </v:textbox>
              </v:shape>
            </w:pict>
          </mc:Fallback>
        </mc:AlternateContent>
      </w:r>
      <w:r w:rsidRPr="009C4FC3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17D0CC" wp14:editId="3FB1E552">
                <wp:simplePos x="0" y="0"/>
                <wp:positionH relativeFrom="column">
                  <wp:posOffset>3416935</wp:posOffset>
                </wp:positionH>
                <wp:positionV relativeFrom="paragraph">
                  <wp:posOffset>-6856730</wp:posOffset>
                </wp:positionV>
                <wp:extent cx="441146" cy="369332"/>
                <wp:effectExtent l="0" t="0" r="0" b="0"/>
                <wp:wrapNone/>
                <wp:docPr id="18" name="Text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146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C4FC3" w:rsidRDefault="009C4FC3" w:rsidP="009C4FC3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Tb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17D0CC" id="TextBox 17" o:spid="_x0000_s1028" type="#_x0000_t202" style="position:absolute;left:0;text-align:left;margin-left:269.05pt;margin-top:-539.9pt;width:34.75pt;height:29.1pt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" filled="f" stroked="f">
                <v:textbox style="mso-fit-shape-to-text:t">
                  <w:txbxContent>
                    <w:p w:rsidR="009C4FC3" w:rsidRDefault="009C4FC3" w:rsidP="009C4FC3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  <w:t>Tb</w:t>
                      </w:r>
                    </w:p>
                  </w:txbxContent>
                </v:textbox>
              </v:shape>
            </w:pict>
          </mc:Fallback>
        </mc:AlternateContent>
      </w:r>
      <w:r w:rsidRPr="009C4FC3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6B75202" wp14:editId="61D1DAAF">
                <wp:simplePos x="0" y="0"/>
                <wp:positionH relativeFrom="column">
                  <wp:posOffset>88900</wp:posOffset>
                </wp:positionH>
                <wp:positionV relativeFrom="paragraph">
                  <wp:posOffset>-7226300</wp:posOffset>
                </wp:positionV>
                <wp:extent cx="3067891" cy="646331"/>
                <wp:effectExtent l="0" t="0" r="0" b="0"/>
                <wp:wrapNone/>
                <wp:docPr id="29" name="Text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7891" cy="64633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C4FC3" w:rsidRDefault="009C4FC3" w:rsidP="009C4FC3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groupse  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((</w:t>
                            </w:r>
                            <w:r>
                              <w:rPr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SEMANTIC1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?,1,2),</w:t>
                            </w:r>
                          </w:p>
                          <w:p w:rsidR="009C4FC3" w:rsidRDefault="009C4FC3" w:rsidP="009C4FC3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               (</w:t>
                            </w:r>
                            <w:r>
                              <w:rPr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SEMANTIC2?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,4,5))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B75202" id="TextBox 28" o:spid="_x0000_s1029" type="#_x0000_t202" style="position:absolute;left:0;text-align:left;margin-left:7pt;margin-top:-569pt;width:241.55pt;height:50.9pt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" filled="f" stroked="f">
                <v:textbox style="mso-fit-shape-to-text:t">
                  <w:txbxContent>
                    <w:p w:rsidR="009C4FC3" w:rsidRDefault="009C4FC3" w:rsidP="009C4FC3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i/>
                          <w:iCs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groupse  </w:t>
                      </w:r>
                      <w:r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  <w:t>((</w:t>
                      </w:r>
                      <w:r>
                        <w:rPr>
                          <w:i/>
                          <w:iCs/>
                          <w:color w:val="000000" w:themeColor="text1"/>
                          <w:kern w:val="24"/>
                          <w:sz w:val="36"/>
                          <w:szCs w:val="36"/>
                        </w:rPr>
                        <w:t>SEMANTIC1</w:t>
                      </w:r>
                      <w:r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  <w:t>?,1,2),</w:t>
                      </w:r>
                    </w:p>
                    <w:p w:rsidR="009C4FC3" w:rsidRDefault="009C4FC3" w:rsidP="009C4FC3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               (</w:t>
                      </w:r>
                      <w:r>
                        <w:rPr>
                          <w:i/>
                          <w:iCs/>
                          <w:color w:val="000000" w:themeColor="text1"/>
                          <w:kern w:val="24"/>
                          <w:sz w:val="36"/>
                          <w:szCs w:val="36"/>
                        </w:rPr>
                        <w:t>SEMANTIC2?</w:t>
                      </w:r>
                      <w:r>
                        <w:rPr>
                          <w:color w:val="000000" w:themeColor="text1"/>
                          <w:kern w:val="24"/>
                          <w:sz w:val="36"/>
                          <w:szCs w:val="36"/>
                        </w:rPr>
                        <w:t>,4,5))</w:t>
                      </w:r>
                    </w:p>
                  </w:txbxContent>
                </v:textbox>
              </v:shape>
            </w:pict>
          </mc:Fallback>
        </mc:AlternateContent>
      </w:r>
      <w:r w:rsidRPr="009C4FC3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ABF621C" wp14:editId="2B23B3A6">
                <wp:simplePos x="0" y="0"/>
                <wp:positionH relativeFrom="column">
                  <wp:posOffset>-92075</wp:posOffset>
                </wp:positionH>
                <wp:positionV relativeFrom="paragraph">
                  <wp:posOffset>-3215640</wp:posOffset>
                </wp:positionV>
                <wp:extent cx="0" cy="0"/>
                <wp:effectExtent l="0" t="0" r="0" b="0"/>
                <wp:wrapNone/>
                <wp:docPr id="46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737988" id="Straight Connector 45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25pt,-253.2pt" to="-7.25pt,-25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" strokecolor="black [3213]" strokeweight="1pt"/>
            </w:pict>
          </mc:Fallback>
        </mc:AlternateContent>
      </w:r>
      <w:r>
        <w:rPr>
          <w:noProof/>
          <w:lang w:val="en-US" w:eastAsia="en-US"/>
        </w:rPr>
        <w:drawing>
          <wp:inline distT="0" distB="0" distL="0" distR="0" wp14:anchorId="13AFBB3A" wp14:editId="57AE6454">
            <wp:extent cx="3776891" cy="2839844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754" cy="2841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C4FC3" w:rsidRDefault="009C4FC3" w:rsidP="009C4FC3">
      <w:pPr>
        <w:pStyle w:val="FigureNotitle0"/>
      </w:pPr>
      <w:r w:rsidRPr="002D03BC">
        <w:t xml:space="preserve">Figure </w:t>
      </w:r>
      <w:r w:rsidR="00AE5BCF">
        <w:t>7</w:t>
      </w:r>
      <w:r w:rsidR="00AE5BCF" w:rsidRPr="002D03BC">
        <w:t xml:space="preserve"> </w:t>
      </w:r>
      <w:r w:rsidRPr="002D03BC">
        <w:t xml:space="preserve">– </w:t>
      </w:r>
      <w:r>
        <w:t>Aggregation to De-aggregation cascade</w:t>
      </w:r>
    </w:p>
    <w:p w:rsidR="001B1B1C" w:rsidRDefault="009043CA" w:rsidP="00BD5F85">
      <w:r>
        <w:t>Given the existing semantics the Contributors have been unable to identify a scenario could result in an aggregation stream being used as a de-aggregation stream. The only currently defined de-aggregation semantic is “SCTP”. Therefore any de-aggregation stream must be SCTP related. The currently defined aggregation semantics (i.e. in clause 8.6.3/[H.248.STGROUP]) do not appear to relate to SCTP streams.</w:t>
      </w:r>
      <w:r w:rsidR="00555D26">
        <w:t xml:space="preserve"> </w:t>
      </w:r>
    </w:p>
    <w:p w:rsidR="009C4FC3" w:rsidRDefault="009C4FC3" w:rsidP="00BD5F85">
      <w:r w:rsidRPr="009C4FC3">
        <w:rPr>
          <w:b/>
        </w:rPr>
        <w:t>Conclusion:</w:t>
      </w:r>
      <w:r>
        <w:t xml:space="preserve"> </w:t>
      </w:r>
      <w:r w:rsidRPr="00016DCE">
        <w:rPr>
          <w:i/>
        </w:rPr>
        <w:t>If an MGC tries to set such a configuration the MG shall respond with an appropriate error code.</w:t>
      </w:r>
    </w:p>
    <w:p w:rsidR="00CF42D6" w:rsidRDefault="00CF42D6" w:rsidP="00CF42D6">
      <w:pPr>
        <w:pStyle w:val="Heading2"/>
      </w:pPr>
      <w:r>
        <w:t>2.4 Aggregation to aggregation</w:t>
      </w:r>
    </w:p>
    <w:p w:rsidR="00CF42D6" w:rsidRDefault="00832337" w:rsidP="00BD5F85">
      <w:r>
        <w:t>In this scenario the FID semantic is used to identify that one of two RTP streams (RTP1 or RTP2) will be sent at a particular time. The</w:t>
      </w:r>
      <w:r w:rsidR="001B003A">
        <w:t>n either</w:t>
      </w:r>
      <w:r>
        <w:t xml:space="preserve"> resultant stream </w:t>
      </w:r>
      <w:r w:rsidR="001B003A">
        <w:t xml:space="preserve">or RTP3 is sent into the Context due to the second FID semantic. </w:t>
      </w:r>
      <w:r>
        <w:t xml:space="preserve"> Figure </w:t>
      </w:r>
      <w:r w:rsidR="00AE5BCF">
        <w:t xml:space="preserve">8 </w:t>
      </w:r>
      <w:r>
        <w:t>shows the possible use of two aggregations to achieve this behaviour.</w:t>
      </w:r>
    </w:p>
    <w:p w:rsidR="00832337" w:rsidRDefault="0093286C" w:rsidP="00832337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2F210A7F" wp14:editId="219C64A8">
            <wp:extent cx="4442964" cy="3017520"/>
            <wp:effectExtent l="0" t="0" r="0" b="0"/>
            <wp:docPr id="486" name="Picture 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763" cy="30234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32337" w:rsidRDefault="00832337" w:rsidP="00832337">
      <w:pPr>
        <w:pStyle w:val="FigureNotitle0"/>
      </w:pPr>
      <w:r w:rsidRPr="002D03BC">
        <w:lastRenderedPageBreak/>
        <w:t xml:space="preserve">Figure </w:t>
      </w:r>
      <w:r w:rsidR="00AE5BCF">
        <w:t xml:space="preserve">8 </w:t>
      </w:r>
      <w:r w:rsidR="00016DCE">
        <w:t>– Aggregation stream as aggregation component</w:t>
      </w:r>
    </w:p>
    <w:p w:rsidR="00CF42D6" w:rsidRDefault="00832337" w:rsidP="00BD5F85">
      <w:r>
        <w:t xml:space="preserve">The resultant aggregation of H.248 Stream Sid3 is used as a component stream to the aggregation for Sid5. However this scenario could </w:t>
      </w:r>
      <w:r w:rsidR="00AC2E50">
        <w:t xml:space="preserve">be </w:t>
      </w:r>
      <w:r>
        <w:t>more simply modelled via a si</w:t>
      </w:r>
      <w:r w:rsidR="00AC2E50">
        <w:t>ngle</w:t>
      </w:r>
      <w:r>
        <w:t xml:space="preserve"> aggregation as shown in figure </w:t>
      </w:r>
      <w:r w:rsidR="00AE5BCF">
        <w:t>9</w:t>
      </w:r>
      <w:r>
        <w:t xml:space="preserve">. </w:t>
      </w:r>
    </w:p>
    <w:p w:rsidR="00832337" w:rsidRDefault="0093286C" w:rsidP="00832337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5FE8CD0E" wp14:editId="010F7D2A">
            <wp:extent cx="4748954" cy="3225338"/>
            <wp:effectExtent l="0" t="0" r="0" b="0"/>
            <wp:docPr id="635" name="Picture 6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6346" cy="32235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32337" w:rsidRDefault="00832337" w:rsidP="00832337">
      <w:pPr>
        <w:pStyle w:val="FigureNotitle0"/>
      </w:pPr>
      <w:r w:rsidRPr="002D03BC">
        <w:t xml:space="preserve">Figure </w:t>
      </w:r>
      <w:r w:rsidR="00AE5BCF">
        <w:t>9</w:t>
      </w:r>
      <w:r w:rsidR="00AE5BCF" w:rsidRPr="002D03BC">
        <w:t xml:space="preserve"> </w:t>
      </w:r>
      <w:r w:rsidRPr="002D03BC">
        <w:t xml:space="preserve">– </w:t>
      </w:r>
      <w:r w:rsidR="00016DCE">
        <w:t>Single aggregation</w:t>
      </w:r>
    </w:p>
    <w:p w:rsidR="009043CA" w:rsidRDefault="00832337" w:rsidP="00BD5F85">
      <w:r>
        <w:t xml:space="preserve">Figure 5 shows the simpler implementation using a single </w:t>
      </w:r>
      <w:r w:rsidRPr="00832337">
        <w:rPr>
          <w:i/>
        </w:rPr>
        <w:t>stragg</w:t>
      </w:r>
      <w:r>
        <w:t xml:space="preserve"> propery. </w:t>
      </w:r>
      <w:r w:rsidR="009043CA">
        <w:t xml:space="preserve">There doesn’t appear to be a valid use case </w:t>
      </w:r>
      <w:r w:rsidR="00016DCE">
        <w:t xml:space="preserve">using existing semantics </w:t>
      </w:r>
      <w:r w:rsidR="009043CA">
        <w:t xml:space="preserve">for aggregation to aggregation cascading. </w:t>
      </w:r>
    </w:p>
    <w:p w:rsidR="00016DCE" w:rsidRDefault="009C4FC3" w:rsidP="00016DCE">
      <w:r w:rsidRPr="00016DCE">
        <w:rPr>
          <w:b/>
        </w:rPr>
        <w:t xml:space="preserve">Conclusion: </w:t>
      </w:r>
      <w:r w:rsidR="00016DCE">
        <w:rPr>
          <w:i/>
        </w:rPr>
        <w:t xml:space="preserve">An MGC shall not use an aggregation to aggregation component configuration when the aggregations have the same semantic. An MGC may use such a configuration where the aggregations </w:t>
      </w:r>
      <w:r w:rsidR="00DE7431">
        <w:rPr>
          <w:i/>
        </w:rPr>
        <w:t>have different semantics however none of the existing semantics warrant such a configuration.</w:t>
      </w:r>
    </w:p>
    <w:p w:rsidR="009C4FC3" w:rsidRPr="00016DCE" w:rsidRDefault="009C4FC3" w:rsidP="00BD5F85">
      <w:pPr>
        <w:rPr>
          <w:b/>
        </w:rPr>
      </w:pPr>
    </w:p>
    <w:p w:rsidR="00A31982" w:rsidRDefault="008D40C9" w:rsidP="008D40C9">
      <w:pPr>
        <w:pStyle w:val="Heading1"/>
      </w:pPr>
      <w:r>
        <w:t>3 Proposal</w:t>
      </w:r>
    </w:p>
    <w:p w:rsidR="005A638F" w:rsidRDefault="005A638F" w:rsidP="005A638F">
      <w:r w:rsidRPr="000A3793">
        <w:t xml:space="preserve">It is proposed to </w:t>
      </w:r>
      <w:r w:rsidR="005B7F81">
        <w:t>incorporate the above configurations and conclusions based on discussions at the meeting into H.248.STGROUP. No specific text changes have been proposed. Any changes as a result of the discussion would be to clause 8.6.7/H.248.STGROUP.</w:t>
      </w:r>
    </w:p>
    <w:p w:rsidR="00880FA6" w:rsidRDefault="00880FA6" w:rsidP="001F5714">
      <w:pPr>
        <w:jc w:val="center"/>
      </w:pPr>
    </w:p>
    <w:p w:rsidR="00F05B8F" w:rsidRPr="001F5714" w:rsidRDefault="00F05B8F" w:rsidP="001F5714">
      <w:pPr>
        <w:jc w:val="center"/>
      </w:pPr>
      <w:r w:rsidRPr="001F5714">
        <w:t>__________________________</w:t>
      </w:r>
    </w:p>
    <w:sectPr w:rsidR="00F05B8F" w:rsidRPr="001F5714" w:rsidSect="009F5BCD">
      <w:headerReference w:type="default" r:id="rId17"/>
      <w:type w:val="continuous"/>
      <w:pgSz w:w="11907" w:h="16834" w:code="9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637" w:rsidRDefault="00EC2637">
      <w:r>
        <w:separator/>
      </w:r>
    </w:p>
  </w:endnote>
  <w:endnote w:type="continuationSeparator" w:id="0">
    <w:p w:rsidR="00EC2637" w:rsidRDefault="00EC2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637" w:rsidRDefault="00EC2637">
      <w:r>
        <w:t>____________________</w:t>
      </w:r>
    </w:p>
  </w:footnote>
  <w:footnote w:type="continuationSeparator" w:id="0">
    <w:p w:rsidR="00EC2637" w:rsidRDefault="00EC26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BCD" w:rsidRPr="002C4364" w:rsidRDefault="009F5BCD" w:rsidP="009F5BCD">
    <w:pPr>
      <w:pStyle w:val="Header"/>
    </w:pPr>
    <w:r w:rsidRPr="002C4364">
      <w:t xml:space="preserve">- </w:t>
    </w:r>
    <w:r w:rsidRPr="002C4364">
      <w:fldChar w:fldCharType="begin"/>
    </w:r>
    <w:r w:rsidRPr="002C4364">
      <w:instrText xml:space="preserve"> PAGE  \* MERGEFORMAT </w:instrText>
    </w:r>
    <w:r w:rsidRPr="002C4364">
      <w:fldChar w:fldCharType="separate"/>
    </w:r>
    <w:r>
      <w:rPr>
        <w:noProof/>
      </w:rPr>
      <w:t>2</w:t>
    </w:r>
    <w:r w:rsidRPr="002C4364">
      <w:fldChar w:fldCharType="end"/>
    </w:r>
    <w:r w:rsidRPr="002C4364">
      <w:t xml:space="preserve"> -</w:t>
    </w:r>
  </w:p>
  <w:p w:rsidR="009F5BCD" w:rsidRDefault="009F5BCD" w:rsidP="009F5BCD">
    <w:pPr>
      <w:pStyle w:val="Header"/>
    </w:pPr>
    <w:r>
      <w:t>AVD-4706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854AF"/>
    <w:multiLevelType w:val="hybridMultilevel"/>
    <w:tmpl w:val="39D6200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8147A"/>
    <w:multiLevelType w:val="hybridMultilevel"/>
    <w:tmpl w:val="9EC67D18"/>
    <w:lvl w:ilvl="0" w:tplc="64D83DD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83F8B"/>
    <w:multiLevelType w:val="hybridMultilevel"/>
    <w:tmpl w:val="343083C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B5A17"/>
    <w:multiLevelType w:val="hybridMultilevel"/>
    <w:tmpl w:val="01267D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B030D4"/>
    <w:multiLevelType w:val="hybridMultilevel"/>
    <w:tmpl w:val="39D6200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73CED"/>
    <w:multiLevelType w:val="hybridMultilevel"/>
    <w:tmpl w:val="030C1E5A"/>
    <w:lvl w:ilvl="0" w:tplc="00CCF5D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0C6209"/>
    <w:multiLevelType w:val="hybridMultilevel"/>
    <w:tmpl w:val="A0B83FC4"/>
    <w:lvl w:ilvl="0" w:tplc="00CCF5D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EC0297"/>
    <w:multiLevelType w:val="hybridMultilevel"/>
    <w:tmpl w:val="1AFEF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2328FA"/>
    <w:multiLevelType w:val="hybridMultilevel"/>
    <w:tmpl w:val="39D6200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EE338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5"/>
  </w:num>
  <w:num w:numId="5">
    <w:abstractNumId w:val="6"/>
  </w:num>
  <w:num w:numId="6">
    <w:abstractNumId w:val="10"/>
  </w:num>
  <w:num w:numId="7">
    <w:abstractNumId w:val="2"/>
  </w:num>
  <w:num w:numId="8">
    <w:abstractNumId w:val="1"/>
  </w:num>
  <w:num w:numId="9">
    <w:abstractNumId w:val="4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7"/>
  <w:removePersonalInformation/>
  <w:removeDateAndTime/>
  <w:embedSystemFonts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fr-CH" w:vendorID="64" w:dllVersion="131078" w:nlCheck="1" w:checkStyle="1"/>
  <w:activeWritingStyle w:appName="MSWord" w:lang="es-ES_tradnl" w:vendorID="64" w:dllVersion="131078" w:nlCheck="1" w:checkStyle="1"/>
  <w:activeWritingStyle w:appName="MSWord" w:lang="es-ES" w:vendorID="64" w:dllVersion="131078" w:nlCheck="1" w:checkStyle="1"/>
  <w:activeWritingStyle w:appName="MSWord" w:lang="en-AU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429"/>
    <w:rsid w:val="00000DCB"/>
    <w:rsid w:val="00004AEE"/>
    <w:rsid w:val="000112F6"/>
    <w:rsid w:val="00011747"/>
    <w:rsid w:val="000157E9"/>
    <w:rsid w:val="00016DCE"/>
    <w:rsid w:val="000315D1"/>
    <w:rsid w:val="00034351"/>
    <w:rsid w:val="000405C9"/>
    <w:rsid w:val="00042A6F"/>
    <w:rsid w:val="00056038"/>
    <w:rsid w:val="0007283F"/>
    <w:rsid w:val="000A0936"/>
    <w:rsid w:val="000A287B"/>
    <w:rsid w:val="000A3793"/>
    <w:rsid w:val="000A4233"/>
    <w:rsid w:val="000A523F"/>
    <w:rsid w:val="000B48BF"/>
    <w:rsid w:val="000B4FC6"/>
    <w:rsid w:val="000D4D3F"/>
    <w:rsid w:val="000D5C20"/>
    <w:rsid w:val="000E31BF"/>
    <w:rsid w:val="000E355E"/>
    <w:rsid w:val="000E3864"/>
    <w:rsid w:val="000E6F61"/>
    <w:rsid w:val="000F0BF9"/>
    <w:rsid w:val="000F6058"/>
    <w:rsid w:val="0010136A"/>
    <w:rsid w:val="001035D1"/>
    <w:rsid w:val="00104247"/>
    <w:rsid w:val="00105A7C"/>
    <w:rsid w:val="001076A5"/>
    <w:rsid w:val="001124EC"/>
    <w:rsid w:val="0011484C"/>
    <w:rsid w:val="00115836"/>
    <w:rsid w:val="001271BA"/>
    <w:rsid w:val="0013384E"/>
    <w:rsid w:val="001340A7"/>
    <w:rsid w:val="00141691"/>
    <w:rsid w:val="00143E3E"/>
    <w:rsid w:val="00151041"/>
    <w:rsid w:val="00156AE1"/>
    <w:rsid w:val="00161F9F"/>
    <w:rsid w:val="0016509B"/>
    <w:rsid w:val="00165351"/>
    <w:rsid w:val="00165A2F"/>
    <w:rsid w:val="0017152D"/>
    <w:rsid w:val="001721DF"/>
    <w:rsid w:val="0017459A"/>
    <w:rsid w:val="001773EF"/>
    <w:rsid w:val="00182432"/>
    <w:rsid w:val="00187D0E"/>
    <w:rsid w:val="0019288F"/>
    <w:rsid w:val="001A690D"/>
    <w:rsid w:val="001B003A"/>
    <w:rsid w:val="001B1B1C"/>
    <w:rsid w:val="001C04F3"/>
    <w:rsid w:val="001C1A24"/>
    <w:rsid w:val="001D41E9"/>
    <w:rsid w:val="001D5139"/>
    <w:rsid w:val="001E7A42"/>
    <w:rsid w:val="001F43EE"/>
    <w:rsid w:val="001F5714"/>
    <w:rsid w:val="001F7A0D"/>
    <w:rsid w:val="00206054"/>
    <w:rsid w:val="00217698"/>
    <w:rsid w:val="0022378A"/>
    <w:rsid w:val="00235DCE"/>
    <w:rsid w:val="00240094"/>
    <w:rsid w:val="00243916"/>
    <w:rsid w:val="00247313"/>
    <w:rsid w:val="002665A3"/>
    <w:rsid w:val="00270C8D"/>
    <w:rsid w:val="00281B1C"/>
    <w:rsid w:val="00281E54"/>
    <w:rsid w:val="00285219"/>
    <w:rsid w:val="00290B54"/>
    <w:rsid w:val="00290D55"/>
    <w:rsid w:val="002A2404"/>
    <w:rsid w:val="002A70F9"/>
    <w:rsid w:val="002B1F5B"/>
    <w:rsid w:val="002B30A8"/>
    <w:rsid w:val="002D1826"/>
    <w:rsid w:val="002D225C"/>
    <w:rsid w:val="002D50D2"/>
    <w:rsid w:val="002D514C"/>
    <w:rsid w:val="002D588C"/>
    <w:rsid w:val="002D60E9"/>
    <w:rsid w:val="002E5890"/>
    <w:rsid w:val="00306FDB"/>
    <w:rsid w:val="003102A0"/>
    <w:rsid w:val="00310FD2"/>
    <w:rsid w:val="00312609"/>
    <w:rsid w:val="00313A63"/>
    <w:rsid w:val="003141EF"/>
    <w:rsid w:val="00316437"/>
    <w:rsid w:val="00317110"/>
    <w:rsid w:val="00356D5E"/>
    <w:rsid w:val="00362F00"/>
    <w:rsid w:val="00367A8E"/>
    <w:rsid w:val="003729CD"/>
    <w:rsid w:val="003735CA"/>
    <w:rsid w:val="00394325"/>
    <w:rsid w:val="003965FB"/>
    <w:rsid w:val="003C1557"/>
    <w:rsid w:val="003C176F"/>
    <w:rsid w:val="003C2635"/>
    <w:rsid w:val="003C686F"/>
    <w:rsid w:val="003C7053"/>
    <w:rsid w:val="003F1475"/>
    <w:rsid w:val="003F284E"/>
    <w:rsid w:val="003F30A7"/>
    <w:rsid w:val="003F6D32"/>
    <w:rsid w:val="004055AA"/>
    <w:rsid w:val="0040723D"/>
    <w:rsid w:val="0041396F"/>
    <w:rsid w:val="00425387"/>
    <w:rsid w:val="004736FD"/>
    <w:rsid w:val="004765B6"/>
    <w:rsid w:val="0047718F"/>
    <w:rsid w:val="004836A7"/>
    <w:rsid w:val="00485482"/>
    <w:rsid w:val="00486D39"/>
    <w:rsid w:val="00486F40"/>
    <w:rsid w:val="00487429"/>
    <w:rsid w:val="00493B3E"/>
    <w:rsid w:val="004A0C0B"/>
    <w:rsid w:val="004A31FB"/>
    <w:rsid w:val="004A4E0A"/>
    <w:rsid w:val="004B1EDA"/>
    <w:rsid w:val="004B615C"/>
    <w:rsid w:val="004B685F"/>
    <w:rsid w:val="004D6190"/>
    <w:rsid w:val="004D6BAB"/>
    <w:rsid w:val="004E75A4"/>
    <w:rsid w:val="004E7D87"/>
    <w:rsid w:val="004F5386"/>
    <w:rsid w:val="004F60D4"/>
    <w:rsid w:val="00502748"/>
    <w:rsid w:val="00503705"/>
    <w:rsid w:val="00510CF1"/>
    <w:rsid w:val="0051297F"/>
    <w:rsid w:val="00513256"/>
    <w:rsid w:val="00513BD7"/>
    <w:rsid w:val="00521D74"/>
    <w:rsid w:val="005373D8"/>
    <w:rsid w:val="0054140E"/>
    <w:rsid w:val="00544538"/>
    <w:rsid w:val="00546B95"/>
    <w:rsid w:val="00555D26"/>
    <w:rsid w:val="0057699C"/>
    <w:rsid w:val="00595ECA"/>
    <w:rsid w:val="005A5F07"/>
    <w:rsid w:val="005A638F"/>
    <w:rsid w:val="005B4ADE"/>
    <w:rsid w:val="005B7F81"/>
    <w:rsid w:val="005C2F68"/>
    <w:rsid w:val="005C78C1"/>
    <w:rsid w:val="005C7B22"/>
    <w:rsid w:val="005D64B6"/>
    <w:rsid w:val="005D7C48"/>
    <w:rsid w:val="005E3EBB"/>
    <w:rsid w:val="00604813"/>
    <w:rsid w:val="0060660D"/>
    <w:rsid w:val="00615AD2"/>
    <w:rsid w:val="00625FC1"/>
    <w:rsid w:val="00642065"/>
    <w:rsid w:val="006429D9"/>
    <w:rsid w:val="00643C08"/>
    <w:rsid w:val="00646D07"/>
    <w:rsid w:val="006518BB"/>
    <w:rsid w:val="00655655"/>
    <w:rsid w:val="00656388"/>
    <w:rsid w:val="00676746"/>
    <w:rsid w:val="00680B4D"/>
    <w:rsid w:val="00681642"/>
    <w:rsid w:val="00681B7E"/>
    <w:rsid w:val="00687317"/>
    <w:rsid w:val="006908D1"/>
    <w:rsid w:val="00693143"/>
    <w:rsid w:val="00694C7A"/>
    <w:rsid w:val="00697F97"/>
    <w:rsid w:val="006B563A"/>
    <w:rsid w:val="006C2DA9"/>
    <w:rsid w:val="006C6B43"/>
    <w:rsid w:val="006D09C3"/>
    <w:rsid w:val="006D4BED"/>
    <w:rsid w:val="006D5E7C"/>
    <w:rsid w:val="006F22B6"/>
    <w:rsid w:val="006F5CD1"/>
    <w:rsid w:val="006F6561"/>
    <w:rsid w:val="00713F5B"/>
    <w:rsid w:val="00721E7D"/>
    <w:rsid w:val="00726163"/>
    <w:rsid w:val="00727536"/>
    <w:rsid w:val="0073209F"/>
    <w:rsid w:val="00735167"/>
    <w:rsid w:val="00736325"/>
    <w:rsid w:val="00736B99"/>
    <w:rsid w:val="00747FEE"/>
    <w:rsid w:val="00752D12"/>
    <w:rsid w:val="0075710E"/>
    <w:rsid w:val="007654A7"/>
    <w:rsid w:val="00775845"/>
    <w:rsid w:val="00776B81"/>
    <w:rsid w:val="007800F6"/>
    <w:rsid w:val="0078308C"/>
    <w:rsid w:val="007855C3"/>
    <w:rsid w:val="00794500"/>
    <w:rsid w:val="007D54EB"/>
    <w:rsid w:val="007E0909"/>
    <w:rsid w:val="007E567D"/>
    <w:rsid w:val="00800E8F"/>
    <w:rsid w:val="00813DD0"/>
    <w:rsid w:val="0081771C"/>
    <w:rsid w:val="008237C0"/>
    <w:rsid w:val="00824AD0"/>
    <w:rsid w:val="008255DA"/>
    <w:rsid w:val="00832337"/>
    <w:rsid w:val="00834912"/>
    <w:rsid w:val="0084734E"/>
    <w:rsid w:val="00852E03"/>
    <w:rsid w:val="00856E9F"/>
    <w:rsid w:val="0086692D"/>
    <w:rsid w:val="00880FA6"/>
    <w:rsid w:val="0089665C"/>
    <w:rsid w:val="00897255"/>
    <w:rsid w:val="008A7184"/>
    <w:rsid w:val="008C4C98"/>
    <w:rsid w:val="008D40C9"/>
    <w:rsid w:val="008D5709"/>
    <w:rsid w:val="008E16DF"/>
    <w:rsid w:val="008E1AF7"/>
    <w:rsid w:val="008E2874"/>
    <w:rsid w:val="008E3A6F"/>
    <w:rsid w:val="008E5395"/>
    <w:rsid w:val="008E7FB5"/>
    <w:rsid w:val="008F17CA"/>
    <w:rsid w:val="009043CA"/>
    <w:rsid w:val="00904A7D"/>
    <w:rsid w:val="00910220"/>
    <w:rsid w:val="00922573"/>
    <w:rsid w:val="00923C60"/>
    <w:rsid w:val="00923F8D"/>
    <w:rsid w:val="0093286C"/>
    <w:rsid w:val="00945CD9"/>
    <w:rsid w:val="009632F8"/>
    <w:rsid w:val="00987238"/>
    <w:rsid w:val="00994FE7"/>
    <w:rsid w:val="009972C9"/>
    <w:rsid w:val="009A1EED"/>
    <w:rsid w:val="009A64BD"/>
    <w:rsid w:val="009B0847"/>
    <w:rsid w:val="009B46B0"/>
    <w:rsid w:val="009B7FB9"/>
    <w:rsid w:val="009C2F59"/>
    <w:rsid w:val="009C33E7"/>
    <w:rsid w:val="009C4BD0"/>
    <w:rsid w:val="009C4FC3"/>
    <w:rsid w:val="009D1E73"/>
    <w:rsid w:val="009D721D"/>
    <w:rsid w:val="009E72DC"/>
    <w:rsid w:val="009F4902"/>
    <w:rsid w:val="009F5BCD"/>
    <w:rsid w:val="00A04E13"/>
    <w:rsid w:val="00A10EAA"/>
    <w:rsid w:val="00A17841"/>
    <w:rsid w:val="00A21911"/>
    <w:rsid w:val="00A247FD"/>
    <w:rsid w:val="00A31982"/>
    <w:rsid w:val="00A43177"/>
    <w:rsid w:val="00A43891"/>
    <w:rsid w:val="00A43A42"/>
    <w:rsid w:val="00A5623D"/>
    <w:rsid w:val="00A57CD1"/>
    <w:rsid w:val="00A71445"/>
    <w:rsid w:val="00A720B3"/>
    <w:rsid w:val="00A743B1"/>
    <w:rsid w:val="00A76D26"/>
    <w:rsid w:val="00A815F3"/>
    <w:rsid w:val="00A9051B"/>
    <w:rsid w:val="00A90FCB"/>
    <w:rsid w:val="00A95E87"/>
    <w:rsid w:val="00AC2E50"/>
    <w:rsid w:val="00AC4D8F"/>
    <w:rsid w:val="00AD60E6"/>
    <w:rsid w:val="00AE544A"/>
    <w:rsid w:val="00AE5BCF"/>
    <w:rsid w:val="00AE6D9E"/>
    <w:rsid w:val="00B018AE"/>
    <w:rsid w:val="00B055A6"/>
    <w:rsid w:val="00B21A78"/>
    <w:rsid w:val="00B252DB"/>
    <w:rsid w:val="00B3220C"/>
    <w:rsid w:val="00B41A04"/>
    <w:rsid w:val="00B46FF3"/>
    <w:rsid w:val="00B478CB"/>
    <w:rsid w:val="00B54013"/>
    <w:rsid w:val="00B55F70"/>
    <w:rsid w:val="00B57F8A"/>
    <w:rsid w:val="00B636A4"/>
    <w:rsid w:val="00B63BB5"/>
    <w:rsid w:val="00B711A8"/>
    <w:rsid w:val="00B72114"/>
    <w:rsid w:val="00B91DAC"/>
    <w:rsid w:val="00B97EBA"/>
    <w:rsid w:val="00BA540B"/>
    <w:rsid w:val="00BD0FD8"/>
    <w:rsid w:val="00BD5828"/>
    <w:rsid w:val="00BD5F85"/>
    <w:rsid w:val="00C17136"/>
    <w:rsid w:val="00C20E5C"/>
    <w:rsid w:val="00C26D25"/>
    <w:rsid w:val="00C32D5D"/>
    <w:rsid w:val="00C3366B"/>
    <w:rsid w:val="00C4182B"/>
    <w:rsid w:val="00C4442E"/>
    <w:rsid w:val="00C4471F"/>
    <w:rsid w:val="00C500DA"/>
    <w:rsid w:val="00C50E19"/>
    <w:rsid w:val="00C51305"/>
    <w:rsid w:val="00C55A60"/>
    <w:rsid w:val="00C65B47"/>
    <w:rsid w:val="00C7075F"/>
    <w:rsid w:val="00C725B9"/>
    <w:rsid w:val="00CA066B"/>
    <w:rsid w:val="00CA1169"/>
    <w:rsid w:val="00CA182E"/>
    <w:rsid w:val="00CA6769"/>
    <w:rsid w:val="00CA7FC9"/>
    <w:rsid w:val="00CB21CE"/>
    <w:rsid w:val="00CC08EA"/>
    <w:rsid w:val="00CC4324"/>
    <w:rsid w:val="00CD450F"/>
    <w:rsid w:val="00CE4106"/>
    <w:rsid w:val="00CE5E4E"/>
    <w:rsid w:val="00CE7E77"/>
    <w:rsid w:val="00CF220B"/>
    <w:rsid w:val="00CF42D6"/>
    <w:rsid w:val="00CF7760"/>
    <w:rsid w:val="00D06DE7"/>
    <w:rsid w:val="00D63B3A"/>
    <w:rsid w:val="00D731B1"/>
    <w:rsid w:val="00D94E7F"/>
    <w:rsid w:val="00DA095F"/>
    <w:rsid w:val="00DA0AD4"/>
    <w:rsid w:val="00DA2395"/>
    <w:rsid w:val="00DA2AB0"/>
    <w:rsid w:val="00DA2BBD"/>
    <w:rsid w:val="00DB507B"/>
    <w:rsid w:val="00DB66EE"/>
    <w:rsid w:val="00DC327F"/>
    <w:rsid w:val="00DC6CFE"/>
    <w:rsid w:val="00DE2148"/>
    <w:rsid w:val="00DE2EB0"/>
    <w:rsid w:val="00DE5FF6"/>
    <w:rsid w:val="00DE7431"/>
    <w:rsid w:val="00DF7F6E"/>
    <w:rsid w:val="00E209D9"/>
    <w:rsid w:val="00E24ACD"/>
    <w:rsid w:val="00E31A18"/>
    <w:rsid w:val="00E32022"/>
    <w:rsid w:val="00E32C07"/>
    <w:rsid w:val="00E36A4F"/>
    <w:rsid w:val="00E716BE"/>
    <w:rsid w:val="00E71A06"/>
    <w:rsid w:val="00E71F1E"/>
    <w:rsid w:val="00E72693"/>
    <w:rsid w:val="00E86BCA"/>
    <w:rsid w:val="00E910DA"/>
    <w:rsid w:val="00E92AEB"/>
    <w:rsid w:val="00E9668F"/>
    <w:rsid w:val="00EA3FB2"/>
    <w:rsid w:val="00EA5C08"/>
    <w:rsid w:val="00EB02C1"/>
    <w:rsid w:val="00EC1E4E"/>
    <w:rsid w:val="00EC2637"/>
    <w:rsid w:val="00ED26CA"/>
    <w:rsid w:val="00ED590B"/>
    <w:rsid w:val="00EE0992"/>
    <w:rsid w:val="00EE25B3"/>
    <w:rsid w:val="00EF2364"/>
    <w:rsid w:val="00EF2FE1"/>
    <w:rsid w:val="00EF567B"/>
    <w:rsid w:val="00EF5A0D"/>
    <w:rsid w:val="00EF5F5B"/>
    <w:rsid w:val="00F02A97"/>
    <w:rsid w:val="00F05B8F"/>
    <w:rsid w:val="00F06A08"/>
    <w:rsid w:val="00F12C65"/>
    <w:rsid w:val="00F21A0B"/>
    <w:rsid w:val="00F22AB3"/>
    <w:rsid w:val="00F25329"/>
    <w:rsid w:val="00F2567F"/>
    <w:rsid w:val="00F3254F"/>
    <w:rsid w:val="00F43B6D"/>
    <w:rsid w:val="00F470C8"/>
    <w:rsid w:val="00F500ED"/>
    <w:rsid w:val="00F634C5"/>
    <w:rsid w:val="00F65D54"/>
    <w:rsid w:val="00F72FE0"/>
    <w:rsid w:val="00F87AF2"/>
    <w:rsid w:val="00F9790E"/>
    <w:rsid w:val="00FA2276"/>
    <w:rsid w:val="00FA2375"/>
    <w:rsid w:val="00FA4A1A"/>
    <w:rsid w:val="00FB34E7"/>
    <w:rsid w:val="00FB5791"/>
    <w:rsid w:val="00FC37E9"/>
    <w:rsid w:val="00FC77B5"/>
    <w:rsid w:val="00FC77C3"/>
    <w:rsid w:val="00FD2B43"/>
    <w:rsid w:val="00FD54F6"/>
    <w:rsid w:val="00FE4A00"/>
    <w:rsid w:val="00FF2E5F"/>
    <w:rsid w:val="00FF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1B7E"/>
    <w:pPr>
      <w:spacing w:before="120"/>
    </w:pPr>
    <w:rPr>
      <w:rFonts w:ascii="Times New Roman" w:eastAsia="SimSun" w:hAnsi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9A64BD"/>
    <w:pPr>
      <w:keepNext/>
      <w:keepLines/>
      <w:spacing w:before="360"/>
      <w:ind w:left="794" w:hanging="794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rsid w:val="009A64BD"/>
    <w:pPr>
      <w:spacing w:before="240"/>
      <w:outlineLvl w:val="1"/>
    </w:pPr>
  </w:style>
  <w:style w:type="paragraph" w:styleId="Heading3">
    <w:name w:val="heading 3"/>
    <w:basedOn w:val="Heading1"/>
    <w:next w:val="Normal"/>
    <w:rsid w:val="009A64BD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9A64BD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9A64BD"/>
    <w:pPr>
      <w:outlineLvl w:val="4"/>
    </w:pPr>
  </w:style>
  <w:style w:type="paragraph" w:styleId="Heading6">
    <w:name w:val="heading 6"/>
    <w:basedOn w:val="Heading4"/>
    <w:next w:val="Normal"/>
    <w:rsid w:val="009A64BD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rsid w:val="009A64BD"/>
    <w:pPr>
      <w:outlineLvl w:val="6"/>
    </w:pPr>
  </w:style>
  <w:style w:type="paragraph" w:styleId="Heading8">
    <w:name w:val="heading 8"/>
    <w:basedOn w:val="Heading6"/>
    <w:next w:val="Normal"/>
    <w:rsid w:val="009A64BD"/>
    <w:pPr>
      <w:outlineLvl w:val="7"/>
    </w:pPr>
  </w:style>
  <w:style w:type="paragraph" w:styleId="Heading9">
    <w:name w:val="heading 9"/>
    <w:basedOn w:val="Heading6"/>
    <w:next w:val="Normal"/>
    <w:rsid w:val="009A64B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4"/>
    <w:semiHidden/>
    <w:rsid w:val="009A64BD"/>
  </w:style>
  <w:style w:type="paragraph" w:styleId="TOC4">
    <w:name w:val="toc 4"/>
    <w:basedOn w:val="TOC3"/>
    <w:semiHidden/>
    <w:rsid w:val="009A64BD"/>
  </w:style>
  <w:style w:type="paragraph" w:styleId="TOC3">
    <w:name w:val="toc 3"/>
    <w:basedOn w:val="TOC2"/>
    <w:rsid w:val="00681B7E"/>
    <w:pPr>
      <w:ind w:left="2269"/>
    </w:pPr>
  </w:style>
  <w:style w:type="paragraph" w:styleId="TOC2">
    <w:name w:val="toc 2"/>
    <w:basedOn w:val="TOC1"/>
    <w:uiPriority w:val="39"/>
    <w:rsid w:val="00681B7E"/>
    <w:pPr>
      <w:tabs>
        <w:tab w:val="clear" w:pos="964"/>
      </w:tabs>
      <w:spacing w:before="80"/>
      <w:ind w:left="1531" w:hanging="851"/>
    </w:pPr>
  </w:style>
  <w:style w:type="paragraph" w:styleId="TOC1">
    <w:name w:val="toc 1"/>
    <w:basedOn w:val="Normal"/>
    <w:uiPriority w:val="39"/>
    <w:rsid w:val="00681B7E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7">
    <w:name w:val="toc 7"/>
    <w:basedOn w:val="TOC4"/>
    <w:semiHidden/>
    <w:rsid w:val="009A64BD"/>
  </w:style>
  <w:style w:type="paragraph" w:styleId="TOC6">
    <w:name w:val="toc 6"/>
    <w:basedOn w:val="TOC4"/>
    <w:semiHidden/>
    <w:rsid w:val="009A64BD"/>
  </w:style>
  <w:style w:type="paragraph" w:styleId="TOC5">
    <w:name w:val="toc 5"/>
    <w:basedOn w:val="TOC4"/>
    <w:semiHidden/>
    <w:rsid w:val="009A64BD"/>
  </w:style>
  <w:style w:type="paragraph" w:styleId="Footer">
    <w:name w:val="footer"/>
    <w:basedOn w:val="Normal"/>
    <w:link w:val="FooterChar"/>
    <w:rsid w:val="009A64BD"/>
    <w:pPr>
      <w:tabs>
        <w:tab w:val="left" w:pos="5954"/>
        <w:tab w:val="right" w:pos="9639"/>
      </w:tabs>
      <w:spacing w:before="0"/>
    </w:pPr>
    <w:rPr>
      <w:rFonts w:eastAsia="Times New Roman"/>
      <w:caps/>
      <w:noProof/>
      <w:sz w:val="16"/>
      <w:szCs w:val="20"/>
      <w:lang w:eastAsia="en-US"/>
    </w:rPr>
  </w:style>
  <w:style w:type="paragraph" w:styleId="Header">
    <w:name w:val="header"/>
    <w:basedOn w:val="Normal"/>
    <w:link w:val="HeaderChar"/>
    <w:rsid w:val="009A64BD"/>
    <w:pPr>
      <w:spacing w:before="0"/>
      <w:jc w:val="center"/>
    </w:pPr>
    <w:rPr>
      <w:sz w:val="18"/>
    </w:rPr>
  </w:style>
  <w:style w:type="character" w:styleId="FootnoteReference">
    <w:name w:val="footnote reference"/>
    <w:semiHidden/>
    <w:rsid w:val="009A64BD"/>
    <w:rPr>
      <w:position w:val="6"/>
      <w:sz w:val="18"/>
    </w:rPr>
  </w:style>
  <w:style w:type="paragraph" w:styleId="FootnoteText">
    <w:name w:val="footnote text"/>
    <w:basedOn w:val="Note"/>
    <w:semiHidden/>
    <w:rsid w:val="009A64BD"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rsid w:val="009A64BD"/>
    <w:pPr>
      <w:spacing w:before="80"/>
    </w:pPr>
    <w:rPr>
      <w:sz w:val="22"/>
    </w:rPr>
  </w:style>
  <w:style w:type="paragraph" w:customStyle="1" w:styleId="enumlev1">
    <w:name w:val="enumlev1"/>
    <w:basedOn w:val="Normal"/>
    <w:link w:val="enumlev1Char"/>
    <w:rsid w:val="009A64BD"/>
    <w:pPr>
      <w:spacing w:before="80"/>
      <w:ind w:left="794" w:hanging="794"/>
    </w:pPr>
  </w:style>
  <w:style w:type="paragraph" w:customStyle="1" w:styleId="enumlev2">
    <w:name w:val="enumlev2"/>
    <w:basedOn w:val="enumlev1"/>
    <w:rsid w:val="009A64BD"/>
    <w:pPr>
      <w:ind w:left="1191" w:hanging="397"/>
    </w:pPr>
  </w:style>
  <w:style w:type="paragraph" w:customStyle="1" w:styleId="enumlev3">
    <w:name w:val="enumlev3"/>
    <w:basedOn w:val="enumlev2"/>
    <w:rsid w:val="009A64BD"/>
    <w:pPr>
      <w:ind w:left="1588"/>
    </w:pPr>
  </w:style>
  <w:style w:type="paragraph" w:customStyle="1" w:styleId="Equation">
    <w:name w:val="Equation"/>
    <w:basedOn w:val="Normal"/>
    <w:rsid w:val="009A64BD"/>
    <w:pPr>
      <w:tabs>
        <w:tab w:val="center" w:pos="4820"/>
        <w:tab w:val="right" w:pos="9639"/>
      </w:tabs>
    </w:pPr>
  </w:style>
  <w:style w:type="paragraph" w:customStyle="1" w:styleId="toc0">
    <w:name w:val="toc 0"/>
    <w:basedOn w:val="Normal"/>
    <w:next w:val="TOC1"/>
    <w:rsid w:val="009A64BD"/>
    <w:pPr>
      <w:keepLines/>
      <w:tabs>
        <w:tab w:val="right" w:pos="9639"/>
      </w:tabs>
    </w:pPr>
    <w:rPr>
      <w:b/>
    </w:rPr>
  </w:style>
  <w:style w:type="paragraph" w:customStyle="1" w:styleId="ASN1">
    <w:name w:val="ASN.1"/>
    <w:rsid w:val="009A64B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hAnsi="Courier New"/>
      <w:b/>
      <w:noProof/>
      <w:lang w:val="en-GB" w:eastAsia="en-US"/>
    </w:rPr>
  </w:style>
  <w:style w:type="paragraph" w:styleId="TOC9">
    <w:name w:val="toc 9"/>
    <w:basedOn w:val="TOC3"/>
    <w:semiHidden/>
    <w:rsid w:val="009A64BD"/>
  </w:style>
  <w:style w:type="paragraph" w:customStyle="1" w:styleId="Chaptitle">
    <w:name w:val="Chap_title"/>
    <w:basedOn w:val="Normal"/>
    <w:next w:val="Normalaftertitle"/>
    <w:rsid w:val="009A64BD"/>
    <w:pPr>
      <w:keepNext/>
      <w:keepLines/>
      <w:spacing w:before="240"/>
      <w:jc w:val="center"/>
    </w:pPr>
    <w:rPr>
      <w:b/>
      <w:sz w:val="28"/>
    </w:rPr>
  </w:style>
  <w:style w:type="character" w:styleId="PageNumber">
    <w:name w:val="page number"/>
    <w:basedOn w:val="DefaultParagraphFont"/>
    <w:rsid w:val="009A64BD"/>
  </w:style>
  <w:style w:type="paragraph" w:styleId="Index1">
    <w:name w:val="index 1"/>
    <w:basedOn w:val="Normal"/>
    <w:next w:val="Normal"/>
    <w:semiHidden/>
    <w:rsid w:val="009A64BD"/>
  </w:style>
  <w:style w:type="paragraph" w:customStyle="1" w:styleId="AnnexNoTitle">
    <w:name w:val="Annex_NoTitle"/>
    <w:basedOn w:val="Normal"/>
    <w:next w:val="Normalaftertitle"/>
    <w:rsid w:val="009A64BD"/>
    <w:pPr>
      <w:keepNext/>
      <w:keepLines/>
      <w:spacing w:before="720"/>
      <w:jc w:val="center"/>
    </w:pPr>
    <w:rPr>
      <w:b/>
      <w:sz w:val="28"/>
    </w:rPr>
  </w:style>
  <w:style w:type="character" w:customStyle="1" w:styleId="Appdef">
    <w:name w:val="App_def"/>
    <w:rsid w:val="009A64BD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A64BD"/>
  </w:style>
  <w:style w:type="paragraph" w:customStyle="1" w:styleId="AppendixNoTitle">
    <w:name w:val="Appendix_NoTitle"/>
    <w:basedOn w:val="AnnexNoTitle"/>
    <w:next w:val="Normalaftertitle"/>
    <w:rsid w:val="009A64BD"/>
  </w:style>
  <w:style w:type="character" w:customStyle="1" w:styleId="Artdef">
    <w:name w:val="Art_def"/>
    <w:rsid w:val="009A64BD"/>
    <w:rPr>
      <w:rFonts w:ascii="Times New Roman" w:hAnsi="Times New Roman"/>
      <w:b/>
    </w:rPr>
  </w:style>
  <w:style w:type="character" w:styleId="CommentReference">
    <w:name w:val="annotation reference"/>
    <w:semiHidden/>
    <w:rsid w:val="009A64BD"/>
    <w:rPr>
      <w:sz w:val="16"/>
      <w:szCs w:val="16"/>
    </w:rPr>
  </w:style>
  <w:style w:type="paragraph" w:customStyle="1" w:styleId="Reftitle">
    <w:name w:val="Ref_title"/>
    <w:basedOn w:val="Normal"/>
    <w:next w:val="Reftext"/>
    <w:rsid w:val="009A64BD"/>
    <w:pPr>
      <w:spacing w:before="480"/>
      <w:jc w:val="center"/>
    </w:pPr>
    <w:rPr>
      <w:b/>
    </w:rPr>
  </w:style>
  <w:style w:type="paragraph" w:customStyle="1" w:styleId="ArtNo">
    <w:name w:val="Art_No"/>
    <w:basedOn w:val="Normal"/>
    <w:next w:val="Arttitle"/>
    <w:rsid w:val="009A64BD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rsid w:val="009A64BD"/>
    <w:pPr>
      <w:keepNext/>
      <w:keepLines/>
      <w:spacing w:before="240"/>
      <w:jc w:val="center"/>
    </w:pPr>
    <w:rPr>
      <w:b/>
      <w:sz w:val="28"/>
    </w:rPr>
  </w:style>
  <w:style w:type="character" w:customStyle="1" w:styleId="Artref">
    <w:name w:val="Art_ref"/>
    <w:basedOn w:val="DefaultParagraphFont"/>
    <w:rsid w:val="009A64BD"/>
  </w:style>
  <w:style w:type="paragraph" w:customStyle="1" w:styleId="Call">
    <w:name w:val="Call"/>
    <w:basedOn w:val="Normal"/>
    <w:next w:val="Normal"/>
    <w:rsid w:val="009A64BD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9A64BD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Equationlegend">
    <w:name w:val="Equation_legend"/>
    <w:basedOn w:val="Normal"/>
    <w:rsid w:val="009A64BD"/>
    <w:pPr>
      <w:tabs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rsid w:val="009A64BD"/>
    <w:pPr>
      <w:keepNext/>
      <w:keepLines/>
      <w:spacing w:before="20" w:after="20"/>
    </w:pPr>
    <w:rPr>
      <w:sz w:val="18"/>
    </w:rPr>
  </w:style>
  <w:style w:type="paragraph" w:customStyle="1" w:styleId="Figure">
    <w:name w:val="Figure"/>
    <w:basedOn w:val="Normal"/>
    <w:next w:val="Normal"/>
    <w:rsid w:val="00681B7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Title"/>
    <w:basedOn w:val="Normal"/>
    <w:next w:val="Normalaftertitle"/>
    <w:rsid w:val="009A64BD"/>
    <w:pPr>
      <w:keepLines/>
      <w:spacing w:before="240" w:after="120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rsid w:val="009A64BD"/>
    <w:pPr>
      <w:keepLines/>
      <w:spacing w:before="240" w:after="120"/>
      <w:jc w:val="center"/>
    </w:pPr>
  </w:style>
  <w:style w:type="paragraph" w:customStyle="1" w:styleId="FooterQP">
    <w:name w:val="Footer_QP"/>
    <w:basedOn w:val="Normal"/>
    <w:rsid w:val="009A64BD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irstFooter">
    <w:name w:val="FirstFooter"/>
    <w:basedOn w:val="Footer"/>
    <w:rsid w:val="009A64BD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rmal">
    <w:name w:val="Formal"/>
    <w:basedOn w:val="Normal"/>
    <w:rsid w:val="00681B7E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681B7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681B7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2">
    <w:name w:val="index 2"/>
    <w:basedOn w:val="Normal"/>
    <w:next w:val="Normal"/>
    <w:semiHidden/>
    <w:rsid w:val="009A64BD"/>
    <w:pPr>
      <w:ind w:left="284"/>
    </w:pPr>
  </w:style>
  <w:style w:type="paragraph" w:styleId="Index3">
    <w:name w:val="index 3"/>
    <w:basedOn w:val="Normal"/>
    <w:next w:val="Normal"/>
    <w:semiHidden/>
    <w:rsid w:val="009A64BD"/>
    <w:pPr>
      <w:ind w:left="567"/>
    </w:pPr>
  </w:style>
  <w:style w:type="paragraph" w:customStyle="1" w:styleId="Normalaftertitle">
    <w:name w:val="Normal_after_title"/>
    <w:basedOn w:val="Normal"/>
    <w:next w:val="Normal"/>
    <w:rsid w:val="009A64BD"/>
    <w:pPr>
      <w:spacing w:before="360"/>
    </w:pPr>
  </w:style>
  <w:style w:type="paragraph" w:customStyle="1" w:styleId="PartNo">
    <w:name w:val="Part_No"/>
    <w:basedOn w:val="Normal"/>
    <w:next w:val="Partref"/>
    <w:rsid w:val="009A64BD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Parttitle"/>
    <w:rsid w:val="009A64BD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9A64BD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9A64BD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9A64BD"/>
  </w:style>
  <w:style w:type="paragraph" w:customStyle="1" w:styleId="RecNo">
    <w:name w:val="Rec_No"/>
    <w:basedOn w:val="Normal"/>
    <w:next w:val="Normal"/>
    <w:rsid w:val="00681B7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Questiontitle"/>
    <w:rsid w:val="009A64BD"/>
  </w:style>
  <w:style w:type="paragraph" w:customStyle="1" w:styleId="Recref">
    <w:name w:val="Rec_ref"/>
    <w:basedOn w:val="Normal"/>
    <w:next w:val="Recdate"/>
    <w:rsid w:val="009A64BD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9A64BD"/>
  </w:style>
  <w:style w:type="paragraph" w:customStyle="1" w:styleId="Rectitle">
    <w:name w:val="Rec_title"/>
    <w:basedOn w:val="Normal"/>
    <w:next w:val="Normal"/>
    <w:rsid w:val="00681B7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9A64BD"/>
  </w:style>
  <w:style w:type="paragraph" w:customStyle="1" w:styleId="Reftext">
    <w:name w:val="Ref_text"/>
    <w:basedOn w:val="Normal"/>
    <w:rsid w:val="00681B7E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pdate">
    <w:name w:val="Rep_date"/>
    <w:basedOn w:val="Recdate"/>
    <w:next w:val="Normalaftertitle"/>
    <w:rsid w:val="009A64BD"/>
  </w:style>
  <w:style w:type="paragraph" w:customStyle="1" w:styleId="RepNo">
    <w:name w:val="Rep_No"/>
    <w:basedOn w:val="RecNo"/>
    <w:next w:val="Reptitle"/>
    <w:rsid w:val="009A64BD"/>
  </w:style>
  <w:style w:type="paragraph" w:customStyle="1" w:styleId="Repref">
    <w:name w:val="Rep_ref"/>
    <w:basedOn w:val="Recref"/>
    <w:next w:val="Repdate"/>
    <w:rsid w:val="009A64BD"/>
  </w:style>
  <w:style w:type="paragraph" w:customStyle="1" w:styleId="Reptitle">
    <w:name w:val="Rep_title"/>
    <w:basedOn w:val="Rectitle"/>
    <w:next w:val="Repref"/>
    <w:rsid w:val="009A64BD"/>
  </w:style>
  <w:style w:type="paragraph" w:customStyle="1" w:styleId="Resdate">
    <w:name w:val="Res_date"/>
    <w:basedOn w:val="Recdate"/>
    <w:next w:val="Normalaftertitle"/>
    <w:rsid w:val="009A64BD"/>
  </w:style>
  <w:style w:type="character" w:customStyle="1" w:styleId="Resdef">
    <w:name w:val="Res_def"/>
    <w:rsid w:val="009A64BD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9A64BD"/>
  </w:style>
  <w:style w:type="paragraph" w:customStyle="1" w:styleId="Resref">
    <w:name w:val="Res_ref"/>
    <w:basedOn w:val="Recref"/>
    <w:next w:val="Resdate"/>
    <w:rsid w:val="009A64BD"/>
  </w:style>
  <w:style w:type="paragraph" w:customStyle="1" w:styleId="Restitle">
    <w:name w:val="Res_title"/>
    <w:basedOn w:val="Rectitle"/>
    <w:next w:val="Resref"/>
    <w:rsid w:val="009A64BD"/>
  </w:style>
  <w:style w:type="paragraph" w:customStyle="1" w:styleId="Section1">
    <w:name w:val="Section_1"/>
    <w:basedOn w:val="Normal"/>
    <w:next w:val="Normal"/>
    <w:rsid w:val="009A64BD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9A64BD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Sectiontitle"/>
    <w:rsid w:val="009A64BD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9A64BD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9A64BD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A64BD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rsid w:val="009A64BD"/>
    <w:rPr>
      <w:b/>
      <w:color w:val="auto"/>
    </w:rPr>
  </w:style>
  <w:style w:type="paragraph" w:customStyle="1" w:styleId="Tablehead">
    <w:name w:val="Table_head"/>
    <w:basedOn w:val="Normal"/>
    <w:next w:val="Normal"/>
    <w:rsid w:val="00681B7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681B7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CommentText">
    <w:name w:val="annotation text"/>
    <w:basedOn w:val="Normal"/>
    <w:link w:val="CommentTextChar"/>
    <w:semiHidden/>
    <w:rsid w:val="009A64BD"/>
    <w:pPr>
      <w:spacing w:before="0"/>
    </w:pPr>
    <w:rPr>
      <w:sz w:val="20"/>
      <w:lang w:val="en-US"/>
    </w:rPr>
  </w:style>
  <w:style w:type="paragraph" w:customStyle="1" w:styleId="Tabletext">
    <w:name w:val="Table_text"/>
    <w:basedOn w:val="Normal"/>
    <w:link w:val="TabletextChar"/>
    <w:rsid w:val="00681B7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Title"/>
    <w:basedOn w:val="Normal"/>
    <w:next w:val="Tablehead"/>
    <w:rsid w:val="009A64B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rsid w:val="009A64BD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9A64BD"/>
  </w:style>
  <w:style w:type="paragraph" w:customStyle="1" w:styleId="Title3">
    <w:name w:val="Title 3"/>
    <w:basedOn w:val="Title2"/>
    <w:next w:val="Title4"/>
    <w:rsid w:val="009A64BD"/>
    <w:rPr>
      <w:caps w:val="0"/>
    </w:rPr>
  </w:style>
  <w:style w:type="paragraph" w:customStyle="1" w:styleId="Title4">
    <w:name w:val="Title 4"/>
    <w:basedOn w:val="Title3"/>
    <w:next w:val="Heading1"/>
    <w:rsid w:val="009A64BD"/>
    <w:rPr>
      <w:b/>
    </w:rPr>
  </w:style>
  <w:style w:type="paragraph" w:customStyle="1" w:styleId="Artheading">
    <w:name w:val="Art_heading"/>
    <w:basedOn w:val="Normal"/>
    <w:next w:val="Normalaftertitle"/>
    <w:rsid w:val="009A64BD"/>
    <w:pPr>
      <w:spacing w:before="480"/>
      <w:jc w:val="center"/>
    </w:pPr>
    <w:rPr>
      <w:b/>
      <w:sz w:val="28"/>
    </w:rPr>
  </w:style>
  <w:style w:type="character" w:styleId="Hyperlink">
    <w:name w:val="Hyperlink"/>
    <w:uiPriority w:val="99"/>
    <w:rsid w:val="009A64BD"/>
    <w:rPr>
      <w:color w:val="0000FF"/>
      <w:u w:val="single"/>
    </w:rPr>
  </w:style>
  <w:style w:type="character" w:customStyle="1" w:styleId="FooterChar">
    <w:name w:val="Footer Char"/>
    <w:link w:val="Footer"/>
    <w:rsid w:val="00CA1169"/>
    <w:rPr>
      <w:rFonts w:ascii="Times New Roman" w:hAnsi="Times New Roman"/>
      <w:caps/>
      <w:noProof/>
      <w:sz w:val="16"/>
      <w:lang w:val="en-GB" w:eastAsia="en-US"/>
    </w:rPr>
  </w:style>
  <w:style w:type="paragraph" w:styleId="BalloonText">
    <w:name w:val="Balloon Text"/>
    <w:basedOn w:val="Normal"/>
    <w:link w:val="BalloonTextChar"/>
    <w:rsid w:val="00290B54"/>
    <w:pPr>
      <w:spacing w:before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290B5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1F7A0D"/>
    <w:rPr>
      <w:rFonts w:ascii="Times New Roman" w:hAnsi="Times New Roman"/>
      <w:sz w:val="24"/>
      <w:lang w:val="en-GB" w:eastAsia="en-US"/>
    </w:rPr>
  </w:style>
  <w:style w:type="paragraph" w:customStyle="1" w:styleId="Docnumber">
    <w:name w:val="Docnumber"/>
    <w:basedOn w:val="Normal"/>
    <w:link w:val="DocnumberChar"/>
    <w:rsid w:val="00681B7E"/>
    <w:pPr>
      <w:jc w:val="right"/>
    </w:pPr>
    <w:rPr>
      <w:b/>
      <w:sz w:val="40"/>
    </w:rPr>
  </w:style>
  <w:style w:type="character" w:customStyle="1" w:styleId="DocnumberChar">
    <w:name w:val="Docnumber Char"/>
    <w:link w:val="Docnumber"/>
    <w:rsid w:val="00681B7E"/>
    <w:rPr>
      <w:rFonts w:ascii="Times New Roman" w:eastAsia="SimSun" w:hAnsi="Times New Roman"/>
      <w:b/>
      <w:sz w:val="40"/>
      <w:lang w:val="en-GB" w:eastAsia="en-US"/>
    </w:rPr>
  </w:style>
  <w:style w:type="paragraph" w:styleId="TableofFigures">
    <w:name w:val="table of figures"/>
    <w:basedOn w:val="Normal"/>
    <w:next w:val="Normal"/>
    <w:uiPriority w:val="99"/>
    <w:rsid w:val="00681B7E"/>
    <w:pPr>
      <w:tabs>
        <w:tab w:val="right" w:leader="dot" w:pos="9639"/>
      </w:tabs>
    </w:pPr>
    <w:rPr>
      <w:rFonts w:eastAsia="MS Mincho"/>
    </w:rPr>
  </w:style>
  <w:style w:type="character" w:customStyle="1" w:styleId="Heading1Char">
    <w:name w:val="Heading 1 Char"/>
    <w:link w:val="Heading1"/>
    <w:rsid w:val="00681B7E"/>
    <w:rPr>
      <w:rFonts w:ascii="Times New Roman" w:hAnsi="Times New Roman"/>
      <w:b/>
      <w:sz w:val="24"/>
      <w:lang w:val="en-GB" w:eastAsia="en-US"/>
    </w:rPr>
  </w:style>
  <w:style w:type="paragraph" w:customStyle="1" w:styleId="AnnexNotitle0">
    <w:name w:val="Annex_No &amp; title"/>
    <w:basedOn w:val="Normal"/>
    <w:next w:val="Normal"/>
    <w:rsid w:val="00681B7E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0">
    <w:name w:val="Appendix_No &amp; title"/>
    <w:basedOn w:val="AnnexNotitle0"/>
    <w:next w:val="Normal"/>
    <w:rsid w:val="00681B7E"/>
  </w:style>
  <w:style w:type="paragraph" w:customStyle="1" w:styleId="CorrectionSeparatorBegin">
    <w:name w:val="Correction Separator Begin"/>
    <w:basedOn w:val="Normal"/>
    <w:rsid w:val="00681B7E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681B7E"/>
    <w:pPr>
      <w:pBdr>
        <w:top w:val="single" w:sz="12" w:space="1" w:color="auto"/>
      </w:pBdr>
      <w:spacing w:before="240" w:after="240"/>
      <w:ind w:left="1440" w:right="1440"/>
      <w:jc w:val="center"/>
    </w:pPr>
    <w:rPr>
      <w:b/>
      <w:i/>
      <w:sz w:val="20"/>
      <w:lang w:val="en-US"/>
    </w:rPr>
  </w:style>
  <w:style w:type="paragraph" w:customStyle="1" w:styleId="FigureNotitle0">
    <w:name w:val="Figure_No &amp; title"/>
    <w:basedOn w:val="Normal"/>
    <w:next w:val="Normal"/>
    <w:qFormat/>
    <w:rsid w:val="00681B7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Headingib">
    <w:name w:val="Heading_ib"/>
    <w:basedOn w:val="Headingi"/>
    <w:next w:val="Normal"/>
    <w:qFormat/>
    <w:rsid w:val="00681B7E"/>
    <w:rPr>
      <w:b/>
      <w:bCs/>
    </w:rPr>
  </w:style>
  <w:style w:type="paragraph" w:customStyle="1" w:styleId="Normalbeforetable">
    <w:name w:val="Normal before table"/>
    <w:basedOn w:val="Normal"/>
    <w:rsid w:val="00681B7E"/>
    <w:pPr>
      <w:keepNext/>
      <w:spacing w:after="120"/>
    </w:pPr>
    <w:rPr>
      <w:rFonts w:eastAsia="????"/>
      <w:lang w:eastAsia="en-US"/>
    </w:rPr>
  </w:style>
  <w:style w:type="paragraph" w:customStyle="1" w:styleId="TableNotitle0">
    <w:name w:val="Table_No &amp; title"/>
    <w:basedOn w:val="Normal"/>
    <w:next w:val="Normal"/>
    <w:qFormat/>
    <w:rsid w:val="00681B7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character" w:customStyle="1" w:styleId="TabletextChar">
    <w:name w:val="Table_text Char"/>
    <w:link w:val="Tabletext"/>
    <w:locked/>
    <w:rsid w:val="00646D07"/>
    <w:rPr>
      <w:rFonts w:ascii="Times New Roman" w:hAnsi="Times New Roman"/>
      <w:sz w:val="22"/>
      <w:lang w:val="en-GB" w:eastAsia="en-US"/>
    </w:rPr>
  </w:style>
  <w:style w:type="paragraph" w:styleId="Caption">
    <w:name w:val="caption"/>
    <w:basedOn w:val="Normal"/>
    <w:next w:val="Normal"/>
    <w:semiHidden/>
    <w:unhideWhenUsed/>
    <w:rsid w:val="00A71445"/>
    <w:rPr>
      <w:b/>
      <w:bCs/>
      <w:sz w:val="20"/>
      <w:szCs w:val="20"/>
    </w:rPr>
  </w:style>
  <w:style w:type="character" w:styleId="Emphasis">
    <w:name w:val="Emphasis"/>
    <w:rsid w:val="00A71445"/>
    <w:rPr>
      <w:i/>
      <w:iCs/>
    </w:rPr>
  </w:style>
  <w:style w:type="paragraph" w:styleId="Subtitle">
    <w:name w:val="Subtitle"/>
    <w:basedOn w:val="Normal"/>
    <w:next w:val="Normal"/>
    <w:link w:val="SubtitleChar"/>
    <w:rsid w:val="00A71445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A71445"/>
    <w:rPr>
      <w:rFonts w:ascii="Cambria" w:eastAsia="SimSun" w:hAnsi="Cambria" w:cs="Times New Roman"/>
      <w:sz w:val="24"/>
      <w:szCs w:val="24"/>
      <w:lang w:val="en-GB" w:eastAsia="ja-JP"/>
    </w:rPr>
  </w:style>
  <w:style w:type="character" w:styleId="Strong">
    <w:name w:val="Strong"/>
    <w:rsid w:val="00A71445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A7144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71445"/>
    <w:rPr>
      <w:rFonts w:ascii="Times New Roman" w:eastAsia="SimSun" w:hAnsi="Times New Roman"/>
      <w:i/>
      <w:iCs/>
      <w:color w:val="404040"/>
      <w:sz w:val="24"/>
      <w:szCs w:val="24"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654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eastAsia="Times New Roman" w:hAnsi="Courier New" w:cs="Courier New"/>
      <w:sz w:val="20"/>
      <w:szCs w:val="20"/>
      <w:lang w:val="en-AU" w:eastAsia="en-AU"/>
    </w:rPr>
  </w:style>
  <w:style w:type="character" w:customStyle="1" w:styleId="HTMLPreformattedChar">
    <w:name w:val="HTML Preformatted Char"/>
    <w:link w:val="HTMLPreformatted"/>
    <w:uiPriority w:val="99"/>
    <w:semiHidden/>
    <w:rsid w:val="007654A7"/>
    <w:rPr>
      <w:rFonts w:ascii="Courier New" w:hAnsi="Courier New" w:cs="Courier New"/>
    </w:rPr>
  </w:style>
  <w:style w:type="character" w:customStyle="1" w:styleId="enumlev1Char">
    <w:name w:val="enumlev1 Char"/>
    <w:link w:val="enumlev1"/>
    <w:rsid w:val="00A31982"/>
    <w:rPr>
      <w:rFonts w:ascii="Times New Roman" w:eastAsia="SimSun" w:hAnsi="Times New Roman"/>
      <w:sz w:val="24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A31982"/>
    <w:rPr>
      <w:rFonts w:ascii="Times New Roman" w:eastAsia="SimSun" w:hAnsi="Times New Roman"/>
      <w:szCs w:val="24"/>
      <w:lang w:val="en-US" w:eastAsia="ja-JP"/>
    </w:rPr>
  </w:style>
  <w:style w:type="paragraph" w:styleId="ListParagraph">
    <w:name w:val="List Paragraph"/>
    <w:basedOn w:val="Normal"/>
    <w:uiPriority w:val="34"/>
    <w:qFormat/>
    <w:rsid w:val="00FD2B4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C4FC3"/>
    <w:pPr>
      <w:spacing w:before="100" w:beforeAutospacing="1" w:after="100" w:afterAutospacing="1"/>
    </w:pPr>
    <w:rPr>
      <w:rFonts w:eastAsiaTheme="minorEastAsia"/>
      <w:lang w:val="en-AU" w:eastAsia="en-AU"/>
    </w:rPr>
  </w:style>
  <w:style w:type="table" w:styleId="TableGrid">
    <w:name w:val="Table Grid"/>
    <w:basedOn w:val="TableNormal"/>
    <w:rsid w:val="004A0C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9F5BCD"/>
    <w:rPr>
      <w:rFonts w:ascii="Times New Roman" w:eastAsia="SimSun" w:hAnsi="Times New Roman"/>
      <w:sz w:val="18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3F41F-C59A-45A8-A524-9E0C85FBF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1274</Words>
  <Characters>7267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H-Sup.2 “H.248.x sub-series packages guide – Release 16” (Rev.): Output draft (Geneva, 9-20 February 2015)</vt:lpstr>
    </vt:vector>
  </TitlesOfParts>
  <LinksUpToDate>false</LinksUpToDate>
  <CharactersWithSpaces>8524</CharactersWithSpaces>
  <SharedDoc>false</SharedDoc>
  <HLinks>
    <vt:vector size="120" baseType="variant">
      <vt:variant>
        <vt:i4>2424866</vt:i4>
      </vt:variant>
      <vt:variant>
        <vt:i4>102</vt:i4>
      </vt:variant>
      <vt:variant>
        <vt:i4>0</vt:i4>
      </vt:variant>
      <vt:variant>
        <vt:i4>5</vt:i4>
      </vt:variant>
      <vt:variant>
        <vt:lpwstr>https://datatracker.ietf.org/idtracker/</vt:lpwstr>
      </vt:variant>
      <vt:variant>
        <vt:lpwstr/>
      </vt:variant>
      <vt:variant>
        <vt:i4>7536695</vt:i4>
      </vt:variant>
      <vt:variant>
        <vt:i4>99</vt:i4>
      </vt:variant>
      <vt:variant>
        <vt:i4>0</vt:i4>
      </vt:variant>
      <vt:variant>
        <vt:i4>5</vt:i4>
      </vt:variant>
      <vt:variant>
        <vt:lpwstr>ftp://www.ietf.org/internet-drafts/</vt:lpwstr>
      </vt:variant>
      <vt:variant>
        <vt:lpwstr/>
      </vt:variant>
      <vt:variant>
        <vt:i4>2424866</vt:i4>
      </vt:variant>
      <vt:variant>
        <vt:i4>96</vt:i4>
      </vt:variant>
      <vt:variant>
        <vt:i4>0</vt:i4>
      </vt:variant>
      <vt:variant>
        <vt:i4>5</vt:i4>
      </vt:variant>
      <vt:variant>
        <vt:lpwstr>https://datatracker.ietf.org/idtracker/</vt:lpwstr>
      </vt:variant>
      <vt:variant>
        <vt:lpwstr/>
      </vt:variant>
      <vt:variant>
        <vt:i4>7536695</vt:i4>
      </vt:variant>
      <vt:variant>
        <vt:i4>93</vt:i4>
      </vt:variant>
      <vt:variant>
        <vt:i4>0</vt:i4>
      </vt:variant>
      <vt:variant>
        <vt:i4>5</vt:i4>
      </vt:variant>
      <vt:variant>
        <vt:lpwstr>ftp://www.ietf.org/internet-drafts/</vt:lpwstr>
      </vt:variant>
      <vt:variant>
        <vt:lpwstr/>
      </vt:variant>
      <vt:variant>
        <vt:i4>1769526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_Toc285642508</vt:lpwstr>
      </vt:variant>
      <vt:variant>
        <vt:i4>1769526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_Toc285642507</vt:lpwstr>
      </vt:variant>
      <vt:variant>
        <vt:i4>1769526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_Toc285642506</vt:lpwstr>
      </vt:variant>
      <vt:variant>
        <vt:i4>1769526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_Toc285642505</vt:lpwstr>
      </vt:variant>
      <vt:variant>
        <vt:i4>1769526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_Toc285642504</vt:lpwstr>
      </vt:variant>
      <vt:variant>
        <vt:i4>1769526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_Toc285642503</vt:lpwstr>
      </vt:variant>
      <vt:variant>
        <vt:i4>1769526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_Toc285642502</vt:lpwstr>
      </vt:variant>
      <vt:variant>
        <vt:i4>1769526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_Toc285642501</vt:lpwstr>
      </vt:variant>
      <vt:variant>
        <vt:i4>1769526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_Toc285642500</vt:lpwstr>
      </vt:variant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_Toc285642499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_Toc285642498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_Toc285642497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_Toc285642496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_Toc285642495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_Toc285642494</vt:lpwstr>
      </vt:variant>
      <vt:variant>
        <vt:i4>3735641</vt:i4>
      </vt:variant>
      <vt:variant>
        <vt:i4>3</vt:i4>
      </vt:variant>
      <vt:variant>
        <vt:i4>0</vt:i4>
      </vt:variant>
      <vt:variant>
        <vt:i4>5</vt:i4>
      </vt:variant>
      <vt:variant>
        <vt:lpwstr>mailto:Christian.Groves@nteczone.com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H-Sup.2 “H.248.x sub-series packages guide – Release 16” (Rev.): Output draft (Geneva, 9-20 February 2015)</dc:title>
  <dc:creator/>
  <cp:keywords>3/16</cp:keywords>
  <dc:description>TD 234 R1 (WP 1/16)  For: Geneva, 9-20 February 2015_x000d_Document date: _x000d_Saved by ITU51010667 at 21:45:20 on 16/02/2015</dc:description>
  <cp:lastModifiedBy/>
  <cp:revision>1</cp:revision>
  <dcterms:created xsi:type="dcterms:W3CDTF">2015-05-27T06:30:00Z</dcterms:created>
  <dcterms:modified xsi:type="dcterms:W3CDTF">2015-05-30T23:56:00Z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234 R1 (WP 1/16)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3/16</vt:lpwstr>
  </property>
  <property fmtid="{D5CDD505-2E9C-101B-9397-08002B2CF9AE}" pid="6" name="Docdest">
    <vt:lpwstr>Geneva, 9-20 February 2015</vt:lpwstr>
  </property>
  <property fmtid="{D5CDD505-2E9C-101B-9397-08002B2CF9AE}" pid="7" name="Docauthor">
    <vt:lpwstr>Editor H.Sup.2</vt:lpwstr>
  </property>
</Properties>
</file>