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48405D">
        <w:trPr>
          <w:cantSplit/>
        </w:trPr>
        <w:tc>
          <w:tcPr>
            <w:tcW w:w="1701" w:type="dxa"/>
          </w:tcPr>
          <w:p w:rsidR="0048405D" w:rsidRDefault="00B944CD">
            <w:pPr>
              <w:pStyle w:val="Logo"/>
              <w:rPr>
                <w:sz w:val="16"/>
              </w:rPr>
            </w:pPr>
            <w:bookmarkStart w:id="0" w:name="_GoBack"/>
            <w:bookmarkEnd w:id="0"/>
            <w:r>
              <w:rPr>
                <w:b/>
                <w:noProof/>
                <w:sz w:val="36"/>
                <w:lang w:eastAsia="zh-CN"/>
              </w:rPr>
              <w:drawing>
                <wp:inline distT="0" distB="0" distL="0" distR="0">
                  <wp:extent cx="704850" cy="771525"/>
                  <wp:effectExtent l="0" t="0" r="0" b="9525"/>
                  <wp:docPr id="1" name="Picture 1" descr="ítu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ítu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48405D" w:rsidRDefault="0048405D">
            <w:pPr>
              <w:pStyle w:val="Titre1"/>
            </w:pPr>
            <w:r>
              <w:t>COVERING  NOTE</w:t>
            </w:r>
          </w:p>
        </w:tc>
      </w:tr>
    </w:tbl>
    <w:p w:rsidR="0048405D" w:rsidRDefault="0048405D">
      <w:pPr>
        <w:rPr>
          <w:b/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405D">
        <w:trPr>
          <w:cantSplit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48405D" w:rsidRDefault="0048405D">
            <w:pPr>
              <w:pStyle w:val="Titre2"/>
            </w:pPr>
            <w:r>
              <w:t>general</w:t>
            </w:r>
            <w:r>
              <w:rPr>
                <w:sz w:val="8"/>
              </w:rPr>
              <w:t xml:space="preserve"> </w:t>
            </w:r>
            <w:r>
              <w:t xml:space="preserve"> secretariat</w:t>
            </w:r>
            <w:r>
              <w:rPr>
                <w:sz w:val="8"/>
              </w:rPr>
              <w:t xml:space="preserve"> </w:t>
            </w:r>
            <w:r>
              <w:t xml:space="preserve"> of the international</w:t>
            </w:r>
            <w:r>
              <w:rPr>
                <w:sz w:val="8"/>
              </w:rPr>
              <w:t xml:space="preserve"> </w:t>
            </w:r>
            <w:r>
              <w:t xml:space="preserve"> telecommunication</w:t>
            </w:r>
            <w:r>
              <w:rPr>
                <w:sz w:val="8"/>
              </w:rPr>
              <w:t xml:space="preserve"> </w:t>
            </w:r>
            <w:r>
              <w:t xml:space="preserve"> union</w:t>
            </w:r>
          </w:p>
        </w:tc>
      </w:tr>
    </w:tbl>
    <w:p w:rsidR="0048405D" w:rsidRDefault="0048405D"/>
    <w:p w:rsidR="0048405D" w:rsidRDefault="0048405D">
      <w:pPr>
        <w:pStyle w:val="Date1"/>
      </w:pPr>
      <w:r>
        <w:tab/>
        <w:t>Geneva,</w:t>
      </w:r>
      <w:r>
        <w:rPr>
          <w:smallCaps/>
          <w:sz w:val="8"/>
        </w:rPr>
        <w:t xml:space="preserve"> </w:t>
      </w:r>
      <w:r w:rsidRPr="00BD1A8C">
        <w:t xml:space="preserve">  </w:t>
      </w:r>
      <w:r w:rsidR="00941CAC">
        <w:t>19 April 2013</w:t>
      </w:r>
    </w:p>
    <w:p w:rsidR="0048405D" w:rsidRPr="00D95593" w:rsidRDefault="0048405D">
      <w:pPr>
        <w:pStyle w:val="Titre3"/>
        <w:rPr>
          <w:sz w:val="22"/>
        </w:rPr>
      </w:pPr>
      <w:r w:rsidRPr="00D95593">
        <w:t>ITU – TELECOMMUNICATION  STANDARDIZATION  SECTOR</w:t>
      </w:r>
    </w:p>
    <w:p w:rsidR="0048405D" w:rsidRPr="00102653" w:rsidRDefault="0048405D" w:rsidP="00941CAC">
      <w:pPr>
        <w:pStyle w:val="Objet"/>
        <w:rPr>
          <w:b w:val="0"/>
          <w:bCs w:val="0"/>
          <w:lang w:val="en-US"/>
        </w:rPr>
      </w:pPr>
      <w:r w:rsidRPr="00102653">
        <w:rPr>
          <w:lang w:val="en-US"/>
        </w:rPr>
        <w:t>Subject:</w:t>
      </w:r>
      <w:r w:rsidRPr="00102653">
        <w:rPr>
          <w:lang w:val="en-US"/>
        </w:rPr>
        <w:tab/>
        <w:t xml:space="preserve">Erratum </w:t>
      </w:r>
      <w:r w:rsidR="00102653" w:rsidRPr="00102653">
        <w:rPr>
          <w:lang w:val="en-US"/>
        </w:rPr>
        <w:t>1</w:t>
      </w:r>
      <w:r w:rsidRPr="00102653">
        <w:rPr>
          <w:lang w:val="en-US"/>
        </w:rPr>
        <w:t xml:space="preserve"> (</w:t>
      </w:r>
      <w:r w:rsidR="00102653" w:rsidRPr="00102653">
        <w:rPr>
          <w:lang w:val="en-US"/>
        </w:rPr>
        <w:t>04</w:t>
      </w:r>
      <w:r w:rsidRPr="00102653">
        <w:rPr>
          <w:lang w:val="en-US"/>
        </w:rPr>
        <w:t>/</w:t>
      </w:r>
      <w:r w:rsidR="00102653" w:rsidRPr="00102653">
        <w:rPr>
          <w:lang w:val="en-US"/>
        </w:rPr>
        <w:t>2013</w:t>
      </w:r>
      <w:r w:rsidRPr="00102653">
        <w:rPr>
          <w:lang w:val="en-US"/>
        </w:rPr>
        <w:t>) to</w:t>
      </w:r>
      <w:r w:rsidR="00102653" w:rsidRPr="00102653">
        <w:rPr>
          <w:lang w:val="en-US"/>
        </w:rPr>
        <w:t xml:space="preserve"> </w:t>
      </w:r>
      <w:r w:rsidRPr="00102653">
        <w:rPr>
          <w:b w:val="0"/>
          <w:bCs w:val="0"/>
          <w:lang w:val="en-US"/>
        </w:rPr>
        <w:t xml:space="preserve">Recommendation </w:t>
      </w:r>
      <w:r w:rsidR="008C5002" w:rsidRPr="00102653">
        <w:rPr>
          <w:b w:val="0"/>
          <w:bCs w:val="0"/>
          <w:lang w:val="en-US"/>
        </w:rPr>
        <w:t xml:space="preserve">ITU-T </w:t>
      </w:r>
      <w:r w:rsidR="00102653" w:rsidRPr="00102653">
        <w:rPr>
          <w:b w:val="0"/>
          <w:bCs w:val="0"/>
          <w:lang w:val="en-US"/>
        </w:rPr>
        <w:t>T.38 (09/2010)</w:t>
      </w:r>
      <w:r w:rsidRPr="00102653">
        <w:rPr>
          <w:b w:val="0"/>
          <w:bCs w:val="0"/>
          <w:lang w:val="en-US"/>
        </w:rPr>
        <w:t xml:space="preserve">, </w:t>
      </w:r>
      <w:r w:rsidR="00102653" w:rsidRPr="00102653">
        <w:rPr>
          <w:b w:val="0"/>
          <w:bCs w:val="0"/>
          <w:i/>
          <w:iCs/>
          <w:lang w:val="en-US"/>
        </w:rPr>
        <w:t>Procedures for real-time Group 3 facsimile communication over IP networks</w:t>
      </w:r>
    </w:p>
    <w:p w:rsidR="0048405D" w:rsidRDefault="00941CAC" w:rsidP="00D95593">
      <w:pPr>
        <w:pStyle w:val="Heading1"/>
        <w:tabs>
          <w:tab w:val="clear" w:pos="794"/>
        </w:tabs>
        <w:ind w:left="0" w:firstLine="0"/>
        <w:jc w:val="left"/>
        <w:rPr>
          <w:b w:val="0"/>
          <w:bCs/>
        </w:rPr>
      </w:pPr>
      <w:r>
        <w:rPr>
          <w:b w:val="0"/>
          <w:bCs/>
        </w:rPr>
        <w:t>In c</w:t>
      </w:r>
      <w:r w:rsidR="00102653" w:rsidRPr="00102653">
        <w:rPr>
          <w:b w:val="0"/>
          <w:bCs/>
        </w:rPr>
        <w:t xml:space="preserve">lause D.2.3.1, </w:t>
      </w:r>
      <w:r w:rsidR="00102653" w:rsidRPr="00102653">
        <w:rPr>
          <w:b w:val="0"/>
          <w:bCs/>
          <w:i/>
          <w:iCs/>
        </w:rPr>
        <w:t>Negotiation for UDPTL/UDP and TPKT/TCP transport</w:t>
      </w:r>
      <w:r w:rsidR="00102653" w:rsidRPr="00102653">
        <w:rPr>
          <w:b w:val="0"/>
          <w:bCs/>
        </w:rPr>
        <w:t>, the AB</w:t>
      </w:r>
      <w:r>
        <w:rPr>
          <w:b w:val="0"/>
          <w:bCs/>
        </w:rPr>
        <w:t>N</w:t>
      </w:r>
      <w:r w:rsidR="00D95593">
        <w:rPr>
          <w:b w:val="0"/>
          <w:bCs/>
        </w:rPr>
        <w:t>F</w:t>
      </w:r>
      <w:r w:rsidR="00102653" w:rsidRPr="00102653">
        <w:rPr>
          <w:b w:val="0"/>
          <w:bCs/>
        </w:rPr>
        <w:t xml:space="preserve"> for Data Rate Management Method contains a typo. </w:t>
      </w:r>
      <w:r w:rsidR="00102653">
        <w:rPr>
          <w:b w:val="0"/>
          <w:bCs/>
        </w:rPr>
        <w:t xml:space="preserve">Correct </w:t>
      </w:r>
      <w:r w:rsidR="00D95593">
        <w:rPr>
          <w:b w:val="0"/>
          <w:bCs/>
        </w:rPr>
        <w:t>that</w:t>
      </w:r>
      <w:r>
        <w:rPr>
          <w:b w:val="0"/>
          <w:bCs/>
        </w:rPr>
        <w:t xml:space="preserve"> </w:t>
      </w:r>
      <w:r w:rsidR="00D95593">
        <w:rPr>
          <w:b w:val="0"/>
          <w:bCs/>
        </w:rPr>
        <w:t>ABNF</w:t>
      </w:r>
      <w:r>
        <w:rPr>
          <w:b w:val="0"/>
          <w:bCs/>
        </w:rPr>
        <w:t xml:space="preserve"> to read:</w:t>
      </w:r>
    </w:p>
    <w:p w:rsidR="00941CAC" w:rsidRDefault="00941CAC" w:rsidP="00941CAC">
      <w:pPr>
        <w:rPr>
          <w:lang w:val="en-US"/>
        </w:rPr>
      </w:pPr>
    </w:p>
    <w:p w:rsidR="00941CAC" w:rsidRDefault="00941CAC" w:rsidP="00941CAC">
      <w:pPr>
        <w:pStyle w:val="Formal"/>
      </w:pPr>
      <w:r>
        <w:t>Data Rate Management Method</w:t>
      </w:r>
    </w:p>
    <w:p w:rsidR="00941CAC" w:rsidRDefault="00941CAC" w:rsidP="00941CAC">
      <w:pPr>
        <w:pStyle w:val="Formal"/>
        <w:rPr>
          <w:lang w:eastAsia="ja-JP"/>
        </w:rPr>
      </w:pPr>
      <w:r>
        <w:t xml:space="preserve">     </w:t>
      </w:r>
      <w:r>
        <w:rPr>
          <w:lang w:eastAsia="ja-JP"/>
        </w:rPr>
        <w:t>a</w:t>
      </w:r>
      <w:r>
        <w:t>tt-field=</w:t>
      </w:r>
      <w:r>
        <w:rPr>
          <w:lang w:eastAsia="ja-JP"/>
        </w:rPr>
        <w:t>”</w:t>
      </w:r>
      <w:r>
        <w:t>T38FaxRateManagement</w:t>
      </w:r>
      <w:r>
        <w:rPr>
          <w:lang w:eastAsia="ja-JP"/>
        </w:rPr>
        <w:t>”</w:t>
      </w:r>
    </w:p>
    <w:p w:rsidR="00941CAC" w:rsidRDefault="00941CAC" w:rsidP="00941CAC">
      <w:pPr>
        <w:pStyle w:val="Formal"/>
      </w:pPr>
      <w:r>
        <w:t xml:space="preserve">     </w:t>
      </w:r>
      <w:r>
        <w:rPr>
          <w:lang w:eastAsia="ja-JP"/>
        </w:rPr>
        <w:t>a</w:t>
      </w:r>
      <w:r>
        <w:t xml:space="preserve">tt-value = </w:t>
      </w:r>
      <w:r w:rsidRPr="00941CAC">
        <w:t xml:space="preserve">“localTCF” </w:t>
      </w:r>
      <w:r>
        <w:t>| “transferredTCF</w:t>
      </w:r>
      <w:r>
        <w:rPr>
          <w:lang w:eastAsia="ja-JP"/>
        </w:rPr>
        <w:t>”</w:t>
      </w:r>
      <w:r>
        <w:t xml:space="preserve"> </w:t>
      </w:r>
    </w:p>
    <w:p w:rsidR="00941CAC" w:rsidRPr="00941CAC" w:rsidRDefault="00941CAC" w:rsidP="00941CAC">
      <w:pPr>
        <w:rPr>
          <w:lang w:val="en-US"/>
        </w:rPr>
      </w:pPr>
    </w:p>
    <w:p w:rsidR="0048405D" w:rsidRPr="00102653" w:rsidRDefault="0048405D">
      <w:pPr>
        <w:rPr>
          <w:lang w:val="en-US"/>
        </w:rPr>
      </w:pPr>
    </w:p>
    <w:sectPr w:rsidR="0048405D" w:rsidRPr="00102653">
      <w:footerReference w:type="default" r:id="rId9"/>
      <w:footerReference w:type="first" r:id="rId10"/>
      <w:pgSz w:w="11907" w:h="16840" w:code="9"/>
      <w:pgMar w:top="1134" w:right="1134" w:bottom="1134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14" w:rsidRDefault="002F6214">
      <w:r>
        <w:separator/>
      </w:r>
    </w:p>
  </w:endnote>
  <w:endnote w:type="continuationSeparator" w:id="0">
    <w:p w:rsidR="002F6214" w:rsidRDefault="002F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5D" w:rsidRDefault="0048405D">
    <w:pPr>
      <w:pStyle w:val="Footer"/>
      <w:jc w:val="center"/>
      <w:rPr>
        <w:bCs/>
        <w:sz w:val="24"/>
      </w:rPr>
    </w:pPr>
    <w:r>
      <w:rPr>
        <w:bCs/>
        <w:sz w:val="24"/>
      </w:rPr>
      <w:t xml:space="preserve">– </w:t>
    </w:r>
    <w:r>
      <w:rPr>
        <w:bCs/>
        <w:sz w:val="24"/>
      </w:rPr>
      <w:fldChar w:fldCharType="begin"/>
    </w:r>
    <w:r>
      <w:rPr>
        <w:bCs/>
        <w:sz w:val="24"/>
      </w:rPr>
      <w:instrText>PAGE</w:instrText>
    </w:r>
    <w:r>
      <w:rPr>
        <w:bCs/>
        <w:sz w:val="24"/>
      </w:rPr>
      <w:fldChar w:fldCharType="separate"/>
    </w:r>
    <w:r>
      <w:rPr>
        <w:bCs/>
        <w:sz w:val="24"/>
      </w:rPr>
      <w:t>2</w:t>
    </w:r>
    <w:r>
      <w:rPr>
        <w:bCs/>
        <w:sz w:val="24"/>
      </w:rPr>
      <w:fldChar w:fldCharType="end"/>
    </w:r>
    <w:r>
      <w:rPr>
        <w:bCs/>
        <w:sz w:val="24"/>
      </w:rP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5D" w:rsidRDefault="0048405D">
    <w:pPr>
      <w:pStyle w:val="Footer"/>
      <w:jc w:val="center"/>
      <w:rPr>
        <w:bCs/>
        <w:caps w:val="0"/>
        <w:sz w:val="20"/>
        <w:lang w:val="fr-FR"/>
      </w:rPr>
    </w:pPr>
    <w:r>
      <w:rPr>
        <w:bCs/>
        <w:caps w:val="0"/>
        <w:sz w:val="20"/>
        <w:lang w:val="fr-FR"/>
      </w:rPr>
      <w:t>Union internationale des télécommunications</w:t>
    </w:r>
    <w:r>
      <w:rPr>
        <w:bCs/>
        <w:caps w:val="0"/>
        <w:sz w:val="20"/>
        <w:lang w:val="fr-FR"/>
      </w:rPr>
      <w:br/>
      <w:t>Place des Nations  1211 GENEVE 20</w:t>
    </w:r>
  </w:p>
  <w:p w:rsidR="0048405D" w:rsidRDefault="0048405D">
    <w:pPr>
      <w:pStyle w:val="Footer"/>
      <w:jc w:val="center"/>
      <w:rPr>
        <w:bCs/>
        <w:lang w:val="fr-FR"/>
      </w:rPr>
    </w:pPr>
    <w:r>
      <w:rPr>
        <w:bCs/>
        <w:caps w:val="0"/>
        <w:sz w:val="20"/>
        <w:lang w:val="fr-FR"/>
      </w:rPr>
      <w:t xml:space="preserve">Suisse – Switzerland – Suiza – </w:t>
    </w:r>
    <w:r>
      <w:rPr>
        <w:caps w:val="0"/>
        <w:sz w:val="20"/>
      </w:rPr>
      <w:t>Швейцария</w:t>
    </w:r>
    <w:r>
      <w:rPr>
        <w:bCs/>
        <w:caps w:val="0"/>
        <w:sz w:val="20"/>
        <w:lang w:val="fr-FR"/>
      </w:rPr>
      <w:t xml:space="preserve"> – </w:t>
    </w:r>
    <w:r>
      <w:rPr>
        <w:rFonts w:ascii="SimSun" w:eastAsia="SimSun" w:hAnsi="SimSun" w:cs="SimSun" w:hint="eastAsia"/>
        <w:sz w:val="20"/>
        <w:lang w:val="fr-CH"/>
      </w:rPr>
      <w:t>瑞士</w:t>
    </w:r>
    <w:r>
      <w:rPr>
        <w:bCs/>
        <w:caps w:val="0"/>
        <w:sz w:val="20"/>
        <w:lang w:val="fr-FR"/>
      </w:rPr>
      <w:t xml:space="preserve"> – </w:t>
    </w:r>
    <w:r>
      <w:rPr>
        <w:rFonts w:cs="Traditional Arabic" w:hint="cs"/>
        <w:sz w:val="30"/>
        <w:szCs w:val="30"/>
        <w:rtl/>
        <w:lang w:bidi="ar-EG"/>
      </w:rPr>
      <w:t>سويسرا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14" w:rsidRDefault="002F6214">
      <w:r>
        <w:separator/>
      </w:r>
    </w:p>
  </w:footnote>
  <w:footnote w:type="continuationSeparator" w:id="0">
    <w:p w:rsidR="002F6214" w:rsidRDefault="002F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9" w:dllVersion="512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53"/>
    <w:rsid w:val="000E425D"/>
    <w:rsid w:val="00102653"/>
    <w:rsid w:val="002F6214"/>
    <w:rsid w:val="0048405D"/>
    <w:rsid w:val="00504826"/>
    <w:rsid w:val="006303B3"/>
    <w:rsid w:val="006C3E1D"/>
    <w:rsid w:val="00814A0B"/>
    <w:rsid w:val="008348F3"/>
    <w:rsid w:val="008C5002"/>
    <w:rsid w:val="00941CAC"/>
    <w:rsid w:val="00A3482A"/>
    <w:rsid w:val="00B944CD"/>
    <w:rsid w:val="00D95593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Objet">
    <w:name w:val="Objet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720" w:after="120" w:line="0" w:lineRule="atLeast"/>
    </w:pPr>
    <w:rPr>
      <w:rFonts w:ascii="Times New Roman Bold" w:hAnsi="Times New Roman Bold"/>
      <w:b/>
      <w:bCs/>
      <w:sz w:val="28"/>
      <w:lang w:val="fr-FR"/>
    </w:rPr>
  </w:style>
  <w:style w:type="paragraph" w:customStyle="1" w:styleId="Logo">
    <w:name w:val="Logo"/>
    <w:basedOn w:val="Index1"/>
    <w:pPr>
      <w:widowControl w:val="0"/>
      <w:spacing w:before="0" w:line="0" w:lineRule="atLeast"/>
    </w:pPr>
    <w:rPr>
      <w:lang w:val="en-US"/>
    </w:rPr>
  </w:style>
  <w:style w:type="paragraph" w:customStyle="1" w:styleId="Titre1">
    <w:name w:val="Titre1"/>
    <w:basedOn w:val="Normal"/>
    <w:next w:val="Titre2"/>
    <w:pPr>
      <w:keepNext/>
      <w:spacing w:before="320"/>
      <w:ind w:right="1134"/>
      <w:jc w:val="center"/>
    </w:pPr>
    <w:rPr>
      <w:rFonts w:ascii="Arial" w:hAnsi="Arial" w:cs="Arial"/>
      <w:b/>
      <w:bCs/>
      <w:sz w:val="68"/>
      <w:lang w:val="en-US"/>
    </w:rPr>
  </w:style>
  <w:style w:type="paragraph" w:customStyle="1" w:styleId="Titre2">
    <w:name w:val="Titre2"/>
    <w:basedOn w:val="Normal"/>
    <w:pPr>
      <w:keepNext/>
      <w:spacing w:before="57" w:after="57"/>
      <w:jc w:val="center"/>
    </w:pPr>
    <w:rPr>
      <w:smallCaps/>
      <w:sz w:val="26"/>
      <w:lang w:val="en-US"/>
    </w:rPr>
  </w:style>
  <w:style w:type="paragraph" w:customStyle="1" w:styleId="Date1">
    <w:name w:val="Date1"/>
    <w:basedOn w:val="Normal"/>
    <w:pPr>
      <w:widowControl w:val="0"/>
      <w:tabs>
        <w:tab w:val="clear" w:pos="794"/>
        <w:tab w:val="clear" w:pos="1191"/>
        <w:tab w:val="clear" w:pos="1588"/>
        <w:tab w:val="clear" w:pos="1985"/>
        <w:tab w:val="right" w:pos="9072"/>
      </w:tabs>
      <w:spacing w:before="0" w:line="0" w:lineRule="atLeast"/>
    </w:pPr>
    <w:rPr>
      <w:lang w:val="en-US"/>
    </w:rPr>
  </w:style>
  <w:style w:type="paragraph" w:customStyle="1" w:styleId="Titre3">
    <w:name w:val="Titre3"/>
    <w:basedOn w:val="Normal"/>
    <w:next w:val="Objet"/>
    <w:pPr>
      <w:tabs>
        <w:tab w:val="clear" w:pos="794"/>
        <w:tab w:val="clear" w:pos="1191"/>
        <w:tab w:val="right" w:pos="9752"/>
      </w:tabs>
      <w:spacing w:before="200" w:line="240" w:lineRule="exact"/>
    </w:pPr>
    <w:rPr>
      <w:rFonts w:ascii="Arial" w:hAnsi="Arial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Objet">
    <w:name w:val="Objet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720" w:after="120" w:line="0" w:lineRule="atLeast"/>
    </w:pPr>
    <w:rPr>
      <w:rFonts w:ascii="Times New Roman Bold" w:hAnsi="Times New Roman Bold"/>
      <w:b/>
      <w:bCs/>
      <w:sz w:val="28"/>
      <w:lang w:val="fr-FR"/>
    </w:rPr>
  </w:style>
  <w:style w:type="paragraph" w:customStyle="1" w:styleId="Logo">
    <w:name w:val="Logo"/>
    <w:basedOn w:val="Index1"/>
    <w:pPr>
      <w:widowControl w:val="0"/>
      <w:spacing w:before="0" w:line="0" w:lineRule="atLeast"/>
    </w:pPr>
    <w:rPr>
      <w:lang w:val="en-US"/>
    </w:rPr>
  </w:style>
  <w:style w:type="paragraph" w:customStyle="1" w:styleId="Titre1">
    <w:name w:val="Titre1"/>
    <w:basedOn w:val="Normal"/>
    <w:next w:val="Titre2"/>
    <w:pPr>
      <w:keepNext/>
      <w:spacing w:before="320"/>
      <w:ind w:right="1134"/>
      <w:jc w:val="center"/>
    </w:pPr>
    <w:rPr>
      <w:rFonts w:ascii="Arial" w:hAnsi="Arial" w:cs="Arial"/>
      <w:b/>
      <w:bCs/>
      <w:sz w:val="68"/>
      <w:lang w:val="en-US"/>
    </w:rPr>
  </w:style>
  <w:style w:type="paragraph" w:customStyle="1" w:styleId="Titre2">
    <w:name w:val="Titre2"/>
    <w:basedOn w:val="Normal"/>
    <w:pPr>
      <w:keepNext/>
      <w:spacing w:before="57" w:after="57"/>
      <w:jc w:val="center"/>
    </w:pPr>
    <w:rPr>
      <w:smallCaps/>
      <w:sz w:val="26"/>
      <w:lang w:val="en-US"/>
    </w:rPr>
  </w:style>
  <w:style w:type="paragraph" w:customStyle="1" w:styleId="Date1">
    <w:name w:val="Date1"/>
    <w:basedOn w:val="Normal"/>
    <w:pPr>
      <w:widowControl w:val="0"/>
      <w:tabs>
        <w:tab w:val="clear" w:pos="794"/>
        <w:tab w:val="clear" w:pos="1191"/>
        <w:tab w:val="clear" w:pos="1588"/>
        <w:tab w:val="clear" w:pos="1985"/>
        <w:tab w:val="right" w:pos="9072"/>
      </w:tabs>
      <w:spacing w:before="0" w:line="0" w:lineRule="atLeast"/>
    </w:pPr>
    <w:rPr>
      <w:lang w:val="en-US"/>
    </w:rPr>
  </w:style>
  <w:style w:type="paragraph" w:customStyle="1" w:styleId="Titre3">
    <w:name w:val="Titre3"/>
    <w:basedOn w:val="Normal"/>
    <w:next w:val="Objet"/>
    <w:pPr>
      <w:tabs>
        <w:tab w:val="clear" w:pos="794"/>
        <w:tab w:val="clear" w:pos="1191"/>
        <w:tab w:val="right" w:pos="9752"/>
      </w:tabs>
      <w:spacing w:before="200" w:line="240" w:lineRule="exact"/>
    </w:pPr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DITION\Templates\CoveringNote\covnot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covnot-e.dot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Question(s):</vt:lpstr>
    </vt:vector>
  </TitlesOfParts>
  <Company>FConsult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Question(s):</dc:title>
  <dc:creator>Cabrera Montoya, Anibal</dc:creator>
  <cp:lastModifiedBy>Cabrera Montoya, Anibal</cp:lastModifiedBy>
  <cp:revision>2</cp:revision>
  <cp:lastPrinted>2006-12-15T09:01:00Z</cp:lastPrinted>
  <dcterms:created xsi:type="dcterms:W3CDTF">2013-04-19T14:18:00Z</dcterms:created>
  <dcterms:modified xsi:type="dcterms:W3CDTF">2013-04-19T14:18:00Z</dcterms:modified>
</cp:coreProperties>
</file>