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B46FF3" w:rsidRPr="000214AE">
        <w:trPr>
          <w:trHeight w:hRule="exact" w:val="1418"/>
        </w:trPr>
        <w:tc>
          <w:tcPr>
            <w:tcW w:w="1428" w:type="dxa"/>
            <w:gridSpan w:val="2"/>
          </w:tcPr>
          <w:p w:rsidR="00B46FF3" w:rsidRPr="000214AE" w:rsidRDefault="004E7D87">
            <w:r w:rsidRPr="000214AE">
              <w:rPr>
                <w:noProof/>
                <w:sz w:val="20"/>
                <w:lang w:val="en-US" w:eastAsia="zh-CN"/>
              </w:rPr>
              <w:drawing>
                <wp:anchor distT="0" distB="0" distL="114300" distR="114300" simplePos="0" relativeHeight="251657728" behindDoc="0" locked="0" layoutInCell="0" allowOverlap="1">
                  <wp:simplePos x="0" y="0"/>
                  <wp:positionH relativeFrom="column">
                    <wp:posOffset>-962025</wp:posOffset>
                  </wp:positionH>
                  <wp:positionV relativeFrom="paragraph">
                    <wp:posOffset>-695960</wp:posOffset>
                  </wp:positionV>
                  <wp:extent cx="1569720" cy="10771505"/>
                  <wp:effectExtent l="1905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9"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p>
          <w:p w:rsidR="00B46FF3" w:rsidRPr="000214AE" w:rsidRDefault="00B46FF3">
            <w:pPr>
              <w:spacing w:before="0"/>
              <w:rPr>
                <w:b/>
                <w:sz w:val="16"/>
              </w:rPr>
            </w:pPr>
          </w:p>
        </w:tc>
        <w:tc>
          <w:tcPr>
            <w:tcW w:w="8520" w:type="dxa"/>
            <w:gridSpan w:val="3"/>
          </w:tcPr>
          <w:p w:rsidR="00B46FF3" w:rsidRPr="000214AE" w:rsidRDefault="00B46FF3">
            <w:pPr>
              <w:spacing w:before="0"/>
              <w:rPr>
                <w:rFonts w:ascii="Arial" w:hAnsi="Arial" w:cs="Arial"/>
              </w:rPr>
            </w:pPr>
          </w:p>
          <w:p w:rsidR="00B46FF3" w:rsidRPr="000214AE" w:rsidRDefault="00B46FF3">
            <w:pPr>
              <w:spacing w:before="284"/>
              <w:rPr>
                <w:rFonts w:ascii="Arial" w:hAnsi="Arial" w:cs="Arial"/>
                <w:b/>
                <w:bCs/>
                <w:sz w:val="18"/>
              </w:rPr>
            </w:pPr>
            <w:r w:rsidRPr="000214AE">
              <w:rPr>
                <w:rFonts w:ascii="Arial" w:hAnsi="Arial" w:cs="Arial"/>
                <w:b/>
                <w:bCs/>
                <w:color w:val="808080"/>
                <w:spacing w:val="100"/>
              </w:rPr>
              <w:t>International Telecommunication Union</w:t>
            </w:r>
          </w:p>
        </w:tc>
      </w:tr>
      <w:tr w:rsidR="00B46FF3" w:rsidRPr="000214AE">
        <w:trPr>
          <w:trHeight w:hRule="exact" w:val="992"/>
        </w:trPr>
        <w:tc>
          <w:tcPr>
            <w:tcW w:w="1428" w:type="dxa"/>
            <w:gridSpan w:val="2"/>
          </w:tcPr>
          <w:p w:rsidR="00B46FF3" w:rsidRPr="000214AE" w:rsidRDefault="00B46FF3">
            <w:pPr>
              <w:spacing w:before="0"/>
            </w:pPr>
          </w:p>
        </w:tc>
        <w:tc>
          <w:tcPr>
            <w:tcW w:w="8520" w:type="dxa"/>
            <w:gridSpan w:val="3"/>
          </w:tcPr>
          <w:p w:rsidR="00B46FF3" w:rsidRPr="000214AE" w:rsidRDefault="00B46FF3"/>
        </w:tc>
      </w:tr>
      <w:tr w:rsidR="00B46FF3" w:rsidRPr="000214AE">
        <w:tblPrEx>
          <w:tblCellMar>
            <w:left w:w="85" w:type="dxa"/>
            <w:right w:w="85" w:type="dxa"/>
          </w:tblCellMar>
        </w:tblPrEx>
        <w:trPr>
          <w:gridBefore w:val="2"/>
          <w:wBefore w:w="1428" w:type="dxa"/>
        </w:trPr>
        <w:tc>
          <w:tcPr>
            <w:tcW w:w="2520" w:type="dxa"/>
          </w:tcPr>
          <w:p w:rsidR="00B46FF3" w:rsidRPr="000214AE" w:rsidRDefault="00B46FF3">
            <w:pPr>
              <w:rPr>
                <w:b/>
                <w:sz w:val="18"/>
              </w:rPr>
            </w:pPr>
            <w:bookmarkStart w:id="0" w:name="dnume" w:colFirst="1" w:colLast="1"/>
            <w:bookmarkStart w:id="1" w:name="_GoBack" w:colFirst="1" w:colLast="1"/>
            <w:r w:rsidRPr="000214AE">
              <w:rPr>
                <w:rFonts w:ascii="Arial" w:hAnsi="Arial"/>
                <w:b/>
                <w:spacing w:val="40"/>
                <w:sz w:val="72"/>
              </w:rPr>
              <w:t>ITU-T</w:t>
            </w:r>
          </w:p>
        </w:tc>
        <w:tc>
          <w:tcPr>
            <w:tcW w:w="6000" w:type="dxa"/>
            <w:gridSpan w:val="2"/>
          </w:tcPr>
          <w:p w:rsidR="00B46FF3" w:rsidRPr="000214AE" w:rsidRDefault="00996088">
            <w:pPr>
              <w:spacing w:before="240"/>
              <w:jc w:val="right"/>
              <w:rPr>
                <w:rFonts w:ascii="Arial" w:hAnsi="Arial" w:cs="Arial"/>
                <w:b/>
                <w:sz w:val="60"/>
              </w:rPr>
            </w:pPr>
            <w:r w:rsidRPr="000214AE">
              <w:rPr>
                <w:rFonts w:ascii="Arial" w:hAnsi="Arial" w:cs="Arial"/>
                <w:b/>
                <w:sz w:val="60"/>
              </w:rPr>
              <w:t>G.8032/Y.1344</w:t>
            </w:r>
          </w:p>
        </w:tc>
      </w:tr>
      <w:tr w:rsidR="00B46FF3" w:rsidRPr="000214AE">
        <w:tblPrEx>
          <w:tblCellMar>
            <w:left w:w="85" w:type="dxa"/>
            <w:right w:w="85" w:type="dxa"/>
          </w:tblCellMar>
        </w:tblPrEx>
        <w:trPr>
          <w:gridBefore w:val="2"/>
          <w:wBefore w:w="1428" w:type="dxa"/>
          <w:trHeight w:val="974"/>
        </w:trPr>
        <w:tc>
          <w:tcPr>
            <w:tcW w:w="4549" w:type="dxa"/>
            <w:gridSpan w:val="2"/>
          </w:tcPr>
          <w:p w:rsidR="00B46FF3" w:rsidRPr="000214AE" w:rsidRDefault="00B46FF3">
            <w:pPr>
              <w:jc w:val="left"/>
              <w:rPr>
                <w:b/>
                <w:sz w:val="20"/>
              </w:rPr>
            </w:pPr>
            <w:bookmarkStart w:id="2" w:name="ddatee" w:colFirst="1" w:colLast="1"/>
            <w:bookmarkEnd w:id="0"/>
            <w:bookmarkEnd w:id="1"/>
            <w:r w:rsidRPr="000214AE">
              <w:rPr>
                <w:rFonts w:ascii="Arial" w:hAnsi="Arial"/>
                <w:sz w:val="20"/>
              </w:rPr>
              <w:t>TELECOMMUNICATION</w:t>
            </w:r>
            <w:r w:rsidRPr="000214AE">
              <w:rPr>
                <w:rFonts w:ascii="Arial" w:hAnsi="Arial" w:cs="Arial"/>
                <w:sz w:val="20"/>
              </w:rPr>
              <w:br/>
            </w:r>
            <w:r w:rsidRPr="000214AE">
              <w:rPr>
                <w:rFonts w:ascii="Arial" w:hAnsi="Arial"/>
                <w:sz w:val="20"/>
              </w:rPr>
              <w:t>STANDARDIZATION  SECTOR</w:t>
            </w:r>
            <w:r w:rsidRPr="000214AE">
              <w:rPr>
                <w:rFonts w:ascii="Arial" w:hAnsi="Arial"/>
                <w:sz w:val="20"/>
              </w:rPr>
              <w:br/>
              <w:t>OF  ITU</w:t>
            </w:r>
          </w:p>
        </w:tc>
        <w:tc>
          <w:tcPr>
            <w:tcW w:w="3971" w:type="dxa"/>
          </w:tcPr>
          <w:p w:rsidR="00996088" w:rsidRPr="000214AE" w:rsidRDefault="00996088" w:rsidP="00996088">
            <w:pPr>
              <w:spacing w:before="0"/>
              <w:jc w:val="right"/>
              <w:rPr>
                <w:rFonts w:ascii="Arial" w:hAnsi="Arial" w:cs="Arial"/>
                <w:b/>
                <w:sz w:val="36"/>
              </w:rPr>
            </w:pPr>
            <w:bookmarkStart w:id="3" w:name="dnume2"/>
            <w:r w:rsidRPr="000214AE">
              <w:rPr>
                <w:rFonts w:ascii="Arial" w:hAnsi="Arial" w:cs="Arial"/>
                <w:b/>
                <w:sz w:val="36"/>
              </w:rPr>
              <w:t>Corrigendum 1</w:t>
            </w:r>
          </w:p>
          <w:bookmarkEnd w:id="3"/>
          <w:p w:rsidR="00B46FF3" w:rsidRPr="000214AE" w:rsidRDefault="00996088" w:rsidP="00996088">
            <w:pPr>
              <w:spacing w:before="0"/>
              <w:jc w:val="right"/>
              <w:rPr>
                <w:rFonts w:ascii="Arial" w:hAnsi="Arial" w:cs="Arial"/>
                <w:sz w:val="28"/>
              </w:rPr>
            </w:pPr>
            <w:r w:rsidRPr="000214AE">
              <w:rPr>
                <w:rFonts w:ascii="Arial" w:hAnsi="Arial" w:cs="Arial"/>
                <w:sz w:val="28"/>
              </w:rPr>
              <w:t xml:space="preserve">(10/2010)   </w:t>
            </w:r>
          </w:p>
        </w:tc>
      </w:tr>
      <w:tr w:rsidR="00B46FF3" w:rsidRPr="000214AE" w:rsidTr="00996088">
        <w:trPr>
          <w:cantSplit/>
          <w:trHeight w:hRule="exact" w:val="3686"/>
        </w:trPr>
        <w:tc>
          <w:tcPr>
            <w:tcW w:w="1418" w:type="dxa"/>
          </w:tcPr>
          <w:p w:rsidR="00B46FF3" w:rsidRPr="000214AE" w:rsidRDefault="00B46FF3">
            <w:pPr>
              <w:tabs>
                <w:tab w:val="right" w:pos="9639"/>
              </w:tabs>
              <w:rPr>
                <w:rFonts w:ascii="Arial" w:hAnsi="Arial"/>
                <w:sz w:val="18"/>
              </w:rPr>
            </w:pPr>
            <w:bookmarkStart w:id="4" w:name="dsece" w:colFirst="1" w:colLast="1"/>
            <w:bookmarkEnd w:id="2"/>
          </w:p>
        </w:tc>
        <w:tc>
          <w:tcPr>
            <w:tcW w:w="8530" w:type="dxa"/>
            <w:gridSpan w:val="4"/>
            <w:tcBorders>
              <w:bottom w:val="single" w:sz="12" w:space="0" w:color="auto"/>
            </w:tcBorders>
            <w:vAlign w:val="bottom"/>
          </w:tcPr>
          <w:p w:rsidR="00996088" w:rsidRPr="000214AE" w:rsidRDefault="00996088" w:rsidP="00996088">
            <w:pPr>
              <w:tabs>
                <w:tab w:val="right" w:pos="9639"/>
              </w:tabs>
              <w:jc w:val="left"/>
              <w:rPr>
                <w:rFonts w:ascii="Arial" w:hAnsi="Arial" w:cs="Arial"/>
                <w:sz w:val="32"/>
              </w:rPr>
            </w:pPr>
            <w:r w:rsidRPr="000214AE">
              <w:rPr>
                <w:rFonts w:ascii="Arial" w:hAnsi="Arial" w:cs="Arial"/>
                <w:sz w:val="32"/>
              </w:rPr>
              <w:t>SERIES G: TRANSMISSION SYSTEMS AND MEDIA, DIGITAL SYSTEMS AND NETWORKS</w:t>
            </w:r>
          </w:p>
          <w:p w:rsidR="00996088" w:rsidRPr="000214AE" w:rsidRDefault="00996088" w:rsidP="00996088">
            <w:pPr>
              <w:tabs>
                <w:tab w:val="right" w:pos="9639"/>
              </w:tabs>
              <w:jc w:val="left"/>
              <w:rPr>
                <w:rFonts w:ascii="Arial" w:hAnsi="Arial" w:cs="Arial"/>
                <w:sz w:val="32"/>
              </w:rPr>
            </w:pPr>
            <w:r w:rsidRPr="000214AE">
              <w:rPr>
                <w:rFonts w:ascii="Arial" w:hAnsi="Arial" w:cs="Arial"/>
                <w:sz w:val="32"/>
              </w:rPr>
              <w:t>Packet over Transport aspects – Ethernet over Transport aspects</w:t>
            </w:r>
          </w:p>
          <w:p w:rsidR="00996088" w:rsidRPr="000214AE" w:rsidRDefault="00996088" w:rsidP="00996088">
            <w:pPr>
              <w:tabs>
                <w:tab w:val="right" w:pos="9639"/>
              </w:tabs>
              <w:jc w:val="left"/>
              <w:rPr>
                <w:rFonts w:ascii="Arial" w:hAnsi="Arial" w:cs="Arial"/>
                <w:sz w:val="32"/>
              </w:rPr>
            </w:pPr>
            <w:r w:rsidRPr="000214AE">
              <w:rPr>
                <w:rFonts w:ascii="Arial" w:hAnsi="Arial" w:cs="Arial"/>
                <w:sz w:val="32"/>
              </w:rPr>
              <w:t>SERIES Y: GLOBAL INFORMATION INFRASTRUCTURE, INTERNET PROTOCOL ASPECTS AND NEXT-GENERATION NETWORKS</w:t>
            </w:r>
          </w:p>
          <w:p w:rsidR="00996088" w:rsidRPr="000214AE" w:rsidRDefault="00996088" w:rsidP="00996088">
            <w:pPr>
              <w:tabs>
                <w:tab w:val="right" w:pos="9639"/>
              </w:tabs>
              <w:jc w:val="left"/>
              <w:rPr>
                <w:rFonts w:ascii="Arial" w:hAnsi="Arial" w:cs="Arial"/>
                <w:sz w:val="32"/>
              </w:rPr>
            </w:pPr>
            <w:r w:rsidRPr="000214AE">
              <w:rPr>
                <w:rFonts w:ascii="Arial" w:hAnsi="Arial" w:cs="Arial"/>
                <w:sz w:val="32"/>
              </w:rPr>
              <w:t>Internet protocol aspects – Transport</w:t>
            </w:r>
          </w:p>
          <w:p w:rsidR="00B46FF3" w:rsidRPr="000214AE" w:rsidRDefault="00B46FF3" w:rsidP="00996088">
            <w:pPr>
              <w:tabs>
                <w:tab w:val="right" w:pos="9639"/>
              </w:tabs>
              <w:jc w:val="left"/>
              <w:rPr>
                <w:rFonts w:ascii="Arial" w:hAnsi="Arial" w:cs="Arial"/>
                <w:sz w:val="32"/>
              </w:rPr>
            </w:pPr>
          </w:p>
        </w:tc>
      </w:tr>
      <w:tr w:rsidR="00B46FF3" w:rsidRPr="000214AE" w:rsidTr="00996088">
        <w:trPr>
          <w:cantSplit/>
          <w:trHeight w:hRule="exact" w:val="4253"/>
        </w:trPr>
        <w:tc>
          <w:tcPr>
            <w:tcW w:w="1418" w:type="dxa"/>
          </w:tcPr>
          <w:p w:rsidR="00B46FF3" w:rsidRPr="000214AE" w:rsidRDefault="00B46FF3">
            <w:pPr>
              <w:tabs>
                <w:tab w:val="right" w:pos="9639"/>
              </w:tabs>
              <w:rPr>
                <w:rFonts w:ascii="Arial" w:hAnsi="Arial"/>
                <w:sz w:val="18"/>
              </w:rPr>
            </w:pPr>
            <w:bookmarkStart w:id="5" w:name="c1tite" w:colFirst="1" w:colLast="1"/>
            <w:bookmarkEnd w:id="4"/>
          </w:p>
        </w:tc>
        <w:tc>
          <w:tcPr>
            <w:tcW w:w="8530" w:type="dxa"/>
            <w:gridSpan w:val="4"/>
          </w:tcPr>
          <w:p w:rsidR="00996088" w:rsidRPr="000214AE" w:rsidRDefault="00996088" w:rsidP="00996088">
            <w:pPr>
              <w:rPr>
                <w:rFonts w:ascii="Arial" w:hAnsi="Arial" w:cs="Arial"/>
                <w:bCs/>
                <w:sz w:val="36"/>
                <w:szCs w:val="36"/>
              </w:rPr>
            </w:pPr>
            <w:r w:rsidRPr="000214AE">
              <w:rPr>
                <w:rFonts w:ascii="Arial" w:hAnsi="Arial" w:cs="Arial"/>
                <w:sz w:val="36"/>
                <w:szCs w:val="36"/>
              </w:rPr>
              <w:t>Ethernet ring protection switching</w:t>
            </w:r>
          </w:p>
          <w:p w:rsidR="00B46FF3" w:rsidRPr="00914A7B" w:rsidRDefault="00996088" w:rsidP="00914A7B">
            <w:pPr>
              <w:rPr>
                <w:rFonts w:ascii="Arial" w:hAnsi="Arial" w:cs="Arial"/>
                <w:b/>
                <w:bCs/>
                <w:sz w:val="36"/>
                <w:szCs w:val="36"/>
              </w:rPr>
            </w:pPr>
            <w:r w:rsidRPr="000214AE">
              <w:rPr>
                <w:rFonts w:ascii="Arial" w:hAnsi="Arial" w:cs="Arial"/>
                <w:b/>
                <w:bCs/>
                <w:sz w:val="36"/>
                <w:szCs w:val="36"/>
              </w:rPr>
              <w:t>Corrigendum 1</w:t>
            </w:r>
          </w:p>
        </w:tc>
      </w:tr>
      <w:bookmarkEnd w:id="5"/>
      <w:tr w:rsidR="00B46FF3" w:rsidRPr="00914A7B">
        <w:trPr>
          <w:cantSplit/>
          <w:trHeight w:hRule="exact" w:val="1418"/>
        </w:trPr>
        <w:tc>
          <w:tcPr>
            <w:tcW w:w="1418" w:type="dxa"/>
          </w:tcPr>
          <w:p w:rsidR="00B46FF3" w:rsidRPr="000214AE" w:rsidRDefault="00B46FF3">
            <w:pPr>
              <w:tabs>
                <w:tab w:val="right" w:pos="9639"/>
              </w:tabs>
              <w:rPr>
                <w:rFonts w:ascii="Arial" w:hAnsi="Arial"/>
                <w:sz w:val="18"/>
              </w:rPr>
            </w:pPr>
          </w:p>
        </w:tc>
        <w:tc>
          <w:tcPr>
            <w:tcW w:w="8530" w:type="dxa"/>
            <w:gridSpan w:val="4"/>
            <w:vAlign w:val="bottom"/>
          </w:tcPr>
          <w:p w:rsidR="00996088" w:rsidRPr="00336F8B" w:rsidRDefault="00996088" w:rsidP="00996088">
            <w:pPr>
              <w:tabs>
                <w:tab w:val="right" w:pos="9639"/>
              </w:tabs>
              <w:spacing w:before="60" w:after="240"/>
              <w:jc w:val="left"/>
              <w:rPr>
                <w:rFonts w:ascii="Arial" w:hAnsi="Arial" w:cs="Arial"/>
                <w:sz w:val="32"/>
                <w:lang w:val="fr-CH"/>
              </w:rPr>
            </w:pPr>
            <w:bookmarkStart w:id="6" w:name="dnum2e"/>
            <w:bookmarkEnd w:id="6"/>
            <w:r w:rsidRPr="00336F8B">
              <w:rPr>
                <w:rFonts w:ascii="Arial" w:hAnsi="Arial" w:cs="Arial"/>
                <w:sz w:val="32"/>
                <w:lang w:val="fr-CH"/>
              </w:rPr>
              <w:t>Recommendation  ITU</w:t>
            </w:r>
            <w:r w:rsidRPr="00336F8B">
              <w:rPr>
                <w:rFonts w:ascii="Arial" w:hAnsi="Arial" w:cs="Arial"/>
                <w:sz w:val="32"/>
                <w:lang w:val="fr-CH"/>
              </w:rPr>
              <w:noBreakHyphen/>
              <w:t>T  G.8032/Y.1344 (2010)  –  Corrigendum 1</w:t>
            </w:r>
          </w:p>
          <w:p w:rsidR="00B46FF3" w:rsidRPr="00336F8B" w:rsidRDefault="00B46FF3" w:rsidP="00996088">
            <w:pPr>
              <w:tabs>
                <w:tab w:val="right" w:pos="9639"/>
              </w:tabs>
              <w:spacing w:before="60"/>
              <w:jc w:val="left"/>
              <w:rPr>
                <w:rFonts w:ascii="Arial" w:hAnsi="Arial" w:cs="Arial"/>
                <w:sz w:val="32"/>
                <w:lang w:val="fr-CH"/>
              </w:rPr>
            </w:pPr>
          </w:p>
        </w:tc>
      </w:tr>
    </w:tbl>
    <w:p w:rsidR="00B46FF3" w:rsidRPr="000214AE" w:rsidRDefault="004E7D87">
      <w:pPr>
        <w:tabs>
          <w:tab w:val="right" w:pos="9639"/>
        </w:tabs>
        <w:spacing w:before="240"/>
        <w:jc w:val="right"/>
        <w:rPr>
          <w:rFonts w:ascii="Arial" w:hAnsi="Arial"/>
          <w:sz w:val="18"/>
        </w:rPr>
      </w:pPr>
      <w:r w:rsidRPr="000214AE">
        <w:rPr>
          <w:rFonts w:ascii="Arial" w:hAnsi="Arial"/>
          <w:noProof/>
          <w:sz w:val="18"/>
          <w:lang w:val="en-US" w:eastAsia="zh-CN"/>
        </w:rPr>
        <w:drawing>
          <wp:inline distT="0" distB="0" distL="0" distR="0">
            <wp:extent cx="1533525" cy="638175"/>
            <wp:effectExtent l="19050" t="0" r="9525" b="0"/>
            <wp:docPr id="1" name="Pictur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0"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rsidR="00996088" w:rsidRPr="000214AE" w:rsidRDefault="00B46FF3" w:rsidP="00996088">
      <w:pPr>
        <w:spacing w:before="80"/>
        <w:jc w:val="center"/>
        <w:rPr>
          <w:sz w:val="20"/>
        </w:rPr>
      </w:pPr>
      <w:r w:rsidRPr="000214AE">
        <w:rPr>
          <w:sz w:val="20"/>
        </w:rPr>
        <w:br w:type="page"/>
      </w:r>
      <w:bookmarkStart w:id="7" w:name="c2tope"/>
      <w:bookmarkEnd w:id="7"/>
      <w:r w:rsidR="00996088" w:rsidRPr="000214AE">
        <w:rPr>
          <w:sz w:val="20"/>
        </w:rPr>
        <w:lastRenderedPageBreak/>
        <w:t>ITU-T  G-SERIES  RECOMMENDATIONS</w:t>
      </w:r>
    </w:p>
    <w:p w:rsidR="00996088" w:rsidRPr="000214AE" w:rsidRDefault="00996088" w:rsidP="00996088">
      <w:pPr>
        <w:spacing w:before="80" w:after="80"/>
        <w:jc w:val="center"/>
        <w:rPr>
          <w:b/>
          <w:sz w:val="20"/>
        </w:rPr>
      </w:pPr>
      <w:r w:rsidRPr="000214AE">
        <w:rPr>
          <w:b/>
          <w:sz w:val="20"/>
        </w:rPr>
        <w:t>TRANSMISSION SYSTEMS AND MEDIA, DIGITAL SYSTEMS AND NETWORKS</w:t>
      </w:r>
    </w:p>
    <w:tbl>
      <w:tblPr>
        <w:tblStyle w:val="TableGrid"/>
        <w:tblW w:w="9945" w:type="dxa"/>
        <w:tblInd w:w="10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211"/>
        <w:gridCol w:w="1734"/>
      </w:tblGrid>
      <w:tr w:rsidR="00996088" w:rsidRPr="000214AE" w:rsidTr="00996088">
        <w:tc>
          <w:tcPr>
            <w:tcW w:w="8050" w:type="dxa"/>
            <w:shd w:val="clear" w:color="auto" w:fill="auto"/>
          </w:tcPr>
          <w:p w:rsidR="00996088" w:rsidRPr="000214AE" w:rsidRDefault="00996088" w:rsidP="00996088">
            <w:pPr>
              <w:spacing w:before="30" w:after="30" w:line="190" w:lineRule="exact"/>
              <w:jc w:val="left"/>
              <w:rPr>
                <w:sz w:val="20"/>
              </w:rPr>
            </w:pPr>
          </w:p>
        </w:tc>
        <w:tc>
          <w:tcPr>
            <w:tcW w:w="1700" w:type="dxa"/>
            <w:shd w:val="clear" w:color="auto" w:fill="auto"/>
          </w:tcPr>
          <w:p w:rsidR="00996088" w:rsidRPr="000214AE" w:rsidRDefault="00996088" w:rsidP="00996088">
            <w:pPr>
              <w:spacing w:before="30" w:after="30" w:line="190" w:lineRule="exact"/>
              <w:jc w:val="left"/>
              <w:rPr>
                <w:sz w:val="20"/>
              </w:rPr>
            </w:pP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INTERNATIONAL TELEPHONE CONNECTIONS AND CIRCUITS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G.100–G.199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GENERAL CHARACTERISTICS COMMON TO ALL ANALOGUE CARRIER-TRANSMISSION SYSTEMS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G.200–G.299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INDIVIDUAL CHARACTERISTICS OF INTERNATIONAL CARRIER TELEPHONE SYSTEMS ON METALLIC LINES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G.300–G.399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GENERAL CHARACTERISTICS OF INTERNATIONAL CARRIER TELEPHONE SYSTEMS ON RADIO-RELAY OR SATELLITE LINKS AND INTERCONNECTION WITH METALLIC LINES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G.400–G.449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COORDINATION OF RADIOTELEPHONY AND LINE TELEPHONY</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G.450–G.499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TRANSMISSION MEDIA AND OPTICAL SYSTEMS CHARACTERISTICS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G.600–G.699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DIGITAL TERMINAL EQUIPMENTS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G.700–G.799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DIGITAL NETWORKS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G.800–G.899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DIGITAL SECTIONS AND DIGITAL LINE SYSTEM</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G.900–G.999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MULTIMEDIA QUALITY OF SERVICE AND PERFORMANCE – GENERIC AND USER-RELATED ASPECTS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G.1000–G.1999</w:t>
            </w:r>
          </w:p>
        </w:tc>
      </w:tr>
      <w:tr w:rsidR="00996088" w:rsidRPr="000214AE" w:rsidTr="00996088">
        <w:tc>
          <w:tcPr>
            <w:tcW w:w="8050" w:type="dxa"/>
            <w:shd w:val="clear" w:color="auto" w:fill="auto"/>
          </w:tcPr>
          <w:p w:rsidR="00996088" w:rsidRPr="000214AE" w:rsidRDefault="00996088" w:rsidP="00996088">
            <w:pPr>
              <w:spacing w:before="30" w:after="30" w:line="190" w:lineRule="exact"/>
              <w:ind w:left="113"/>
              <w:jc w:val="left"/>
              <w:rPr>
                <w:sz w:val="20"/>
              </w:rPr>
            </w:pPr>
            <w:r w:rsidRPr="000214AE">
              <w:rPr>
                <w:sz w:val="20"/>
              </w:rPr>
              <w:t>TRANSMISSION MEDIA CHARACTERISTICS</w:t>
            </w:r>
          </w:p>
        </w:tc>
        <w:tc>
          <w:tcPr>
            <w:tcW w:w="1700" w:type="dxa"/>
            <w:shd w:val="clear" w:color="auto" w:fill="auto"/>
          </w:tcPr>
          <w:p w:rsidR="00996088" w:rsidRPr="000214AE" w:rsidRDefault="00996088" w:rsidP="00996088">
            <w:pPr>
              <w:spacing w:before="30" w:after="30" w:line="190" w:lineRule="exact"/>
              <w:jc w:val="left"/>
              <w:rPr>
                <w:sz w:val="20"/>
              </w:rPr>
            </w:pPr>
            <w:r w:rsidRPr="000214AE">
              <w:rPr>
                <w:sz w:val="20"/>
              </w:rPr>
              <w:t>G.6000–G.6999</w:t>
            </w:r>
          </w:p>
        </w:tc>
      </w:tr>
      <w:tr w:rsidR="00996088" w:rsidRPr="000214AE" w:rsidTr="00996088">
        <w:tc>
          <w:tcPr>
            <w:tcW w:w="8050" w:type="dxa"/>
            <w:tcBorders>
              <w:bottom w:val="nil"/>
            </w:tcBorders>
            <w:shd w:val="clear" w:color="auto" w:fill="auto"/>
          </w:tcPr>
          <w:p w:rsidR="00996088" w:rsidRPr="000214AE" w:rsidRDefault="00996088" w:rsidP="00996088">
            <w:pPr>
              <w:spacing w:before="30" w:after="30" w:line="190" w:lineRule="exact"/>
              <w:ind w:left="113"/>
              <w:jc w:val="left"/>
              <w:rPr>
                <w:sz w:val="20"/>
              </w:rPr>
            </w:pPr>
            <w:r w:rsidRPr="000214AE">
              <w:rPr>
                <w:sz w:val="20"/>
              </w:rPr>
              <w:t>DATA OVER TRANSPORT – GENERIC ASPECTS</w:t>
            </w:r>
          </w:p>
        </w:tc>
        <w:tc>
          <w:tcPr>
            <w:tcW w:w="1700" w:type="dxa"/>
            <w:tcBorders>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G.7000–G.7999</w:t>
            </w:r>
          </w:p>
        </w:tc>
      </w:tr>
      <w:tr w:rsidR="00996088" w:rsidRPr="000214AE" w:rsidTr="00996088">
        <w:tc>
          <w:tcPr>
            <w:tcW w:w="8050" w:type="dxa"/>
            <w:tcBorders>
              <w:top w:val="nil"/>
              <w:bottom w:val="nil"/>
            </w:tcBorders>
            <w:shd w:val="clear" w:color="auto" w:fill="auto"/>
          </w:tcPr>
          <w:p w:rsidR="00996088" w:rsidRPr="000214AE" w:rsidRDefault="00996088" w:rsidP="00996088">
            <w:pPr>
              <w:spacing w:before="30" w:after="30" w:line="190" w:lineRule="exact"/>
              <w:ind w:left="113"/>
              <w:jc w:val="left"/>
              <w:rPr>
                <w:sz w:val="20"/>
              </w:rPr>
            </w:pPr>
            <w:r w:rsidRPr="000214AE">
              <w:rPr>
                <w:sz w:val="20"/>
              </w:rPr>
              <w:t>PACKET OVER TRANSPORT ASPECTS</w:t>
            </w:r>
          </w:p>
        </w:tc>
        <w:tc>
          <w:tcPr>
            <w:tcW w:w="1700" w:type="dxa"/>
            <w:tcBorders>
              <w:top w:val="nil"/>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G.8000–G.8999</w:t>
            </w:r>
          </w:p>
        </w:tc>
      </w:tr>
      <w:tr w:rsidR="00996088" w:rsidRPr="000214AE" w:rsidTr="00996088">
        <w:tc>
          <w:tcPr>
            <w:tcW w:w="8050" w:type="dxa"/>
            <w:tcBorders>
              <w:top w:val="nil"/>
              <w:bottom w:val="nil"/>
            </w:tcBorders>
            <w:shd w:val="pct10" w:color="auto" w:fill="auto"/>
          </w:tcPr>
          <w:p w:rsidR="00996088" w:rsidRPr="000214AE" w:rsidRDefault="00996088" w:rsidP="00996088">
            <w:pPr>
              <w:spacing w:before="30" w:after="30" w:line="190" w:lineRule="exact"/>
              <w:ind w:left="283"/>
              <w:jc w:val="left"/>
              <w:rPr>
                <w:b/>
                <w:sz w:val="20"/>
              </w:rPr>
            </w:pPr>
            <w:r w:rsidRPr="000214AE">
              <w:rPr>
                <w:b/>
                <w:sz w:val="20"/>
              </w:rPr>
              <w:t>Ethernet over Transport aspects</w:t>
            </w:r>
          </w:p>
        </w:tc>
        <w:tc>
          <w:tcPr>
            <w:tcW w:w="1700" w:type="dxa"/>
            <w:tcBorders>
              <w:top w:val="nil"/>
              <w:bottom w:val="nil"/>
            </w:tcBorders>
            <w:shd w:val="pct10" w:color="auto" w:fill="auto"/>
          </w:tcPr>
          <w:p w:rsidR="00996088" w:rsidRPr="000214AE" w:rsidRDefault="00996088" w:rsidP="00996088">
            <w:pPr>
              <w:spacing w:before="30" w:after="30" w:line="190" w:lineRule="exact"/>
              <w:jc w:val="left"/>
              <w:rPr>
                <w:b/>
                <w:sz w:val="20"/>
              </w:rPr>
            </w:pPr>
            <w:r w:rsidRPr="000214AE">
              <w:rPr>
                <w:b/>
                <w:sz w:val="20"/>
              </w:rPr>
              <w:t>G.8000–G.8099</w:t>
            </w:r>
          </w:p>
        </w:tc>
      </w:tr>
      <w:tr w:rsidR="00996088" w:rsidRPr="000214AE" w:rsidTr="00996088">
        <w:tc>
          <w:tcPr>
            <w:tcW w:w="8050" w:type="dxa"/>
            <w:tcBorders>
              <w:top w:val="nil"/>
              <w:bottom w:val="nil"/>
            </w:tcBorders>
            <w:shd w:val="clear" w:color="auto" w:fill="auto"/>
          </w:tcPr>
          <w:p w:rsidR="00996088" w:rsidRPr="000214AE" w:rsidRDefault="00996088" w:rsidP="00996088">
            <w:pPr>
              <w:spacing w:before="30" w:after="30" w:line="190" w:lineRule="exact"/>
              <w:ind w:left="283"/>
              <w:jc w:val="left"/>
              <w:rPr>
                <w:sz w:val="20"/>
              </w:rPr>
            </w:pPr>
            <w:r w:rsidRPr="000214AE">
              <w:rPr>
                <w:sz w:val="20"/>
              </w:rPr>
              <w:t>MPLS over Transport aspects</w:t>
            </w:r>
          </w:p>
        </w:tc>
        <w:tc>
          <w:tcPr>
            <w:tcW w:w="1700" w:type="dxa"/>
            <w:tcBorders>
              <w:top w:val="nil"/>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G.8100–G.8199</w:t>
            </w:r>
          </w:p>
        </w:tc>
      </w:tr>
      <w:tr w:rsidR="00996088" w:rsidRPr="000214AE" w:rsidTr="00996088">
        <w:tc>
          <w:tcPr>
            <w:tcW w:w="8050" w:type="dxa"/>
            <w:tcBorders>
              <w:top w:val="nil"/>
              <w:bottom w:val="nil"/>
            </w:tcBorders>
            <w:shd w:val="clear" w:color="auto" w:fill="auto"/>
          </w:tcPr>
          <w:p w:rsidR="00996088" w:rsidRPr="000214AE" w:rsidRDefault="00996088" w:rsidP="00996088">
            <w:pPr>
              <w:spacing w:before="30" w:after="30" w:line="190" w:lineRule="exact"/>
              <w:ind w:left="283"/>
              <w:jc w:val="left"/>
              <w:rPr>
                <w:sz w:val="20"/>
              </w:rPr>
            </w:pPr>
            <w:r w:rsidRPr="000214AE">
              <w:rPr>
                <w:sz w:val="20"/>
              </w:rPr>
              <w:t>Quality and availability targets</w:t>
            </w:r>
          </w:p>
        </w:tc>
        <w:tc>
          <w:tcPr>
            <w:tcW w:w="1700" w:type="dxa"/>
            <w:tcBorders>
              <w:top w:val="nil"/>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G.8200–G.8299</w:t>
            </w:r>
          </w:p>
        </w:tc>
      </w:tr>
      <w:tr w:rsidR="00996088" w:rsidRPr="000214AE" w:rsidTr="00996088">
        <w:tc>
          <w:tcPr>
            <w:tcW w:w="8050" w:type="dxa"/>
            <w:tcBorders>
              <w:top w:val="nil"/>
              <w:bottom w:val="nil"/>
            </w:tcBorders>
            <w:shd w:val="clear" w:color="auto" w:fill="auto"/>
          </w:tcPr>
          <w:p w:rsidR="00996088" w:rsidRPr="000214AE" w:rsidRDefault="00996088" w:rsidP="00996088">
            <w:pPr>
              <w:spacing w:before="30" w:after="30" w:line="190" w:lineRule="exact"/>
              <w:ind w:left="283"/>
              <w:jc w:val="left"/>
              <w:rPr>
                <w:sz w:val="20"/>
              </w:rPr>
            </w:pPr>
            <w:r w:rsidRPr="000214AE">
              <w:rPr>
                <w:sz w:val="20"/>
              </w:rPr>
              <w:t>Service Management</w:t>
            </w:r>
          </w:p>
        </w:tc>
        <w:tc>
          <w:tcPr>
            <w:tcW w:w="1700" w:type="dxa"/>
            <w:tcBorders>
              <w:top w:val="nil"/>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G.8600–G.8699</w:t>
            </w:r>
          </w:p>
        </w:tc>
      </w:tr>
      <w:tr w:rsidR="00996088" w:rsidRPr="000214AE" w:rsidTr="00996088">
        <w:tc>
          <w:tcPr>
            <w:tcW w:w="8050" w:type="dxa"/>
            <w:tcBorders>
              <w:top w:val="nil"/>
              <w:bottom w:val="nil"/>
            </w:tcBorders>
            <w:shd w:val="clear" w:color="auto" w:fill="auto"/>
          </w:tcPr>
          <w:p w:rsidR="00996088" w:rsidRPr="000214AE" w:rsidRDefault="00996088" w:rsidP="00996088">
            <w:pPr>
              <w:spacing w:before="30" w:after="30" w:line="190" w:lineRule="exact"/>
              <w:ind w:left="113"/>
              <w:jc w:val="left"/>
              <w:rPr>
                <w:sz w:val="20"/>
              </w:rPr>
            </w:pPr>
            <w:r w:rsidRPr="000214AE">
              <w:rPr>
                <w:sz w:val="20"/>
              </w:rPr>
              <w:t>ACCESS NETWORKS</w:t>
            </w:r>
          </w:p>
        </w:tc>
        <w:tc>
          <w:tcPr>
            <w:tcW w:w="1700" w:type="dxa"/>
            <w:tcBorders>
              <w:top w:val="nil"/>
              <w:bottom w:val="nil"/>
            </w:tcBorders>
            <w:shd w:val="clear" w:color="auto" w:fill="auto"/>
          </w:tcPr>
          <w:p w:rsidR="00996088" w:rsidRPr="000214AE" w:rsidRDefault="00996088" w:rsidP="00996088">
            <w:pPr>
              <w:spacing w:before="30" w:after="30" w:line="190" w:lineRule="exact"/>
              <w:jc w:val="left"/>
              <w:rPr>
                <w:sz w:val="20"/>
              </w:rPr>
            </w:pPr>
            <w:r w:rsidRPr="000214AE">
              <w:rPr>
                <w:sz w:val="20"/>
              </w:rPr>
              <w:t>G.9000–G.9999</w:t>
            </w:r>
          </w:p>
        </w:tc>
      </w:tr>
      <w:tr w:rsidR="00996088" w:rsidRPr="000214AE" w:rsidTr="00996088">
        <w:tc>
          <w:tcPr>
            <w:tcW w:w="8050" w:type="dxa"/>
            <w:tcBorders>
              <w:top w:val="nil"/>
            </w:tcBorders>
            <w:shd w:val="clear" w:color="auto" w:fill="auto"/>
          </w:tcPr>
          <w:p w:rsidR="00996088" w:rsidRPr="000214AE" w:rsidRDefault="00996088" w:rsidP="00996088">
            <w:pPr>
              <w:spacing w:before="30" w:after="30" w:line="190" w:lineRule="exact"/>
              <w:ind w:left="113"/>
              <w:jc w:val="left"/>
              <w:rPr>
                <w:sz w:val="20"/>
              </w:rPr>
            </w:pPr>
          </w:p>
        </w:tc>
        <w:tc>
          <w:tcPr>
            <w:tcW w:w="1700" w:type="dxa"/>
            <w:tcBorders>
              <w:top w:val="nil"/>
            </w:tcBorders>
            <w:shd w:val="clear" w:color="auto" w:fill="auto"/>
          </w:tcPr>
          <w:p w:rsidR="00996088" w:rsidRPr="000214AE" w:rsidRDefault="00996088" w:rsidP="00996088">
            <w:pPr>
              <w:spacing w:before="30" w:after="30" w:line="190" w:lineRule="exact"/>
              <w:jc w:val="left"/>
              <w:rPr>
                <w:sz w:val="20"/>
              </w:rPr>
            </w:pPr>
          </w:p>
        </w:tc>
      </w:tr>
    </w:tbl>
    <w:p w:rsidR="00996088" w:rsidRPr="000214AE" w:rsidRDefault="00996088" w:rsidP="00996088">
      <w:pPr>
        <w:spacing w:before="80" w:after="80"/>
        <w:jc w:val="left"/>
        <w:rPr>
          <w:sz w:val="18"/>
        </w:rPr>
      </w:pPr>
      <w:r w:rsidRPr="000214AE">
        <w:rPr>
          <w:i/>
          <w:sz w:val="18"/>
        </w:rPr>
        <w:t>For further details, please refer to the list of ITU-T Recommendations.</w:t>
      </w:r>
    </w:p>
    <w:p w:rsidR="00B46FF3" w:rsidRPr="000214AE" w:rsidRDefault="00B46FF3">
      <w:pPr>
        <w:jc w:val="left"/>
        <w:sectPr w:rsidR="00B46FF3" w:rsidRPr="000214AE">
          <w:headerReference w:type="even" r:id="rId11"/>
          <w:headerReference w:type="default" r:id="rId12"/>
          <w:pgSz w:w="11907" w:h="16840" w:code="9"/>
          <w:pgMar w:top="1089" w:right="1089" w:bottom="284" w:left="1089" w:header="567" w:footer="284" w:gutter="0"/>
          <w:pgNumType w:start="1"/>
          <w:cols w:space="720"/>
        </w:sectPr>
      </w:pPr>
    </w:p>
    <w:tbl>
      <w:tblPr>
        <w:tblW w:w="0" w:type="auto"/>
        <w:tblLayout w:type="fixed"/>
        <w:tblLook w:val="0000" w:firstRow="0" w:lastRow="0" w:firstColumn="0" w:lastColumn="0" w:noHBand="0" w:noVBand="0"/>
      </w:tblPr>
      <w:tblGrid>
        <w:gridCol w:w="9945"/>
      </w:tblGrid>
      <w:tr w:rsidR="00B46FF3" w:rsidRPr="000214AE">
        <w:tc>
          <w:tcPr>
            <w:tcW w:w="9945" w:type="dxa"/>
          </w:tcPr>
          <w:p w:rsidR="00996088" w:rsidRPr="00336F8B" w:rsidRDefault="00996088" w:rsidP="00996088">
            <w:pPr>
              <w:pStyle w:val="RecNo"/>
              <w:rPr>
                <w:lang w:val="fr-CH"/>
              </w:rPr>
            </w:pPr>
            <w:bookmarkStart w:id="8" w:name="irecnoe"/>
            <w:bookmarkEnd w:id="8"/>
            <w:r w:rsidRPr="00336F8B">
              <w:rPr>
                <w:lang w:val="fr-CH"/>
              </w:rPr>
              <w:t>Recommendation ITU-T G.8032/Y.1344</w:t>
            </w:r>
          </w:p>
          <w:p w:rsidR="00996088" w:rsidRPr="000214AE" w:rsidRDefault="00996088" w:rsidP="00996088">
            <w:pPr>
              <w:pStyle w:val="Rectitle"/>
            </w:pPr>
            <w:r w:rsidRPr="000214AE">
              <w:t>Ethernet ring protection switching</w:t>
            </w:r>
          </w:p>
          <w:p w:rsidR="00B46FF3" w:rsidRPr="000214AE" w:rsidRDefault="00996088" w:rsidP="00996088">
            <w:pPr>
              <w:pStyle w:val="AnnexNoTitle"/>
            </w:pPr>
            <w:bookmarkStart w:id="9" w:name="imakespacee"/>
            <w:bookmarkStart w:id="10" w:name="_Toc282501270"/>
            <w:bookmarkStart w:id="11" w:name="_Toc286243501"/>
            <w:bookmarkEnd w:id="9"/>
            <w:r w:rsidRPr="000214AE">
              <w:t>Corrigendum 1</w:t>
            </w:r>
            <w:bookmarkEnd w:id="10"/>
            <w:bookmarkEnd w:id="11"/>
          </w:p>
          <w:p w:rsidR="00B46FF3" w:rsidRPr="000214AE" w:rsidRDefault="00B46FF3"/>
        </w:tc>
      </w:tr>
    </w:tbl>
    <w:p w:rsidR="00B46FF3" w:rsidRPr="000214AE" w:rsidRDefault="00B46FF3"/>
    <w:p w:rsidR="00B46FF3" w:rsidRPr="000214AE" w:rsidRDefault="00B46FF3"/>
    <w:tbl>
      <w:tblPr>
        <w:tblW w:w="0" w:type="auto"/>
        <w:tblLayout w:type="fixed"/>
        <w:tblLook w:val="0000" w:firstRow="0" w:lastRow="0" w:firstColumn="0" w:lastColumn="0" w:noHBand="0" w:noVBand="0"/>
      </w:tblPr>
      <w:tblGrid>
        <w:gridCol w:w="9945"/>
      </w:tblGrid>
      <w:tr w:rsidR="00B46FF3" w:rsidRPr="000214AE">
        <w:tc>
          <w:tcPr>
            <w:tcW w:w="9945" w:type="dxa"/>
          </w:tcPr>
          <w:p w:rsidR="00B46FF3" w:rsidRPr="000214AE" w:rsidRDefault="00B46FF3">
            <w:pPr>
              <w:pStyle w:val="Headingb"/>
            </w:pPr>
            <w:bookmarkStart w:id="12" w:name="isume"/>
            <w:r w:rsidRPr="000214AE">
              <w:t>Summary</w:t>
            </w:r>
          </w:p>
          <w:p w:rsidR="00B46FF3" w:rsidRPr="000214AE" w:rsidRDefault="00996088" w:rsidP="004747DC">
            <w:pPr>
              <w:tabs>
                <w:tab w:val="clear" w:pos="794"/>
                <w:tab w:val="clear" w:pos="1191"/>
                <w:tab w:val="clear" w:pos="1588"/>
                <w:tab w:val="clear" w:pos="1985"/>
              </w:tabs>
              <w:rPr>
                <w:szCs w:val="24"/>
                <w:lang w:eastAsia="ja-JP"/>
              </w:rPr>
            </w:pPr>
            <w:r w:rsidRPr="000214AE">
              <w:rPr>
                <w:szCs w:val="24"/>
                <w:lang w:eastAsia="ja-JP"/>
              </w:rPr>
              <w:t xml:space="preserve">Corrigendum 1 to Recommendation ITU-T G.8032/Y.1344 clarifies </w:t>
            </w:r>
            <w:r w:rsidR="004747DC">
              <w:rPr>
                <w:szCs w:val="24"/>
                <w:lang w:eastAsia="ja-JP"/>
              </w:rPr>
              <w:t>clause</w:t>
            </w:r>
            <w:r w:rsidRPr="000214AE">
              <w:rPr>
                <w:szCs w:val="24"/>
                <w:lang w:eastAsia="ja-JP"/>
              </w:rPr>
              <w:t xml:space="preserve"> 8</w:t>
            </w:r>
            <w:r w:rsidR="004747DC">
              <w:rPr>
                <w:szCs w:val="24"/>
                <w:lang w:eastAsia="ja-JP"/>
              </w:rPr>
              <w:t xml:space="preserve">, </w:t>
            </w:r>
            <w:r w:rsidRPr="000214AE">
              <w:rPr>
                <w:szCs w:val="24"/>
                <w:lang w:eastAsia="ja-JP"/>
              </w:rPr>
              <w:t>Ring protection conditions and commands, subclause 9.7.2</w:t>
            </w:r>
            <w:r w:rsidR="004747DC">
              <w:rPr>
                <w:szCs w:val="24"/>
                <w:lang w:eastAsia="ja-JP"/>
              </w:rPr>
              <w:t xml:space="preserve">, </w:t>
            </w:r>
            <w:r w:rsidRPr="000214AE">
              <w:rPr>
                <w:szCs w:val="24"/>
                <w:lang w:eastAsia="ja-JP"/>
              </w:rPr>
              <w:t xml:space="preserve">Ring </w:t>
            </w:r>
            <w:r w:rsidR="000214AE" w:rsidRPr="000214AE">
              <w:rPr>
                <w:szCs w:val="24"/>
                <w:lang w:eastAsia="ja-JP"/>
              </w:rPr>
              <w:t xml:space="preserve">interconnection </w:t>
            </w:r>
            <w:r w:rsidRPr="000214AE">
              <w:rPr>
                <w:szCs w:val="24"/>
                <w:lang w:eastAsia="ja-JP"/>
              </w:rPr>
              <w:t xml:space="preserve">model without R-APS </w:t>
            </w:r>
            <w:r w:rsidR="000214AE" w:rsidRPr="000214AE">
              <w:rPr>
                <w:szCs w:val="24"/>
                <w:lang w:eastAsia="ja-JP"/>
              </w:rPr>
              <w:t>virtual channel</w:t>
            </w:r>
            <w:r w:rsidRPr="000214AE">
              <w:rPr>
                <w:szCs w:val="24"/>
                <w:lang w:eastAsia="ja-JP"/>
              </w:rPr>
              <w:t>, clause 10.1</w:t>
            </w:r>
            <w:r w:rsidR="004747DC">
              <w:rPr>
                <w:szCs w:val="24"/>
                <w:lang w:eastAsia="ja-JP"/>
              </w:rPr>
              <w:t xml:space="preserve">, </w:t>
            </w:r>
            <w:r w:rsidRPr="000214AE">
              <w:rPr>
                <w:szCs w:val="24"/>
                <w:lang w:eastAsia="ja-JP"/>
              </w:rPr>
              <w:t>Principles of operations, subclause 10.1.4</w:t>
            </w:r>
            <w:r w:rsidR="004747DC">
              <w:rPr>
                <w:szCs w:val="24"/>
                <w:lang w:eastAsia="ja-JP"/>
              </w:rPr>
              <w:t xml:space="preserve">, </w:t>
            </w:r>
            <w:r w:rsidRPr="000214AE">
              <w:rPr>
                <w:szCs w:val="24"/>
                <w:lang w:eastAsia="ja-JP"/>
              </w:rPr>
              <w:t>Delay timers, subclause 10.1.5</w:t>
            </w:r>
            <w:r w:rsidR="004747DC">
              <w:rPr>
                <w:szCs w:val="24"/>
                <w:lang w:eastAsia="ja-JP"/>
              </w:rPr>
              <w:t xml:space="preserve">, </w:t>
            </w:r>
            <w:r w:rsidRPr="000214AE">
              <w:rPr>
                <w:szCs w:val="24"/>
                <w:lang w:eastAsia="ja-JP"/>
              </w:rPr>
              <w:t xml:space="preserve">Guard </w:t>
            </w:r>
            <w:r w:rsidR="000214AE" w:rsidRPr="000214AE">
              <w:rPr>
                <w:szCs w:val="24"/>
                <w:lang w:eastAsia="ja-JP"/>
              </w:rPr>
              <w:t>t</w:t>
            </w:r>
            <w:r w:rsidRPr="000214AE">
              <w:rPr>
                <w:szCs w:val="24"/>
                <w:lang w:eastAsia="ja-JP"/>
              </w:rPr>
              <w:t>imer, subclause 10.1.8</w:t>
            </w:r>
            <w:r w:rsidR="004747DC">
              <w:rPr>
                <w:szCs w:val="24"/>
                <w:lang w:eastAsia="ja-JP"/>
              </w:rPr>
              <w:t xml:space="preserve">, </w:t>
            </w:r>
            <w:r w:rsidRPr="000214AE">
              <w:rPr>
                <w:szCs w:val="24"/>
                <w:lang w:eastAsia="ja-JP"/>
              </w:rPr>
              <w:t>Holdoff timer, subclause 10.1.9</w:t>
            </w:r>
            <w:r w:rsidR="004747DC">
              <w:rPr>
                <w:szCs w:val="24"/>
                <w:lang w:eastAsia="ja-JP"/>
              </w:rPr>
              <w:t xml:space="preserve">, </w:t>
            </w:r>
            <w:r w:rsidRPr="000214AE">
              <w:rPr>
                <w:szCs w:val="24"/>
                <w:lang w:eastAsia="ja-JP"/>
              </w:rPr>
              <w:t xml:space="preserve">Local </w:t>
            </w:r>
            <w:r w:rsidR="000214AE" w:rsidRPr="000214AE">
              <w:rPr>
                <w:szCs w:val="24"/>
                <w:lang w:eastAsia="ja-JP"/>
              </w:rPr>
              <w:t>priority logic</w:t>
            </w:r>
            <w:r w:rsidRPr="000214AE">
              <w:rPr>
                <w:szCs w:val="24"/>
                <w:lang w:eastAsia="ja-JP"/>
              </w:rPr>
              <w:t>, subclause</w:t>
            </w:r>
            <w:r w:rsidR="004747DC">
              <w:rPr>
                <w:szCs w:val="24"/>
                <w:lang w:eastAsia="ja-JP"/>
              </w:rPr>
              <w:t> </w:t>
            </w:r>
            <w:r w:rsidRPr="000214AE">
              <w:rPr>
                <w:szCs w:val="24"/>
                <w:lang w:eastAsia="ja-JP"/>
              </w:rPr>
              <w:t>10.1.10</w:t>
            </w:r>
            <w:r w:rsidR="004747DC">
              <w:rPr>
                <w:szCs w:val="24"/>
                <w:lang w:eastAsia="ja-JP"/>
              </w:rPr>
              <w:t xml:space="preserve">, </w:t>
            </w:r>
            <w:r w:rsidRPr="000214AE">
              <w:rPr>
                <w:szCs w:val="24"/>
                <w:lang w:eastAsia="ja-JP"/>
              </w:rPr>
              <w:t xml:space="preserve">Flush </w:t>
            </w:r>
            <w:r w:rsidR="000214AE" w:rsidRPr="000214AE">
              <w:rPr>
                <w:szCs w:val="24"/>
                <w:lang w:eastAsia="ja-JP"/>
              </w:rPr>
              <w:t>logic</w:t>
            </w:r>
            <w:r w:rsidRPr="000214AE">
              <w:rPr>
                <w:szCs w:val="24"/>
                <w:lang w:eastAsia="ja-JP"/>
              </w:rPr>
              <w:t>, subclause 10.1.13</w:t>
            </w:r>
            <w:r w:rsidR="004747DC">
              <w:rPr>
                <w:szCs w:val="24"/>
                <w:lang w:eastAsia="ja-JP"/>
              </w:rPr>
              <w:t xml:space="preserve">, </w:t>
            </w:r>
            <w:r w:rsidRPr="000214AE">
              <w:rPr>
                <w:szCs w:val="24"/>
                <w:lang w:eastAsia="ja-JP"/>
              </w:rPr>
              <w:t xml:space="preserve">Backward </w:t>
            </w:r>
            <w:r w:rsidR="000214AE" w:rsidRPr="000214AE">
              <w:rPr>
                <w:szCs w:val="24"/>
                <w:lang w:eastAsia="ja-JP"/>
              </w:rPr>
              <w:t>compatibility logic</w:t>
            </w:r>
            <w:r w:rsidR="004747DC">
              <w:rPr>
                <w:szCs w:val="24"/>
                <w:lang w:eastAsia="ja-JP"/>
              </w:rPr>
              <w:t>,</w:t>
            </w:r>
            <w:r w:rsidR="00E13CBD">
              <w:rPr>
                <w:szCs w:val="24"/>
                <w:lang w:eastAsia="ja-JP"/>
              </w:rPr>
              <w:t xml:space="preserve"> and Appendix VIII, </w:t>
            </w:r>
            <w:r w:rsidRPr="000214AE">
              <w:rPr>
                <w:szCs w:val="24"/>
                <w:lang w:eastAsia="ja-JP"/>
              </w:rPr>
              <w:t xml:space="preserve">Flush </w:t>
            </w:r>
            <w:r w:rsidR="000214AE" w:rsidRPr="000214AE">
              <w:rPr>
                <w:szCs w:val="24"/>
                <w:lang w:eastAsia="ja-JP"/>
              </w:rPr>
              <w:t>o</w:t>
            </w:r>
            <w:r w:rsidR="004747DC">
              <w:rPr>
                <w:szCs w:val="24"/>
                <w:lang w:eastAsia="ja-JP"/>
              </w:rPr>
              <w:t>ptimization</w:t>
            </w:r>
            <w:r w:rsidRPr="000214AE">
              <w:rPr>
                <w:szCs w:val="24"/>
                <w:lang w:eastAsia="ja-JP"/>
              </w:rPr>
              <w:t>.</w:t>
            </w:r>
            <w:bookmarkEnd w:id="12"/>
          </w:p>
        </w:tc>
      </w:tr>
    </w:tbl>
    <w:p w:rsidR="00B46FF3" w:rsidRPr="000214AE" w:rsidRDefault="00B46FF3"/>
    <w:p w:rsidR="00B46FF3" w:rsidRPr="000214AE" w:rsidRDefault="00B46FF3"/>
    <w:tbl>
      <w:tblPr>
        <w:tblW w:w="9948" w:type="dxa"/>
        <w:tblLook w:val="0000" w:firstRow="0" w:lastRow="0" w:firstColumn="0" w:lastColumn="0" w:noHBand="0" w:noVBand="0"/>
      </w:tblPr>
      <w:tblGrid>
        <w:gridCol w:w="9948"/>
      </w:tblGrid>
      <w:tr w:rsidR="00923C60" w:rsidRPr="000214AE" w:rsidTr="002E5890">
        <w:tc>
          <w:tcPr>
            <w:tcW w:w="9948" w:type="dxa"/>
          </w:tcPr>
          <w:p w:rsidR="00923C60" w:rsidRPr="000214AE" w:rsidRDefault="00A43177" w:rsidP="00923C60">
            <w:pPr>
              <w:pStyle w:val="Headingb"/>
              <w:spacing w:after="120"/>
            </w:pPr>
            <w:r w:rsidRPr="000214AE">
              <w:t>History</w:t>
            </w:r>
          </w:p>
          <w:tbl>
            <w:tblPr>
              <w:tblW w:w="0" w:type="auto"/>
              <w:tblLook w:val="0000" w:firstRow="0" w:lastRow="0" w:firstColumn="0" w:lastColumn="0" w:noHBand="0" w:noVBand="0"/>
            </w:tblPr>
            <w:tblGrid>
              <w:gridCol w:w="864"/>
              <w:gridCol w:w="4063"/>
              <w:gridCol w:w="1243"/>
              <w:gridCol w:w="1347"/>
              <w:gridCol w:w="222"/>
            </w:tblGrid>
            <w:tr w:rsidR="00A43177" w:rsidRPr="000214AE" w:rsidTr="00996088">
              <w:tc>
                <w:tcPr>
                  <w:tcW w:w="0" w:type="auto"/>
                  <w:shd w:val="clear" w:color="auto" w:fill="auto"/>
                  <w:vAlign w:val="center"/>
                </w:tcPr>
                <w:p w:rsidR="00A43177" w:rsidRPr="000214AE" w:rsidRDefault="00A43177" w:rsidP="00726163">
                  <w:pPr>
                    <w:pStyle w:val="Tabletext"/>
                    <w:jc w:val="center"/>
                  </w:pPr>
                  <w:r w:rsidRPr="000214AE">
                    <w:t>Edition</w:t>
                  </w:r>
                </w:p>
              </w:tc>
              <w:tc>
                <w:tcPr>
                  <w:tcW w:w="0" w:type="auto"/>
                  <w:shd w:val="clear" w:color="auto" w:fill="auto"/>
                  <w:vAlign w:val="center"/>
                </w:tcPr>
                <w:p w:rsidR="00A43177" w:rsidRPr="000214AE" w:rsidRDefault="00A43177" w:rsidP="00726163">
                  <w:pPr>
                    <w:pStyle w:val="Tabletext"/>
                  </w:pPr>
                  <w:r w:rsidRPr="000214AE">
                    <w:t>Recommendation</w:t>
                  </w:r>
                </w:p>
              </w:tc>
              <w:tc>
                <w:tcPr>
                  <w:tcW w:w="0" w:type="auto"/>
                  <w:shd w:val="clear" w:color="auto" w:fill="auto"/>
                  <w:vAlign w:val="center"/>
                </w:tcPr>
                <w:p w:rsidR="00A43177" w:rsidRPr="000214AE" w:rsidRDefault="00A43177" w:rsidP="00726163">
                  <w:pPr>
                    <w:pStyle w:val="Tabletext"/>
                    <w:jc w:val="center"/>
                  </w:pPr>
                  <w:r w:rsidRPr="000214AE">
                    <w:t>Approval</w:t>
                  </w:r>
                </w:p>
              </w:tc>
              <w:tc>
                <w:tcPr>
                  <w:tcW w:w="0" w:type="auto"/>
                  <w:vAlign w:val="center"/>
                </w:tcPr>
                <w:p w:rsidR="00A43177" w:rsidRPr="000214AE" w:rsidRDefault="00A43177" w:rsidP="00726163">
                  <w:pPr>
                    <w:pStyle w:val="Tabletext"/>
                    <w:jc w:val="center"/>
                  </w:pPr>
                  <w:r w:rsidRPr="000214AE">
                    <w:t>Study Group</w:t>
                  </w:r>
                </w:p>
              </w:tc>
              <w:tc>
                <w:tcPr>
                  <w:tcW w:w="0" w:type="auto"/>
                  <w:vAlign w:val="center"/>
                </w:tcPr>
                <w:p w:rsidR="00A43177" w:rsidRPr="000214AE" w:rsidRDefault="00A43177" w:rsidP="00726163">
                  <w:pPr>
                    <w:pStyle w:val="Tabletext"/>
                  </w:pPr>
                </w:p>
              </w:tc>
            </w:tr>
            <w:tr w:rsidR="00A43177" w:rsidRPr="000214AE" w:rsidTr="00996088">
              <w:tc>
                <w:tcPr>
                  <w:tcW w:w="0" w:type="auto"/>
                  <w:shd w:val="clear" w:color="auto" w:fill="auto"/>
                </w:tcPr>
                <w:p w:rsidR="00A43177" w:rsidRPr="000214AE" w:rsidRDefault="00996088" w:rsidP="00726163">
                  <w:pPr>
                    <w:pStyle w:val="Tabletext"/>
                    <w:jc w:val="center"/>
                  </w:pPr>
                  <w:bookmarkStart w:id="13" w:name="ihistorye"/>
                  <w:bookmarkEnd w:id="13"/>
                  <w:r w:rsidRPr="000214AE">
                    <w:t>1.0</w:t>
                  </w:r>
                </w:p>
              </w:tc>
              <w:tc>
                <w:tcPr>
                  <w:tcW w:w="0" w:type="auto"/>
                  <w:shd w:val="clear" w:color="auto" w:fill="auto"/>
                </w:tcPr>
                <w:p w:rsidR="00A43177" w:rsidRPr="000214AE" w:rsidRDefault="00996088" w:rsidP="00726163">
                  <w:pPr>
                    <w:pStyle w:val="Tabletext"/>
                  </w:pPr>
                  <w:r w:rsidRPr="000214AE">
                    <w:t>ITU-T G.8032/Y.1344</w:t>
                  </w:r>
                </w:p>
              </w:tc>
              <w:tc>
                <w:tcPr>
                  <w:tcW w:w="0" w:type="auto"/>
                  <w:shd w:val="clear" w:color="auto" w:fill="auto"/>
                </w:tcPr>
                <w:p w:rsidR="00A43177" w:rsidRPr="000214AE" w:rsidRDefault="00996088" w:rsidP="00726163">
                  <w:pPr>
                    <w:pStyle w:val="Tabletext"/>
                    <w:jc w:val="center"/>
                  </w:pPr>
                  <w:r w:rsidRPr="000214AE">
                    <w:t>2008-06-22</w:t>
                  </w:r>
                </w:p>
              </w:tc>
              <w:tc>
                <w:tcPr>
                  <w:tcW w:w="0" w:type="auto"/>
                  <w:shd w:val="clear" w:color="auto" w:fill="auto"/>
                </w:tcPr>
                <w:p w:rsidR="00A43177" w:rsidRPr="000214AE" w:rsidRDefault="00996088" w:rsidP="00726163">
                  <w:pPr>
                    <w:pStyle w:val="Tabletext"/>
                    <w:jc w:val="center"/>
                  </w:pPr>
                  <w:r w:rsidRPr="000214AE">
                    <w:t>15</w:t>
                  </w:r>
                </w:p>
              </w:tc>
              <w:tc>
                <w:tcPr>
                  <w:tcW w:w="0" w:type="auto"/>
                  <w:shd w:val="clear" w:color="auto" w:fill="auto"/>
                </w:tcPr>
                <w:p w:rsidR="00A43177" w:rsidRPr="000214AE" w:rsidRDefault="00A43177" w:rsidP="00726163">
                  <w:pPr>
                    <w:pStyle w:val="Tabletext"/>
                  </w:pPr>
                </w:p>
              </w:tc>
            </w:tr>
            <w:tr w:rsidR="00996088" w:rsidRPr="000214AE" w:rsidTr="00996088">
              <w:tc>
                <w:tcPr>
                  <w:tcW w:w="0" w:type="auto"/>
                  <w:shd w:val="clear" w:color="auto" w:fill="auto"/>
                </w:tcPr>
                <w:p w:rsidR="00996088" w:rsidRPr="000214AE" w:rsidRDefault="00996088" w:rsidP="00726163">
                  <w:pPr>
                    <w:pStyle w:val="Tabletext"/>
                    <w:jc w:val="center"/>
                  </w:pPr>
                  <w:r w:rsidRPr="000214AE">
                    <w:t>1.1</w:t>
                  </w:r>
                </w:p>
              </w:tc>
              <w:tc>
                <w:tcPr>
                  <w:tcW w:w="0" w:type="auto"/>
                  <w:shd w:val="clear" w:color="auto" w:fill="auto"/>
                </w:tcPr>
                <w:p w:rsidR="00996088" w:rsidRPr="000214AE" w:rsidRDefault="00996088" w:rsidP="00726163">
                  <w:pPr>
                    <w:pStyle w:val="Tabletext"/>
                  </w:pPr>
                  <w:r w:rsidRPr="00336F8B">
                    <w:rPr>
                      <w:lang w:val="fr-CH"/>
                    </w:rPr>
                    <w:tab/>
                    <w:t xml:space="preserve">ITU-T G.8032/Y.1344 (2008) Amend. </w:t>
                  </w:r>
                  <w:r w:rsidRPr="000214AE">
                    <w:t>1</w:t>
                  </w:r>
                </w:p>
              </w:tc>
              <w:tc>
                <w:tcPr>
                  <w:tcW w:w="0" w:type="auto"/>
                  <w:shd w:val="clear" w:color="auto" w:fill="auto"/>
                </w:tcPr>
                <w:p w:rsidR="00996088" w:rsidRPr="000214AE" w:rsidRDefault="00996088" w:rsidP="00726163">
                  <w:pPr>
                    <w:pStyle w:val="Tabletext"/>
                    <w:jc w:val="center"/>
                  </w:pPr>
                  <w:r w:rsidRPr="000214AE">
                    <w:t>2009-04-22</w:t>
                  </w:r>
                </w:p>
              </w:tc>
              <w:tc>
                <w:tcPr>
                  <w:tcW w:w="0" w:type="auto"/>
                  <w:shd w:val="clear" w:color="auto" w:fill="auto"/>
                </w:tcPr>
                <w:p w:rsidR="00996088" w:rsidRPr="000214AE" w:rsidRDefault="00996088" w:rsidP="00726163">
                  <w:pPr>
                    <w:pStyle w:val="Tabletext"/>
                    <w:jc w:val="center"/>
                  </w:pPr>
                  <w:r w:rsidRPr="000214AE">
                    <w:t>15</w:t>
                  </w:r>
                </w:p>
              </w:tc>
              <w:tc>
                <w:tcPr>
                  <w:tcW w:w="0" w:type="auto"/>
                  <w:shd w:val="clear" w:color="auto" w:fill="auto"/>
                </w:tcPr>
                <w:p w:rsidR="00996088" w:rsidRPr="000214AE" w:rsidRDefault="00996088" w:rsidP="00726163">
                  <w:pPr>
                    <w:pStyle w:val="Tabletext"/>
                  </w:pPr>
                </w:p>
              </w:tc>
            </w:tr>
            <w:tr w:rsidR="00996088" w:rsidRPr="000214AE" w:rsidTr="00996088">
              <w:tc>
                <w:tcPr>
                  <w:tcW w:w="0" w:type="auto"/>
                  <w:shd w:val="clear" w:color="auto" w:fill="auto"/>
                </w:tcPr>
                <w:p w:rsidR="00996088" w:rsidRPr="000214AE" w:rsidRDefault="00996088" w:rsidP="00726163">
                  <w:pPr>
                    <w:pStyle w:val="Tabletext"/>
                    <w:jc w:val="center"/>
                  </w:pPr>
                  <w:r w:rsidRPr="000214AE">
                    <w:t>2.0</w:t>
                  </w:r>
                </w:p>
              </w:tc>
              <w:tc>
                <w:tcPr>
                  <w:tcW w:w="0" w:type="auto"/>
                  <w:shd w:val="clear" w:color="auto" w:fill="auto"/>
                </w:tcPr>
                <w:p w:rsidR="00996088" w:rsidRPr="000214AE" w:rsidRDefault="00996088" w:rsidP="00726163">
                  <w:pPr>
                    <w:pStyle w:val="Tabletext"/>
                  </w:pPr>
                  <w:r w:rsidRPr="000214AE">
                    <w:t>ITU-T G.8032/Y.1344</w:t>
                  </w:r>
                </w:p>
              </w:tc>
              <w:tc>
                <w:tcPr>
                  <w:tcW w:w="0" w:type="auto"/>
                  <w:shd w:val="clear" w:color="auto" w:fill="auto"/>
                </w:tcPr>
                <w:p w:rsidR="00996088" w:rsidRPr="000214AE" w:rsidRDefault="00996088" w:rsidP="00726163">
                  <w:pPr>
                    <w:pStyle w:val="Tabletext"/>
                    <w:jc w:val="center"/>
                  </w:pPr>
                  <w:r w:rsidRPr="000214AE">
                    <w:t>2010-03-09</w:t>
                  </w:r>
                </w:p>
              </w:tc>
              <w:tc>
                <w:tcPr>
                  <w:tcW w:w="0" w:type="auto"/>
                  <w:shd w:val="clear" w:color="auto" w:fill="auto"/>
                </w:tcPr>
                <w:p w:rsidR="00996088" w:rsidRPr="000214AE" w:rsidRDefault="00996088" w:rsidP="00726163">
                  <w:pPr>
                    <w:pStyle w:val="Tabletext"/>
                    <w:jc w:val="center"/>
                  </w:pPr>
                  <w:r w:rsidRPr="000214AE">
                    <w:t>15</w:t>
                  </w:r>
                </w:p>
              </w:tc>
              <w:tc>
                <w:tcPr>
                  <w:tcW w:w="0" w:type="auto"/>
                  <w:shd w:val="clear" w:color="auto" w:fill="auto"/>
                </w:tcPr>
                <w:p w:rsidR="00996088" w:rsidRPr="000214AE" w:rsidRDefault="00996088" w:rsidP="00726163">
                  <w:pPr>
                    <w:pStyle w:val="Tabletext"/>
                  </w:pPr>
                </w:p>
              </w:tc>
            </w:tr>
            <w:tr w:rsidR="00996088" w:rsidRPr="000214AE" w:rsidTr="00996088">
              <w:tc>
                <w:tcPr>
                  <w:tcW w:w="0" w:type="auto"/>
                  <w:shd w:val="clear" w:color="auto" w:fill="auto"/>
                </w:tcPr>
                <w:p w:rsidR="00996088" w:rsidRPr="000214AE" w:rsidRDefault="00996088" w:rsidP="00726163">
                  <w:pPr>
                    <w:pStyle w:val="Tabletext"/>
                    <w:jc w:val="center"/>
                  </w:pPr>
                  <w:r w:rsidRPr="000214AE">
                    <w:t>2.1</w:t>
                  </w:r>
                </w:p>
              </w:tc>
              <w:tc>
                <w:tcPr>
                  <w:tcW w:w="0" w:type="auto"/>
                  <w:shd w:val="clear" w:color="auto" w:fill="auto"/>
                </w:tcPr>
                <w:p w:rsidR="00996088" w:rsidRPr="000214AE" w:rsidRDefault="00996088" w:rsidP="00726163">
                  <w:pPr>
                    <w:pStyle w:val="Tabletext"/>
                  </w:pPr>
                  <w:r w:rsidRPr="00336F8B">
                    <w:rPr>
                      <w:lang w:val="fr-CH"/>
                    </w:rPr>
                    <w:tab/>
                    <w:t xml:space="preserve">ITU-T G.8032/Y.1344 (2010) Amend. </w:t>
                  </w:r>
                  <w:r w:rsidRPr="000214AE">
                    <w:t>1</w:t>
                  </w:r>
                </w:p>
              </w:tc>
              <w:tc>
                <w:tcPr>
                  <w:tcW w:w="0" w:type="auto"/>
                  <w:shd w:val="clear" w:color="auto" w:fill="auto"/>
                </w:tcPr>
                <w:p w:rsidR="00996088" w:rsidRPr="000214AE" w:rsidRDefault="00996088" w:rsidP="00726163">
                  <w:pPr>
                    <w:pStyle w:val="Tabletext"/>
                    <w:jc w:val="center"/>
                  </w:pPr>
                  <w:r w:rsidRPr="000214AE">
                    <w:t>2010-06-11</w:t>
                  </w:r>
                </w:p>
              </w:tc>
              <w:tc>
                <w:tcPr>
                  <w:tcW w:w="0" w:type="auto"/>
                  <w:shd w:val="clear" w:color="auto" w:fill="auto"/>
                </w:tcPr>
                <w:p w:rsidR="00996088" w:rsidRPr="000214AE" w:rsidRDefault="00996088" w:rsidP="00726163">
                  <w:pPr>
                    <w:pStyle w:val="Tabletext"/>
                    <w:jc w:val="center"/>
                  </w:pPr>
                  <w:r w:rsidRPr="000214AE">
                    <w:t>15</w:t>
                  </w:r>
                </w:p>
              </w:tc>
              <w:tc>
                <w:tcPr>
                  <w:tcW w:w="0" w:type="auto"/>
                  <w:shd w:val="clear" w:color="auto" w:fill="auto"/>
                </w:tcPr>
                <w:p w:rsidR="00996088" w:rsidRPr="000214AE" w:rsidRDefault="00996088" w:rsidP="00726163">
                  <w:pPr>
                    <w:pStyle w:val="Tabletext"/>
                  </w:pPr>
                </w:p>
              </w:tc>
            </w:tr>
            <w:tr w:rsidR="00996088" w:rsidRPr="000214AE" w:rsidTr="00996088">
              <w:tc>
                <w:tcPr>
                  <w:tcW w:w="0" w:type="auto"/>
                  <w:shd w:val="clear" w:color="auto" w:fill="D9D9D9"/>
                </w:tcPr>
                <w:p w:rsidR="00996088" w:rsidRPr="000214AE" w:rsidRDefault="00996088" w:rsidP="00726163">
                  <w:pPr>
                    <w:pStyle w:val="Tabletext"/>
                    <w:jc w:val="center"/>
                  </w:pPr>
                  <w:r w:rsidRPr="000214AE">
                    <w:t>2.2</w:t>
                  </w:r>
                </w:p>
              </w:tc>
              <w:tc>
                <w:tcPr>
                  <w:tcW w:w="0" w:type="auto"/>
                  <w:shd w:val="clear" w:color="auto" w:fill="D9D9D9"/>
                </w:tcPr>
                <w:p w:rsidR="00996088" w:rsidRPr="000214AE" w:rsidRDefault="00996088" w:rsidP="00726163">
                  <w:pPr>
                    <w:pStyle w:val="Tabletext"/>
                  </w:pPr>
                  <w:r w:rsidRPr="000214AE">
                    <w:tab/>
                    <w:t>ITU-T G.8032/Y.1344 (2010) Cor. 1</w:t>
                  </w:r>
                </w:p>
              </w:tc>
              <w:tc>
                <w:tcPr>
                  <w:tcW w:w="0" w:type="auto"/>
                  <w:shd w:val="clear" w:color="auto" w:fill="D9D9D9"/>
                </w:tcPr>
                <w:p w:rsidR="00996088" w:rsidRPr="000214AE" w:rsidRDefault="00996088" w:rsidP="00726163">
                  <w:pPr>
                    <w:pStyle w:val="Tabletext"/>
                    <w:jc w:val="center"/>
                  </w:pPr>
                  <w:r w:rsidRPr="000214AE">
                    <w:t>2010-10-07</w:t>
                  </w:r>
                </w:p>
              </w:tc>
              <w:tc>
                <w:tcPr>
                  <w:tcW w:w="0" w:type="auto"/>
                  <w:shd w:val="clear" w:color="auto" w:fill="D9D9D9"/>
                </w:tcPr>
                <w:p w:rsidR="00996088" w:rsidRPr="000214AE" w:rsidRDefault="00996088" w:rsidP="00726163">
                  <w:pPr>
                    <w:pStyle w:val="Tabletext"/>
                    <w:jc w:val="center"/>
                  </w:pPr>
                  <w:r w:rsidRPr="000214AE">
                    <w:t>15</w:t>
                  </w:r>
                </w:p>
              </w:tc>
              <w:tc>
                <w:tcPr>
                  <w:tcW w:w="0" w:type="auto"/>
                  <w:shd w:val="clear" w:color="auto" w:fill="D9D9D9"/>
                </w:tcPr>
                <w:p w:rsidR="00996088" w:rsidRPr="000214AE" w:rsidRDefault="00996088" w:rsidP="00726163">
                  <w:pPr>
                    <w:pStyle w:val="Tabletext"/>
                  </w:pPr>
                </w:p>
              </w:tc>
            </w:tr>
          </w:tbl>
          <w:p w:rsidR="00923C60" w:rsidRPr="000214AE" w:rsidRDefault="00923C60" w:rsidP="00923C60">
            <w:pPr>
              <w:pStyle w:val="Headingb"/>
              <w:spacing w:after="120"/>
            </w:pPr>
          </w:p>
        </w:tc>
      </w:tr>
    </w:tbl>
    <w:p w:rsidR="00B46FF3" w:rsidRPr="000214AE" w:rsidRDefault="00B46FF3"/>
    <w:p w:rsidR="00B46FF3" w:rsidRPr="000214AE" w:rsidRDefault="00B46FF3"/>
    <w:tbl>
      <w:tblPr>
        <w:tblW w:w="0" w:type="auto"/>
        <w:tblLayout w:type="fixed"/>
        <w:tblLook w:val="0000" w:firstRow="0" w:lastRow="0" w:firstColumn="0" w:lastColumn="0" w:noHBand="0" w:noVBand="0"/>
      </w:tblPr>
      <w:tblGrid>
        <w:gridCol w:w="9945"/>
      </w:tblGrid>
      <w:tr w:rsidR="00B46FF3" w:rsidRPr="000214AE">
        <w:tc>
          <w:tcPr>
            <w:tcW w:w="9945" w:type="dxa"/>
          </w:tcPr>
          <w:p w:rsidR="00B46FF3" w:rsidRPr="000214AE" w:rsidRDefault="00B46FF3">
            <w:pPr>
              <w:rPr>
                <w:bCs/>
              </w:rPr>
            </w:pPr>
          </w:p>
        </w:tc>
      </w:tr>
    </w:tbl>
    <w:p w:rsidR="00B46FF3" w:rsidRPr="000214AE" w:rsidRDefault="00B46FF3"/>
    <w:p w:rsidR="00B46FF3" w:rsidRPr="000214AE" w:rsidRDefault="00B46FF3">
      <w:pPr>
        <w:sectPr w:rsidR="00B46FF3" w:rsidRPr="000214AE">
          <w:headerReference w:type="even" r:id="rId13"/>
          <w:headerReference w:type="default" r:id="rId14"/>
          <w:footerReference w:type="even" r:id="rId15"/>
          <w:footerReference w:type="default" r:id="rId16"/>
          <w:headerReference w:type="first" r:id="rId17"/>
          <w:footerReference w:type="first" r:id="rId18"/>
          <w:pgSz w:w="11907" w:h="16840" w:code="9"/>
          <w:pgMar w:top="1089" w:right="1089" w:bottom="1089" w:left="1089" w:header="482" w:footer="482" w:gutter="0"/>
          <w:pgNumType w:fmt="lowerRoman" w:start="1"/>
          <w:cols w:space="720"/>
          <w:vAlign w:val="both"/>
        </w:sectPr>
      </w:pPr>
    </w:p>
    <w:p w:rsidR="00B46FF3" w:rsidRPr="000214AE" w:rsidRDefault="00B46FF3">
      <w:pPr>
        <w:spacing w:before="480"/>
        <w:jc w:val="center"/>
        <w:rPr>
          <w:sz w:val="22"/>
        </w:rPr>
      </w:pPr>
      <w:r w:rsidRPr="000214AE">
        <w:rPr>
          <w:sz w:val="22"/>
        </w:rPr>
        <w:t>FOREWORD</w:t>
      </w:r>
    </w:p>
    <w:p w:rsidR="00B46FF3" w:rsidRPr="000214AE" w:rsidRDefault="00B46FF3" w:rsidP="00B46FF3">
      <w:pPr>
        <w:rPr>
          <w:sz w:val="22"/>
        </w:rPr>
      </w:pPr>
      <w:r w:rsidRPr="000214AE">
        <w:rPr>
          <w:sz w:val="22"/>
        </w:rPr>
        <w:t>The International Telecommunication Union (ITU) is the United Nations specialized agency in the field of tele</w:t>
      </w:r>
      <w:r w:rsidRPr="000214AE">
        <w:rPr>
          <w:sz w:val="22"/>
        </w:rPr>
        <w:softHyphen/>
        <w:t>com</w:t>
      </w:r>
      <w:r w:rsidRPr="000214AE">
        <w:rPr>
          <w:sz w:val="22"/>
        </w:rPr>
        <w:softHyphen/>
        <w:t>mu</w:t>
      </w:r>
      <w:r w:rsidRPr="000214AE">
        <w:rPr>
          <w:sz w:val="22"/>
        </w:rPr>
        <w:softHyphen/>
        <w:t>ni</w:t>
      </w:r>
      <w:r w:rsidRPr="000214AE">
        <w:rPr>
          <w:sz w:val="22"/>
        </w:rPr>
        <w:softHyphen/>
        <w:t>ca</w:t>
      </w:r>
      <w:r w:rsidRPr="000214AE">
        <w:rPr>
          <w:sz w:val="22"/>
        </w:rPr>
        <w:softHyphen/>
        <w:t>tions</w:t>
      </w:r>
      <w:r w:rsidRPr="000214AE">
        <w:rPr>
          <w:sz w:val="22"/>
          <w:szCs w:val="22"/>
        </w:rPr>
        <w:t>, information and communication technologies (ICTs).</w:t>
      </w:r>
      <w:r w:rsidRPr="000214AE">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B46FF3" w:rsidRPr="000214AE" w:rsidRDefault="00B46FF3">
      <w:pPr>
        <w:rPr>
          <w:sz w:val="22"/>
        </w:rPr>
      </w:pPr>
      <w:r w:rsidRPr="000214AE">
        <w:rPr>
          <w:sz w:val="22"/>
        </w:rPr>
        <w:t xml:space="preserve">The </w:t>
      </w:r>
      <w:bookmarkStart w:id="14" w:name="iitexte"/>
      <w:r w:rsidRPr="000214AE">
        <w:rPr>
          <w:sz w:val="22"/>
        </w:rPr>
        <w:t>World Telecommunication Standardization Assembly (WTSA), which meets every four years, establishes the topics for study by the ITU</w:t>
      </w:r>
      <w:r w:rsidRPr="000214AE">
        <w:rPr>
          <w:sz w:val="22"/>
        </w:rPr>
        <w:noBreakHyphen/>
        <w:t>T study groups which, in turn, produce Recommendations on these topics.</w:t>
      </w:r>
    </w:p>
    <w:p w:rsidR="00B46FF3" w:rsidRPr="000214AE" w:rsidRDefault="00B46FF3">
      <w:pPr>
        <w:rPr>
          <w:sz w:val="22"/>
        </w:rPr>
      </w:pPr>
      <w:r w:rsidRPr="000214AE">
        <w:rPr>
          <w:sz w:val="22"/>
        </w:rPr>
        <w:t>The approval of ITU-T Recommendations is covered by the procedure laid down in WTSA Resolution 1</w:t>
      </w:r>
      <w:bookmarkEnd w:id="14"/>
      <w:r w:rsidRPr="000214AE">
        <w:rPr>
          <w:sz w:val="22"/>
        </w:rPr>
        <w:t>.</w:t>
      </w:r>
    </w:p>
    <w:p w:rsidR="00B46FF3" w:rsidRPr="000214AE" w:rsidRDefault="00B46FF3">
      <w:pPr>
        <w:rPr>
          <w:sz w:val="22"/>
        </w:rPr>
      </w:pPr>
      <w:r w:rsidRPr="000214AE">
        <w:rPr>
          <w:sz w:val="22"/>
        </w:rPr>
        <w:t>In some areas of information technology which fall within ITU-T's purview, the necessary standards are prepared on a collaborative basis with ISO and IEC.</w:t>
      </w: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r w:rsidRPr="000214AE">
        <w:rPr>
          <w:sz w:val="22"/>
        </w:rPr>
        <w:t>NOTE</w:t>
      </w:r>
    </w:p>
    <w:p w:rsidR="00B46FF3" w:rsidRPr="000214AE" w:rsidRDefault="00B46FF3">
      <w:pPr>
        <w:spacing w:before="180"/>
        <w:rPr>
          <w:sz w:val="22"/>
        </w:rPr>
      </w:pPr>
      <w:r w:rsidRPr="000214AE">
        <w:rPr>
          <w:sz w:val="22"/>
        </w:rPr>
        <w:t xml:space="preserve">In </w:t>
      </w:r>
      <w:bookmarkStart w:id="15" w:name="iitextea"/>
      <w:r w:rsidRPr="000214AE">
        <w:rPr>
          <w:sz w:val="22"/>
        </w:rPr>
        <w:t>this Recommendation, the expression "Administration" is used for conciseness to indicate both a telecommunication administration and a recognized operating agency.</w:t>
      </w:r>
    </w:p>
    <w:p w:rsidR="00B46FF3" w:rsidRPr="000214AE" w:rsidRDefault="00B46FF3">
      <w:pPr>
        <w:spacing w:before="180"/>
        <w:rPr>
          <w:sz w:val="22"/>
        </w:rPr>
      </w:pPr>
      <w:r w:rsidRPr="000214AE">
        <w:rPr>
          <w:sz w:val="22"/>
        </w:rPr>
        <w:t>Compliance with this Recommendation is voluntary. However, the Recommendation may contain certain mandatory provisions (to ensure</w:t>
      </w:r>
      <w:r w:rsidR="00DD742A" w:rsidRPr="000214AE">
        <w:rPr>
          <w:sz w:val="22"/>
        </w:rPr>
        <w:t>,</w:t>
      </w:r>
      <w:r w:rsidRPr="000214AE">
        <w:rPr>
          <w:sz w:val="22"/>
        </w:rPr>
        <w:t xml:space="preserve"> e.g.</w:t>
      </w:r>
      <w:r w:rsidR="00DD742A" w:rsidRPr="000214AE">
        <w:rPr>
          <w:sz w:val="22"/>
        </w:rPr>
        <w:t>,</w:t>
      </w:r>
      <w:r w:rsidRPr="000214AE">
        <w:rPr>
          <w:sz w:val="22"/>
        </w:rPr>
        <w:t xml:space="preserve"> interoperability or applicability) and compliance with the Recommendation is achieved when all of these mandatory provisions are met.</w:t>
      </w:r>
      <w:r w:rsidR="00D86930" w:rsidRPr="000214AE">
        <w:rPr>
          <w:sz w:val="22"/>
        </w:rPr>
        <w:t xml:space="preserve"> </w:t>
      </w:r>
      <w:r w:rsidRPr="000214AE">
        <w:rPr>
          <w:sz w:val="22"/>
        </w:rPr>
        <w:t>The words "shall" or some other obligatory language such as "must" and the negative equivalents are used to express requirements. The use of such words does not suggest that compliance with the Recommendation is required of any party</w:t>
      </w:r>
      <w:bookmarkEnd w:id="15"/>
      <w:r w:rsidRPr="000214AE">
        <w:rPr>
          <w:sz w:val="22"/>
        </w:rPr>
        <w:t>.</w:t>
      </w: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rFonts w:ascii="Symbol" w:hAnsi="Symbol"/>
          <w:sz w:val="22"/>
        </w:rPr>
      </w:pPr>
      <w:r w:rsidRPr="000214AE">
        <w:rPr>
          <w:sz w:val="22"/>
        </w:rPr>
        <w:t>INTELLECTUAL PROPERTY RIGHTS</w:t>
      </w:r>
    </w:p>
    <w:p w:rsidR="00B46FF3" w:rsidRPr="000214AE" w:rsidRDefault="00B46FF3">
      <w:pPr>
        <w:rPr>
          <w:sz w:val="22"/>
        </w:rPr>
      </w:pPr>
      <w:r w:rsidRPr="000214AE">
        <w:rPr>
          <w:sz w:val="22"/>
        </w:rPr>
        <w:t xml:space="preserve">ITU </w:t>
      </w:r>
      <w:bookmarkStart w:id="16" w:name="iitexteb"/>
      <w:r w:rsidRPr="000214AE">
        <w:rPr>
          <w:sz w:val="22"/>
        </w:rPr>
        <w:t>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rsidR="00B46FF3" w:rsidRPr="000214AE" w:rsidRDefault="00B46FF3" w:rsidP="004747DC">
      <w:pPr>
        <w:rPr>
          <w:sz w:val="22"/>
        </w:rPr>
      </w:pPr>
      <w:r w:rsidRPr="000214AE">
        <w:rPr>
          <w:sz w:val="22"/>
        </w:rPr>
        <w:t>As of the date of approval of this Recommendation, ITU had received notice of intellectual property, protected by patents, which may be required to implement this Recommendation. However, implementers are cautioned that this may not represent the latest information and are therefore strongly urged to consult the TSB patent database</w:t>
      </w:r>
      <w:bookmarkEnd w:id="16"/>
      <w:r w:rsidRPr="000214AE">
        <w:rPr>
          <w:sz w:val="22"/>
        </w:rPr>
        <w:t xml:space="preserve"> at </w:t>
      </w:r>
      <w:hyperlink r:id="rId19" w:history="1">
        <w:r w:rsidRPr="000214AE">
          <w:rPr>
            <w:rStyle w:val="Hyperlink"/>
            <w:rFonts w:eastAsia="SimSun"/>
            <w:sz w:val="22"/>
            <w:szCs w:val="22"/>
            <w:lang w:eastAsia="zh-CN"/>
          </w:rPr>
          <w:t>http://www.itu.int/ITU-T/ipr/</w:t>
        </w:r>
      </w:hyperlink>
      <w:r w:rsidRPr="000214AE">
        <w:rPr>
          <w:sz w:val="22"/>
        </w:rPr>
        <w:t>.</w:t>
      </w: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p>
    <w:p w:rsidR="00B46FF3" w:rsidRPr="000214AE" w:rsidRDefault="00B46FF3">
      <w:pPr>
        <w:jc w:val="center"/>
        <w:rPr>
          <w:sz w:val="22"/>
        </w:rPr>
      </w:pPr>
      <w:r w:rsidRPr="000214AE">
        <w:rPr>
          <w:sz w:val="22"/>
        </w:rPr>
        <w:sym w:font="Symbol" w:char="F0E3"/>
      </w:r>
      <w:r w:rsidRPr="000214AE">
        <w:rPr>
          <w:sz w:val="22"/>
        </w:rPr>
        <w:t>  ITU  </w:t>
      </w:r>
      <w:bookmarkStart w:id="17" w:name="iiannee"/>
      <w:bookmarkEnd w:id="17"/>
      <w:r w:rsidR="00996088" w:rsidRPr="000214AE">
        <w:rPr>
          <w:sz w:val="22"/>
        </w:rPr>
        <w:t>2011</w:t>
      </w:r>
    </w:p>
    <w:p w:rsidR="00B46FF3" w:rsidRPr="000214AE" w:rsidRDefault="00B46FF3">
      <w:pPr>
        <w:rPr>
          <w:sz w:val="22"/>
        </w:rPr>
      </w:pPr>
      <w:r w:rsidRPr="000214AE">
        <w:rPr>
          <w:sz w:val="22"/>
        </w:rPr>
        <w:t>All rights reserved. No part of this publication may be reproduced, by any means whatsoever, without the prior written permission of ITU.</w:t>
      </w:r>
    </w:p>
    <w:p w:rsidR="00B46FF3" w:rsidRPr="00E13CBD" w:rsidRDefault="00B46FF3">
      <w:pPr>
        <w:jc w:val="center"/>
        <w:rPr>
          <w:b/>
          <w:lang w:val="en-US"/>
        </w:rPr>
      </w:pPr>
      <w:r w:rsidRPr="003825B9">
        <w:rPr>
          <w:b/>
          <w:lang w:val="en-US"/>
        </w:rPr>
        <w:br w:type="page"/>
      </w:r>
      <w:r w:rsidRPr="00E13CBD">
        <w:rPr>
          <w:b/>
          <w:lang w:val="en-US"/>
        </w:rPr>
        <w:t>CONTENTS</w:t>
      </w:r>
    </w:p>
    <w:p w:rsidR="003825B9" w:rsidRPr="00E13CBD" w:rsidRDefault="003825B9" w:rsidP="003825B9">
      <w:pPr>
        <w:pStyle w:val="toc0"/>
        <w:ind w:right="992"/>
        <w:rPr>
          <w:noProof/>
          <w:lang w:val="en-US"/>
        </w:rPr>
      </w:pPr>
      <w:r w:rsidRPr="00E13CBD">
        <w:rPr>
          <w:lang w:val="en-US"/>
        </w:rPr>
        <w:tab/>
        <w:t>Page</w:t>
      </w:r>
    </w:p>
    <w:p w:rsidR="003825B9" w:rsidRDefault="003825B9" w:rsidP="003825B9">
      <w:pPr>
        <w:pStyle w:val="TOC1"/>
        <w:ind w:right="992"/>
        <w:rPr>
          <w:rFonts w:asciiTheme="minorHAnsi" w:eastAsiaTheme="minorEastAsia" w:hAnsiTheme="minorHAnsi" w:cstheme="minorBidi"/>
          <w:noProof/>
          <w:sz w:val="22"/>
          <w:szCs w:val="22"/>
          <w:lang w:val="en-US" w:eastAsia="zh-CN"/>
        </w:rPr>
      </w:pPr>
      <w:r>
        <w:rPr>
          <w:noProof/>
        </w:rPr>
        <w:t>1)</w:t>
      </w:r>
      <w:r>
        <w:rPr>
          <w:rFonts w:asciiTheme="minorHAnsi" w:eastAsiaTheme="minorEastAsia" w:hAnsiTheme="minorHAnsi" w:cstheme="minorBidi"/>
          <w:noProof/>
          <w:sz w:val="22"/>
          <w:szCs w:val="22"/>
          <w:lang w:val="en-US" w:eastAsia="zh-CN"/>
        </w:rPr>
        <w:tab/>
      </w:r>
      <w:r w:rsidRPr="003825B9">
        <w:rPr>
          <w:noProof/>
        </w:rPr>
        <w:t>Scope</w:t>
      </w:r>
      <w:r>
        <w:rPr>
          <w:noProof/>
        </w:rPr>
        <w:tab/>
      </w:r>
      <w:r>
        <w:rPr>
          <w:noProof/>
        </w:rPr>
        <w:tab/>
      </w:r>
      <w:r w:rsidRPr="003825B9">
        <w:rPr>
          <w:noProof/>
        </w:rPr>
        <w:t>1</w:t>
      </w:r>
    </w:p>
    <w:p w:rsidR="003825B9" w:rsidRDefault="003825B9" w:rsidP="003825B9">
      <w:pPr>
        <w:pStyle w:val="TOC1"/>
        <w:ind w:right="992"/>
        <w:rPr>
          <w:rFonts w:asciiTheme="minorHAnsi" w:eastAsiaTheme="minorEastAsia" w:hAnsiTheme="minorHAnsi" w:cstheme="minorBidi"/>
          <w:noProof/>
          <w:sz w:val="22"/>
          <w:szCs w:val="22"/>
          <w:lang w:val="en-US" w:eastAsia="zh-CN"/>
        </w:rPr>
      </w:pPr>
      <w:r>
        <w:rPr>
          <w:noProof/>
        </w:rPr>
        <w:t>2)</w:t>
      </w:r>
      <w:r>
        <w:rPr>
          <w:rFonts w:asciiTheme="minorHAnsi" w:eastAsiaTheme="minorEastAsia" w:hAnsiTheme="minorHAnsi" w:cstheme="minorBidi"/>
          <w:noProof/>
          <w:sz w:val="22"/>
          <w:szCs w:val="22"/>
          <w:lang w:val="en-US" w:eastAsia="zh-CN"/>
        </w:rPr>
        <w:tab/>
      </w:r>
      <w:r>
        <w:rPr>
          <w:noProof/>
        </w:rPr>
        <w:t>Changes to G.8</w:t>
      </w:r>
      <w:r>
        <w:rPr>
          <w:noProof/>
          <w:lang w:eastAsia="ja-JP"/>
        </w:rPr>
        <w:t>0</w:t>
      </w:r>
      <w:r>
        <w:rPr>
          <w:noProof/>
        </w:rPr>
        <w:t>3</w:t>
      </w:r>
      <w:r>
        <w:rPr>
          <w:noProof/>
          <w:lang w:eastAsia="ja-JP"/>
        </w:rPr>
        <w:t>2/Y.</w:t>
      </w:r>
      <w:r w:rsidRPr="003825B9">
        <w:rPr>
          <w:noProof/>
          <w:lang w:eastAsia="ja-JP"/>
        </w:rPr>
        <w:t>1344</w:t>
      </w:r>
      <w:r>
        <w:rPr>
          <w:noProof/>
          <w:lang w:eastAsia="ja-JP"/>
        </w:rPr>
        <w:tab/>
      </w:r>
      <w:r>
        <w:rPr>
          <w:noProof/>
          <w:lang w:eastAsia="ja-JP"/>
        </w:rPr>
        <w:tab/>
      </w:r>
      <w:r w:rsidRPr="003825B9">
        <w:rPr>
          <w:noProof/>
        </w:rPr>
        <w:t>1</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ja-JP"/>
        </w:rPr>
        <w:t>2.1)</w:t>
      </w:r>
      <w:r>
        <w:rPr>
          <w:rFonts w:asciiTheme="minorHAnsi" w:eastAsiaTheme="minorEastAsia" w:hAnsiTheme="minorHAnsi" w:cstheme="minorBidi"/>
          <w:noProof/>
          <w:sz w:val="22"/>
          <w:szCs w:val="22"/>
          <w:lang w:val="en-US" w:eastAsia="zh-CN"/>
        </w:rPr>
        <w:tab/>
      </w:r>
      <w:r>
        <w:rPr>
          <w:noProof/>
          <w:lang w:eastAsia="ja-JP"/>
        </w:rPr>
        <w:t xml:space="preserve">Corrections to all clauses and </w:t>
      </w:r>
      <w:r w:rsidRPr="003825B9">
        <w:rPr>
          <w:noProof/>
          <w:lang w:eastAsia="ja-JP"/>
        </w:rPr>
        <w:t>subclauses</w:t>
      </w:r>
      <w:r>
        <w:rPr>
          <w:noProof/>
          <w:lang w:eastAsia="ja-JP"/>
        </w:rPr>
        <w:tab/>
      </w:r>
      <w:r>
        <w:rPr>
          <w:noProof/>
          <w:lang w:eastAsia="ja-JP"/>
        </w:rPr>
        <w:tab/>
      </w:r>
      <w:r w:rsidRPr="003825B9">
        <w:rPr>
          <w:noProof/>
        </w:rPr>
        <w:t>1</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2.2)</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clause 8, Ring protection conditions and </w:t>
      </w:r>
      <w:r w:rsidRPr="003825B9">
        <w:rPr>
          <w:noProof/>
          <w:lang w:eastAsia="ja-JP"/>
        </w:rPr>
        <w:t>commands</w:t>
      </w:r>
      <w:r>
        <w:rPr>
          <w:noProof/>
          <w:lang w:eastAsia="ja-JP"/>
        </w:rPr>
        <w:tab/>
      </w:r>
      <w:r>
        <w:rPr>
          <w:noProof/>
          <w:lang w:eastAsia="ja-JP"/>
        </w:rPr>
        <w:tab/>
      </w:r>
      <w:r w:rsidRPr="003825B9">
        <w:rPr>
          <w:noProof/>
        </w:rPr>
        <w:t>1</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2.3)</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sub</w:t>
      </w:r>
      <w:r w:rsidRPr="008641C8">
        <w:rPr>
          <w:bCs/>
          <w:noProof/>
          <w:lang w:eastAsia="ja-JP"/>
        </w:rPr>
        <w:t xml:space="preserve">clause 9.7.2, </w:t>
      </w:r>
      <w:r>
        <w:rPr>
          <w:noProof/>
          <w:lang w:eastAsia="ja-JP"/>
        </w:rPr>
        <w:t>Ring interconnection model without R</w:t>
      </w:r>
      <w:r>
        <w:rPr>
          <w:noProof/>
          <w:lang w:eastAsia="ja-JP"/>
        </w:rPr>
        <w:noBreakHyphen/>
        <w:t xml:space="preserve">APS virtual </w:t>
      </w:r>
      <w:r w:rsidRPr="003825B9">
        <w:rPr>
          <w:noProof/>
          <w:lang w:eastAsia="ja-JP"/>
        </w:rPr>
        <w:t>channel</w:t>
      </w:r>
      <w:r>
        <w:rPr>
          <w:noProof/>
          <w:lang w:eastAsia="ja-JP"/>
        </w:rPr>
        <w:tab/>
      </w:r>
      <w:r>
        <w:rPr>
          <w:noProof/>
          <w:lang w:eastAsia="ja-JP"/>
        </w:rPr>
        <w:tab/>
      </w:r>
      <w:r w:rsidRPr="003825B9">
        <w:rPr>
          <w:noProof/>
        </w:rPr>
        <w:t>2</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2.4</w:t>
      </w:r>
      <w:r>
        <w:rPr>
          <w:rFonts w:asciiTheme="minorHAnsi" w:eastAsiaTheme="minorEastAsia" w:hAnsiTheme="minorHAnsi" w:cstheme="minorBidi"/>
          <w:noProof/>
          <w:sz w:val="22"/>
          <w:szCs w:val="22"/>
          <w:lang w:val="en-US" w:eastAsia="zh-CN"/>
        </w:rPr>
        <w:tab/>
      </w:r>
      <w:r>
        <w:rPr>
          <w:noProof/>
          <w:lang w:eastAsia="zh-CN"/>
        </w:rPr>
        <w:t xml:space="preserve">Corrections to </w:t>
      </w:r>
      <w:r w:rsidRPr="008641C8">
        <w:rPr>
          <w:bCs/>
          <w:noProof/>
          <w:lang w:eastAsia="ja-JP"/>
        </w:rPr>
        <w:t xml:space="preserve">clause 10.1, </w:t>
      </w:r>
      <w:r>
        <w:rPr>
          <w:noProof/>
          <w:lang w:eastAsia="ja-JP"/>
        </w:rPr>
        <w:t xml:space="preserve">Principles of </w:t>
      </w:r>
      <w:r w:rsidRPr="003825B9">
        <w:rPr>
          <w:noProof/>
          <w:lang w:eastAsia="ja-JP"/>
        </w:rPr>
        <w:t>operations</w:t>
      </w:r>
      <w:r>
        <w:rPr>
          <w:noProof/>
          <w:lang w:eastAsia="ja-JP"/>
        </w:rPr>
        <w:tab/>
      </w:r>
      <w:r>
        <w:rPr>
          <w:noProof/>
          <w:lang w:eastAsia="ja-JP"/>
        </w:rPr>
        <w:tab/>
      </w:r>
      <w:r w:rsidRPr="003825B9">
        <w:rPr>
          <w:noProof/>
        </w:rPr>
        <w:t>2</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2.5)</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subclause </w:t>
      </w:r>
      <w:r>
        <w:rPr>
          <w:noProof/>
        </w:rPr>
        <w:t>10.1.</w:t>
      </w:r>
      <w:r>
        <w:rPr>
          <w:noProof/>
          <w:lang w:eastAsia="ja-JP"/>
        </w:rPr>
        <w:t xml:space="preserve">4, Delay </w:t>
      </w:r>
      <w:r w:rsidRPr="003825B9">
        <w:rPr>
          <w:noProof/>
          <w:lang w:eastAsia="ja-JP"/>
        </w:rPr>
        <w:t>timers</w:t>
      </w:r>
      <w:r>
        <w:rPr>
          <w:noProof/>
          <w:lang w:eastAsia="ja-JP"/>
        </w:rPr>
        <w:tab/>
      </w:r>
      <w:r>
        <w:rPr>
          <w:noProof/>
          <w:lang w:eastAsia="ja-JP"/>
        </w:rPr>
        <w:tab/>
      </w:r>
      <w:r w:rsidRPr="003825B9">
        <w:rPr>
          <w:noProof/>
        </w:rPr>
        <w:t>3</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2.6)</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subclause </w:t>
      </w:r>
      <w:r>
        <w:rPr>
          <w:noProof/>
        </w:rPr>
        <w:t>10.1.5,</w:t>
      </w:r>
      <w:r>
        <w:rPr>
          <w:noProof/>
          <w:lang w:eastAsia="ja-JP"/>
        </w:rPr>
        <w:t xml:space="preserve"> Guard </w:t>
      </w:r>
      <w:r w:rsidRPr="003825B9">
        <w:rPr>
          <w:noProof/>
          <w:lang w:eastAsia="ja-JP"/>
        </w:rPr>
        <w:t>timer</w:t>
      </w:r>
      <w:r>
        <w:rPr>
          <w:noProof/>
          <w:lang w:eastAsia="ja-JP"/>
        </w:rPr>
        <w:tab/>
      </w:r>
      <w:r>
        <w:rPr>
          <w:noProof/>
          <w:lang w:eastAsia="ja-JP"/>
        </w:rPr>
        <w:tab/>
      </w:r>
      <w:r w:rsidRPr="003825B9">
        <w:rPr>
          <w:noProof/>
        </w:rPr>
        <w:t>3</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2.7)</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subclause </w:t>
      </w:r>
      <w:r>
        <w:rPr>
          <w:noProof/>
        </w:rPr>
        <w:t>10.1.</w:t>
      </w:r>
      <w:r>
        <w:rPr>
          <w:noProof/>
          <w:lang w:eastAsia="ja-JP"/>
        </w:rPr>
        <w:t xml:space="preserve">8, Holdoff </w:t>
      </w:r>
      <w:r w:rsidRPr="003825B9">
        <w:rPr>
          <w:noProof/>
          <w:lang w:eastAsia="ja-JP"/>
        </w:rPr>
        <w:t>timer</w:t>
      </w:r>
      <w:r>
        <w:rPr>
          <w:noProof/>
          <w:lang w:eastAsia="ja-JP"/>
        </w:rPr>
        <w:tab/>
      </w:r>
      <w:r>
        <w:rPr>
          <w:noProof/>
          <w:lang w:eastAsia="ja-JP"/>
        </w:rPr>
        <w:tab/>
      </w:r>
      <w:r w:rsidRPr="003825B9">
        <w:rPr>
          <w:noProof/>
        </w:rPr>
        <w:t>4</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2.8)</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subclause </w:t>
      </w:r>
      <w:r>
        <w:rPr>
          <w:noProof/>
        </w:rPr>
        <w:t>10.1.</w:t>
      </w:r>
      <w:r>
        <w:rPr>
          <w:noProof/>
          <w:lang w:eastAsia="ja-JP"/>
        </w:rPr>
        <w:t xml:space="preserve">9, Local priority </w:t>
      </w:r>
      <w:r w:rsidRPr="003825B9">
        <w:rPr>
          <w:noProof/>
          <w:lang w:eastAsia="ja-JP"/>
        </w:rPr>
        <w:t>logic</w:t>
      </w:r>
      <w:r>
        <w:rPr>
          <w:noProof/>
          <w:lang w:eastAsia="ja-JP"/>
        </w:rPr>
        <w:tab/>
      </w:r>
      <w:r>
        <w:rPr>
          <w:noProof/>
          <w:lang w:eastAsia="ja-JP"/>
        </w:rPr>
        <w:tab/>
      </w:r>
      <w:r w:rsidRPr="003825B9">
        <w:rPr>
          <w:noProof/>
        </w:rPr>
        <w:t>4</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ja-JP"/>
        </w:rPr>
        <w:t>2.9)</w:t>
      </w:r>
      <w:r>
        <w:rPr>
          <w:rFonts w:asciiTheme="minorHAnsi" w:eastAsiaTheme="minorEastAsia" w:hAnsiTheme="minorHAnsi" w:cstheme="minorBidi"/>
          <w:noProof/>
          <w:sz w:val="22"/>
          <w:szCs w:val="22"/>
          <w:lang w:val="en-US" w:eastAsia="zh-CN"/>
        </w:rPr>
        <w:tab/>
      </w:r>
      <w:r>
        <w:rPr>
          <w:noProof/>
          <w:lang w:eastAsia="ja-JP"/>
        </w:rPr>
        <w:t xml:space="preserve">Corrections to subclause 10.1.10, Flush </w:t>
      </w:r>
      <w:r w:rsidRPr="003825B9">
        <w:rPr>
          <w:noProof/>
          <w:lang w:eastAsia="ja-JP"/>
        </w:rPr>
        <w:t>logic</w:t>
      </w:r>
      <w:r>
        <w:rPr>
          <w:noProof/>
          <w:lang w:eastAsia="ja-JP"/>
        </w:rPr>
        <w:tab/>
      </w:r>
      <w:r>
        <w:rPr>
          <w:noProof/>
          <w:lang w:eastAsia="ja-JP"/>
        </w:rPr>
        <w:tab/>
      </w:r>
      <w:r w:rsidRPr="003825B9">
        <w:rPr>
          <w:noProof/>
        </w:rPr>
        <w:t>4</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2.10)</w:t>
      </w:r>
      <w:r>
        <w:rPr>
          <w:rFonts w:asciiTheme="minorHAnsi" w:eastAsiaTheme="minorEastAsia" w:hAnsiTheme="minorHAnsi" w:cstheme="minorBidi"/>
          <w:noProof/>
          <w:sz w:val="22"/>
          <w:szCs w:val="22"/>
          <w:lang w:val="en-US" w:eastAsia="zh-CN"/>
        </w:rPr>
        <w:tab/>
      </w:r>
      <w:r>
        <w:rPr>
          <w:noProof/>
          <w:lang w:eastAsia="zh-CN"/>
        </w:rPr>
        <w:t xml:space="preserve">Corrections to </w:t>
      </w:r>
      <w:r>
        <w:rPr>
          <w:noProof/>
          <w:lang w:eastAsia="ja-JP"/>
        </w:rPr>
        <w:t xml:space="preserve">subclause </w:t>
      </w:r>
      <w:r>
        <w:rPr>
          <w:noProof/>
        </w:rPr>
        <w:t>10.1.</w:t>
      </w:r>
      <w:r>
        <w:rPr>
          <w:noProof/>
          <w:lang w:eastAsia="ja-JP"/>
        </w:rPr>
        <w:t xml:space="preserve">13, Backward compatibility </w:t>
      </w:r>
      <w:r w:rsidRPr="003825B9">
        <w:rPr>
          <w:noProof/>
          <w:lang w:eastAsia="ja-JP"/>
        </w:rPr>
        <w:t>logic</w:t>
      </w:r>
      <w:r>
        <w:rPr>
          <w:noProof/>
          <w:lang w:eastAsia="ja-JP"/>
        </w:rPr>
        <w:tab/>
      </w:r>
      <w:r>
        <w:rPr>
          <w:noProof/>
          <w:lang w:eastAsia="ja-JP"/>
        </w:rPr>
        <w:tab/>
      </w:r>
      <w:r w:rsidRPr="003825B9">
        <w:rPr>
          <w:noProof/>
        </w:rPr>
        <w:t>5</w:t>
      </w:r>
    </w:p>
    <w:p w:rsidR="003825B9" w:rsidRDefault="003825B9" w:rsidP="003825B9">
      <w:pPr>
        <w:pStyle w:val="TOC2"/>
        <w:ind w:right="992"/>
        <w:rPr>
          <w:rFonts w:asciiTheme="minorHAnsi" w:eastAsiaTheme="minorEastAsia" w:hAnsiTheme="minorHAnsi" w:cstheme="minorBidi"/>
          <w:noProof/>
          <w:sz w:val="22"/>
          <w:szCs w:val="22"/>
          <w:lang w:val="en-US" w:eastAsia="zh-CN"/>
        </w:rPr>
      </w:pPr>
      <w:r>
        <w:rPr>
          <w:noProof/>
          <w:lang w:eastAsia="zh-CN"/>
        </w:rPr>
        <w:t>2.11)</w:t>
      </w:r>
      <w:r>
        <w:rPr>
          <w:rFonts w:asciiTheme="minorHAnsi" w:eastAsiaTheme="minorEastAsia" w:hAnsiTheme="minorHAnsi" w:cstheme="minorBidi"/>
          <w:noProof/>
          <w:sz w:val="22"/>
          <w:szCs w:val="22"/>
          <w:lang w:val="en-US" w:eastAsia="zh-CN"/>
        </w:rPr>
        <w:tab/>
      </w:r>
      <w:r>
        <w:rPr>
          <w:noProof/>
          <w:lang w:eastAsia="zh-CN"/>
        </w:rPr>
        <w:t xml:space="preserve">Corrections to </w:t>
      </w:r>
      <w:r w:rsidRPr="008641C8">
        <w:rPr>
          <w:bCs/>
          <w:noProof/>
          <w:lang w:eastAsia="ja-JP"/>
        </w:rPr>
        <w:t xml:space="preserve">Appendix VIII, </w:t>
      </w:r>
      <w:r>
        <w:rPr>
          <w:noProof/>
          <w:lang w:eastAsia="ja-JP"/>
        </w:rPr>
        <w:t xml:space="preserve">Flush </w:t>
      </w:r>
      <w:r w:rsidRPr="003825B9">
        <w:rPr>
          <w:noProof/>
          <w:lang w:eastAsia="ja-JP"/>
        </w:rPr>
        <w:t>optimization</w:t>
      </w:r>
      <w:r>
        <w:rPr>
          <w:noProof/>
          <w:lang w:eastAsia="ja-JP"/>
        </w:rPr>
        <w:tab/>
      </w:r>
      <w:r>
        <w:rPr>
          <w:noProof/>
          <w:lang w:eastAsia="ja-JP"/>
        </w:rPr>
        <w:tab/>
      </w:r>
      <w:r w:rsidRPr="003825B9">
        <w:rPr>
          <w:noProof/>
        </w:rPr>
        <w:t>6</w:t>
      </w:r>
    </w:p>
    <w:p w:rsidR="003825B9" w:rsidRDefault="003825B9" w:rsidP="00336F8B"/>
    <w:p w:rsidR="00B46FF3" w:rsidRPr="000214AE" w:rsidRDefault="00B46FF3"/>
    <w:p w:rsidR="00B46FF3" w:rsidRPr="000214AE" w:rsidRDefault="00B46FF3">
      <w:pPr>
        <w:rPr>
          <w:b/>
          <w:bCs/>
        </w:rPr>
        <w:sectPr w:rsidR="00B46FF3" w:rsidRPr="000214AE">
          <w:headerReference w:type="default" r:id="rId20"/>
          <w:pgSz w:w="11907" w:h="16834"/>
          <w:pgMar w:top="1134" w:right="1134" w:bottom="1134" w:left="1134" w:header="567" w:footer="567" w:gutter="0"/>
          <w:paperSrc w:first="15" w:other="15"/>
          <w:pgNumType w:fmt="lowerRoman"/>
          <w:cols w:space="720"/>
          <w:docGrid w:linePitch="326"/>
        </w:sectPr>
      </w:pPr>
    </w:p>
    <w:p w:rsidR="00996088" w:rsidRPr="00336F8B" w:rsidRDefault="00996088" w:rsidP="00996088">
      <w:pPr>
        <w:pStyle w:val="RecNo"/>
        <w:rPr>
          <w:lang w:val="fr-CH"/>
        </w:rPr>
      </w:pPr>
      <w:bookmarkStart w:id="18" w:name="p1rectexte"/>
      <w:bookmarkEnd w:id="18"/>
      <w:r w:rsidRPr="00336F8B">
        <w:rPr>
          <w:lang w:val="fr-CH"/>
        </w:rPr>
        <w:t>Recommendation ITU-T G.8032/Y.1344</w:t>
      </w:r>
    </w:p>
    <w:p w:rsidR="00996088" w:rsidRPr="000214AE" w:rsidRDefault="00996088" w:rsidP="00996088">
      <w:pPr>
        <w:pStyle w:val="Rectitle"/>
      </w:pPr>
      <w:r w:rsidRPr="000214AE">
        <w:t>Ethernet ring protection switching</w:t>
      </w:r>
    </w:p>
    <w:p w:rsidR="00996088" w:rsidRPr="000214AE" w:rsidRDefault="00996088" w:rsidP="00996088">
      <w:pPr>
        <w:pStyle w:val="AnnexNoTitle"/>
        <w:rPr>
          <w:szCs w:val="28"/>
          <w:lang w:eastAsia="ja-JP"/>
        </w:rPr>
      </w:pPr>
      <w:bookmarkStart w:id="19" w:name="_Toc282501271"/>
      <w:bookmarkStart w:id="20" w:name="_Toc286243502"/>
      <w:r w:rsidRPr="000214AE">
        <w:rPr>
          <w:lang w:eastAsia="ja-JP"/>
        </w:rPr>
        <w:t>Corrigendum 1</w:t>
      </w:r>
      <w:bookmarkEnd w:id="19"/>
      <w:bookmarkEnd w:id="20"/>
    </w:p>
    <w:p w:rsidR="00996088" w:rsidRPr="000214AE" w:rsidRDefault="002C7D71" w:rsidP="002C7D71">
      <w:pPr>
        <w:pStyle w:val="Heading1"/>
      </w:pPr>
      <w:bookmarkStart w:id="21" w:name="_Toc89654335"/>
      <w:bookmarkStart w:id="22" w:name="_Toc118021769"/>
      <w:bookmarkStart w:id="23" w:name="_Toc118021825"/>
      <w:bookmarkStart w:id="24" w:name="_Toc162927582"/>
      <w:bookmarkStart w:id="25" w:name="_Toc282501272"/>
      <w:bookmarkStart w:id="26" w:name="_Toc286243503"/>
      <w:r w:rsidRPr="000214AE">
        <w:t>1</w:t>
      </w:r>
      <w:r w:rsidR="004747DC">
        <w:t>)</w:t>
      </w:r>
      <w:r w:rsidRPr="000214AE">
        <w:tab/>
      </w:r>
      <w:r w:rsidR="00996088" w:rsidRPr="000214AE">
        <w:t>Scope</w:t>
      </w:r>
      <w:bookmarkEnd w:id="21"/>
      <w:bookmarkEnd w:id="22"/>
      <w:bookmarkEnd w:id="23"/>
      <w:bookmarkEnd w:id="24"/>
      <w:bookmarkEnd w:id="25"/>
      <w:bookmarkEnd w:id="26"/>
    </w:p>
    <w:p w:rsidR="00996088" w:rsidRPr="000214AE" w:rsidRDefault="00996088" w:rsidP="004747DC">
      <w:r w:rsidRPr="000214AE">
        <w:rPr>
          <w:szCs w:val="24"/>
          <w:lang w:eastAsia="ja-JP"/>
        </w:rPr>
        <w:t xml:space="preserve">Corrigendum 1 to Recommendation ITU-T G.8032/Y.1344 clarifies </w:t>
      </w:r>
      <w:r w:rsidR="004747DC">
        <w:rPr>
          <w:szCs w:val="24"/>
          <w:lang w:eastAsia="ja-JP"/>
        </w:rPr>
        <w:t>clause</w:t>
      </w:r>
      <w:r w:rsidRPr="000214AE">
        <w:rPr>
          <w:szCs w:val="24"/>
          <w:lang w:eastAsia="ja-JP"/>
        </w:rPr>
        <w:t xml:space="preserve"> 8</w:t>
      </w:r>
      <w:r w:rsidR="004747DC">
        <w:rPr>
          <w:szCs w:val="24"/>
          <w:lang w:eastAsia="ja-JP"/>
        </w:rPr>
        <w:t xml:space="preserve">, </w:t>
      </w:r>
      <w:r w:rsidRPr="000214AE">
        <w:rPr>
          <w:szCs w:val="24"/>
          <w:lang w:eastAsia="ja-JP"/>
        </w:rPr>
        <w:t>Ring protection conditions and commands, subclause 9.7.2</w:t>
      </w:r>
      <w:r w:rsidR="004747DC">
        <w:rPr>
          <w:szCs w:val="24"/>
          <w:lang w:eastAsia="ja-JP"/>
        </w:rPr>
        <w:t xml:space="preserve">, </w:t>
      </w:r>
      <w:r w:rsidRPr="000214AE">
        <w:rPr>
          <w:szCs w:val="24"/>
          <w:lang w:eastAsia="ja-JP"/>
        </w:rPr>
        <w:t xml:space="preserve">Ring </w:t>
      </w:r>
      <w:r w:rsidR="00DB727D" w:rsidRPr="000214AE">
        <w:rPr>
          <w:szCs w:val="24"/>
          <w:lang w:eastAsia="ja-JP"/>
        </w:rPr>
        <w:t xml:space="preserve">interconnection </w:t>
      </w:r>
      <w:r w:rsidRPr="000214AE">
        <w:rPr>
          <w:szCs w:val="24"/>
          <w:lang w:eastAsia="ja-JP"/>
        </w:rPr>
        <w:t xml:space="preserve">model without R-APS </w:t>
      </w:r>
      <w:r w:rsidR="00914A7B" w:rsidRPr="000214AE">
        <w:rPr>
          <w:szCs w:val="24"/>
          <w:lang w:eastAsia="ja-JP"/>
        </w:rPr>
        <w:t xml:space="preserve">virtual </w:t>
      </w:r>
      <w:r w:rsidR="00DB727D" w:rsidRPr="000214AE">
        <w:rPr>
          <w:szCs w:val="24"/>
          <w:lang w:eastAsia="ja-JP"/>
        </w:rPr>
        <w:t>channel</w:t>
      </w:r>
      <w:r w:rsidRPr="000214AE">
        <w:rPr>
          <w:szCs w:val="24"/>
          <w:lang w:eastAsia="ja-JP"/>
        </w:rPr>
        <w:t>, clause 10.1</w:t>
      </w:r>
      <w:r w:rsidR="004747DC">
        <w:rPr>
          <w:szCs w:val="24"/>
          <w:lang w:eastAsia="ja-JP"/>
        </w:rPr>
        <w:t xml:space="preserve">, </w:t>
      </w:r>
      <w:r w:rsidRPr="000214AE">
        <w:rPr>
          <w:szCs w:val="24"/>
          <w:lang w:eastAsia="ja-JP"/>
        </w:rPr>
        <w:t>Principles of operations, subclause 10.1.4</w:t>
      </w:r>
      <w:r w:rsidR="004747DC">
        <w:rPr>
          <w:szCs w:val="24"/>
          <w:lang w:eastAsia="ja-JP"/>
        </w:rPr>
        <w:t xml:space="preserve">, </w:t>
      </w:r>
      <w:r w:rsidRPr="000214AE">
        <w:rPr>
          <w:szCs w:val="24"/>
          <w:lang w:eastAsia="ja-JP"/>
        </w:rPr>
        <w:t>Delay timers, subclause 10.1.5</w:t>
      </w:r>
      <w:r w:rsidR="004747DC">
        <w:rPr>
          <w:szCs w:val="24"/>
          <w:lang w:eastAsia="ja-JP"/>
        </w:rPr>
        <w:t xml:space="preserve">, </w:t>
      </w:r>
      <w:r w:rsidR="00914A7B" w:rsidRPr="000214AE">
        <w:rPr>
          <w:szCs w:val="24"/>
          <w:lang w:eastAsia="ja-JP"/>
        </w:rPr>
        <w:t>Guard timer</w:t>
      </w:r>
      <w:r w:rsidRPr="000214AE">
        <w:rPr>
          <w:szCs w:val="24"/>
          <w:lang w:eastAsia="ja-JP"/>
        </w:rPr>
        <w:t>, subclause 10.1.8</w:t>
      </w:r>
      <w:r w:rsidR="004747DC">
        <w:rPr>
          <w:szCs w:val="24"/>
          <w:lang w:eastAsia="ja-JP"/>
        </w:rPr>
        <w:t xml:space="preserve">, </w:t>
      </w:r>
      <w:r w:rsidRPr="000214AE">
        <w:rPr>
          <w:szCs w:val="24"/>
          <w:lang w:eastAsia="ja-JP"/>
        </w:rPr>
        <w:t>Holdoff timer, subclause 10.1.9</w:t>
      </w:r>
      <w:r w:rsidR="004747DC">
        <w:rPr>
          <w:szCs w:val="24"/>
          <w:lang w:eastAsia="ja-JP"/>
        </w:rPr>
        <w:t xml:space="preserve">, </w:t>
      </w:r>
      <w:r w:rsidRPr="000214AE">
        <w:rPr>
          <w:szCs w:val="24"/>
          <w:lang w:eastAsia="ja-JP"/>
        </w:rPr>
        <w:t xml:space="preserve">Local </w:t>
      </w:r>
      <w:r w:rsidR="00914A7B" w:rsidRPr="000214AE">
        <w:rPr>
          <w:szCs w:val="24"/>
          <w:lang w:eastAsia="ja-JP"/>
        </w:rPr>
        <w:t xml:space="preserve">priority </w:t>
      </w:r>
      <w:r w:rsidR="00DB727D" w:rsidRPr="000214AE">
        <w:rPr>
          <w:szCs w:val="24"/>
          <w:lang w:eastAsia="ja-JP"/>
        </w:rPr>
        <w:t>logic</w:t>
      </w:r>
      <w:r w:rsidRPr="000214AE">
        <w:rPr>
          <w:szCs w:val="24"/>
          <w:lang w:eastAsia="ja-JP"/>
        </w:rPr>
        <w:t>, subclause</w:t>
      </w:r>
      <w:r w:rsidR="004747DC">
        <w:rPr>
          <w:szCs w:val="24"/>
          <w:lang w:eastAsia="ja-JP"/>
        </w:rPr>
        <w:t> </w:t>
      </w:r>
      <w:r w:rsidRPr="000214AE">
        <w:rPr>
          <w:szCs w:val="24"/>
          <w:lang w:eastAsia="ja-JP"/>
        </w:rPr>
        <w:t>10.1.10</w:t>
      </w:r>
      <w:r w:rsidR="004747DC">
        <w:rPr>
          <w:szCs w:val="24"/>
          <w:lang w:eastAsia="ja-JP"/>
        </w:rPr>
        <w:t xml:space="preserve">, </w:t>
      </w:r>
      <w:r w:rsidRPr="000214AE">
        <w:rPr>
          <w:szCs w:val="24"/>
          <w:lang w:eastAsia="ja-JP"/>
        </w:rPr>
        <w:t xml:space="preserve">Flush </w:t>
      </w:r>
      <w:r w:rsidR="00DB727D" w:rsidRPr="000214AE">
        <w:rPr>
          <w:szCs w:val="24"/>
          <w:lang w:eastAsia="ja-JP"/>
        </w:rPr>
        <w:t>logic</w:t>
      </w:r>
      <w:r w:rsidRPr="000214AE">
        <w:rPr>
          <w:szCs w:val="24"/>
          <w:lang w:eastAsia="ja-JP"/>
        </w:rPr>
        <w:t>, subclause 10.1.13</w:t>
      </w:r>
      <w:r w:rsidR="004747DC">
        <w:rPr>
          <w:szCs w:val="24"/>
          <w:lang w:eastAsia="ja-JP"/>
        </w:rPr>
        <w:t xml:space="preserve">, </w:t>
      </w:r>
      <w:r w:rsidRPr="000214AE">
        <w:rPr>
          <w:szCs w:val="24"/>
          <w:lang w:eastAsia="ja-JP"/>
        </w:rPr>
        <w:t xml:space="preserve">Backward </w:t>
      </w:r>
      <w:r w:rsidR="00DB727D" w:rsidRPr="000214AE">
        <w:rPr>
          <w:szCs w:val="24"/>
          <w:lang w:eastAsia="ja-JP"/>
        </w:rPr>
        <w:t>compatibility logic</w:t>
      </w:r>
      <w:r w:rsidR="004747DC">
        <w:rPr>
          <w:szCs w:val="24"/>
          <w:lang w:eastAsia="ja-JP"/>
        </w:rPr>
        <w:t>,</w:t>
      </w:r>
      <w:r w:rsidRPr="000214AE">
        <w:rPr>
          <w:szCs w:val="24"/>
          <w:lang w:eastAsia="ja-JP"/>
        </w:rPr>
        <w:t xml:space="preserve"> and Appendix</w:t>
      </w:r>
      <w:r w:rsidR="00DB727D" w:rsidRPr="000214AE">
        <w:rPr>
          <w:szCs w:val="24"/>
          <w:lang w:eastAsia="ja-JP"/>
        </w:rPr>
        <w:t> </w:t>
      </w:r>
      <w:r w:rsidRPr="000214AE">
        <w:rPr>
          <w:szCs w:val="24"/>
          <w:lang w:eastAsia="ja-JP"/>
        </w:rPr>
        <w:t>VIII</w:t>
      </w:r>
      <w:r w:rsidR="00E13CBD">
        <w:rPr>
          <w:szCs w:val="24"/>
          <w:lang w:eastAsia="ja-JP"/>
        </w:rPr>
        <w:t xml:space="preserve">, </w:t>
      </w:r>
      <w:r w:rsidRPr="000214AE">
        <w:rPr>
          <w:szCs w:val="24"/>
          <w:lang w:eastAsia="ja-JP"/>
        </w:rPr>
        <w:t xml:space="preserve">Flush </w:t>
      </w:r>
      <w:r w:rsidR="00DB727D" w:rsidRPr="000214AE">
        <w:rPr>
          <w:szCs w:val="24"/>
          <w:lang w:eastAsia="ja-JP"/>
        </w:rPr>
        <w:t>optimization</w:t>
      </w:r>
      <w:r w:rsidRPr="000214AE">
        <w:rPr>
          <w:szCs w:val="24"/>
          <w:lang w:eastAsia="ja-JP"/>
        </w:rPr>
        <w:t>.</w:t>
      </w:r>
    </w:p>
    <w:p w:rsidR="00996088" w:rsidRPr="000214AE" w:rsidRDefault="002C7D71" w:rsidP="002C7D71">
      <w:pPr>
        <w:pStyle w:val="Heading1"/>
      </w:pPr>
      <w:bookmarkStart w:id="27" w:name="_Toc162927585"/>
      <w:bookmarkStart w:id="28" w:name="_Toc282501273"/>
      <w:bookmarkStart w:id="29" w:name="_Toc286243504"/>
      <w:r w:rsidRPr="000214AE">
        <w:t>2</w:t>
      </w:r>
      <w:r w:rsidR="004747DC">
        <w:t>)</w:t>
      </w:r>
      <w:r w:rsidRPr="000214AE">
        <w:tab/>
      </w:r>
      <w:r w:rsidR="00996088" w:rsidRPr="000214AE">
        <w:t xml:space="preserve">Changes to </w:t>
      </w:r>
      <w:r w:rsidR="00914A7B">
        <w:t xml:space="preserve">ITU-T </w:t>
      </w:r>
      <w:r w:rsidR="00996088" w:rsidRPr="000214AE">
        <w:t>G.8</w:t>
      </w:r>
      <w:bookmarkEnd w:id="27"/>
      <w:r w:rsidR="00996088" w:rsidRPr="000214AE">
        <w:rPr>
          <w:lang w:eastAsia="ja-JP"/>
        </w:rPr>
        <w:t>0</w:t>
      </w:r>
      <w:r w:rsidR="00996088" w:rsidRPr="000214AE">
        <w:t>3</w:t>
      </w:r>
      <w:r w:rsidR="00996088" w:rsidRPr="000214AE">
        <w:rPr>
          <w:lang w:eastAsia="ja-JP"/>
        </w:rPr>
        <w:t>2/Y.1344</w:t>
      </w:r>
      <w:bookmarkEnd w:id="28"/>
      <w:bookmarkEnd w:id="29"/>
    </w:p>
    <w:p w:rsidR="00996088" w:rsidRPr="000214AE" w:rsidRDefault="00996088" w:rsidP="004747DC">
      <w:pPr>
        <w:rPr>
          <w:lang w:eastAsia="ja-JP"/>
        </w:rPr>
      </w:pPr>
      <w:r w:rsidRPr="000214AE">
        <w:t xml:space="preserve">The following </w:t>
      </w:r>
      <w:r w:rsidRPr="000214AE">
        <w:rPr>
          <w:lang w:eastAsia="ja-JP"/>
        </w:rPr>
        <w:t>clauses and subclauses</w:t>
      </w:r>
      <w:r w:rsidRPr="000214AE">
        <w:t xml:space="preserve"> contain changes to be made to </w:t>
      </w:r>
      <w:r w:rsidRPr="000214AE">
        <w:rPr>
          <w:szCs w:val="24"/>
          <w:lang w:eastAsia="ja-JP"/>
        </w:rPr>
        <w:t xml:space="preserve">Recommendation </w:t>
      </w:r>
      <w:r w:rsidR="004747DC" w:rsidRPr="000214AE">
        <w:rPr>
          <w:szCs w:val="24"/>
          <w:lang w:eastAsia="ja-JP"/>
        </w:rPr>
        <w:t>ITU</w:t>
      </w:r>
      <w:r w:rsidR="004747DC">
        <w:rPr>
          <w:szCs w:val="24"/>
          <w:lang w:eastAsia="ja-JP"/>
        </w:rPr>
        <w:noBreakHyphen/>
      </w:r>
      <w:r w:rsidR="004747DC" w:rsidRPr="000214AE">
        <w:rPr>
          <w:szCs w:val="24"/>
          <w:lang w:eastAsia="ja-JP"/>
        </w:rPr>
        <w:t>T</w:t>
      </w:r>
      <w:r w:rsidR="004747DC">
        <w:rPr>
          <w:szCs w:val="24"/>
          <w:lang w:eastAsia="ja-JP"/>
        </w:rPr>
        <w:t> </w:t>
      </w:r>
      <w:r w:rsidRPr="000214AE">
        <w:t>G.8</w:t>
      </w:r>
      <w:r w:rsidRPr="000214AE">
        <w:rPr>
          <w:lang w:eastAsia="ja-JP"/>
        </w:rPr>
        <w:t>0</w:t>
      </w:r>
      <w:r w:rsidRPr="000214AE">
        <w:t>3</w:t>
      </w:r>
      <w:r w:rsidRPr="000214AE">
        <w:rPr>
          <w:lang w:eastAsia="ja-JP"/>
        </w:rPr>
        <w:t>2/Y.1344</w:t>
      </w:r>
      <w:r w:rsidRPr="000214AE">
        <w:t>.</w:t>
      </w:r>
    </w:p>
    <w:p w:rsidR="00996088" w:rsidRPr="000214AE" w:rsidRDefault="002C7D71" w:rsidP="004747DC">
      <w:pPr>
        <w:pStyle w:val="Heading2"/>
        <w:rPr>
          <w:lang w:eastAsia="ja-JP"/>
        </w:rPr>
      </w:pPr>
      <w:bookmarkStart w:id="30" w:name="_Toc282501274"/>
      <w:bookmarkStart w:id="31" w:name="_Toc286243505"/>
      <w:r w:rsidRPr="000214AE">
        <w:rPr>
          <w:lang w:eastAsia="ja-JP"/>
        </w:rPr>
        <w:t>2.1</w:t>
      </w:r>
      <w:r w:rsidR="004747DC">
        <w:rPr>
          <w:lang w:eastAsia="ja-JP"/>
        </w:rPr>
        <w:t>)</w:t>
      </w:r>
      <w:r w:rsidRPr="000214AE">
        <w:rPr>
          <w:lang w:eastAsia="ja-JP"/>
        </w:rPr>
        <w:tab/>
      </w:r>
      <w:r w:rsidR="00996088" w:rsidRPr="000214AE">
        <w:rPr>
          <w:lang w:eastAsia="ja-JP"/>
        </w:rPr>
        <w:t>Corrections to all clauses and subclauses</w:t>
      </w:r>
      <w:bookmarkEnd w:id="30"/>
      <w:bookmarkEnd w:id="31"/>
    </w:p>
    <w:p w:rsidR="00996088" w:rsidRPr="000214AE" w:rsidRDefault="00996088" w:rsidP="002C7D71">
      <w:pPr>
        <w:pStyle w:val="Headingi"/>
        <w:rPr>
          <w:lang w:eastAsia="ja-JP"/>
        </w:rPr>
      </w:pPr>
      <w:r w:rsidRPr="000214AE">
        <w:rPr>
          <w:lang w:eastAsia="zh-CN"/>
        </w:rPr>
        <w:t>Replace:</w:t>
      </w:r>
    </w:p>
    <w:p w:rsidR="00996088" w:rsidRPr="000214AE" w:rsidRDefault="00996088" w:rsidP="002C7D71">
      <w:pPr>
        <w:rPr>
          <w:lang w:eastAsia="ja-JP"/>
        </w:rPr>
      </w:pPr>
      <w:r w:rsidRPr="000214AE">
        <w:rPr>
          <w:lang w:eastAsia="ja-JP"/>
        </w:rPr>
        <w:t>MI_RAPS_</w:t>
      </w:r>
    </w:p>
    <w:p w:rsidR="00996088" w:rsidRPr="000214AE" w:rsidRDefault="002C7D71" w:rsidP="002C7D71">
      <w:pPr>
        <w:pStyle w:val="Headingi"/>
        <w:rPr>
          <w:iCs/>
          <w:szCs w:val="24"/>
          <w:lang w:eastAsia="zh-CN"/>
        </w:rPr>
      </w:pPr>
      <w:r w:rsidRPr="000214AE">
        <w:rPr>
          <w:iCs/>
          <w:szCs w:val="24"/>
          <w:lang w:eastAsia="zh-CN"/>
        </w:rPr>
        <w:t>b</w:t>
      </w:r>
      <w:r w:rsidR="00996088" w:rsidRPr="000214AE">
        <w:rPr>
          <w:iCs/>
          <w:szCs w:val="24"/>
          <w:lang w:eastAsia="zh-CN"/>
        </w:rPr>
        <w:t>y:</w:t>
      </w:r>
    </w:p>
    <w:p w:rsidR="00996088" w:rsidRPr="000214AE" w:rsidRDefault="00996088" w:rsidP="002C7D71">
      <w:pPr>
        <w:rPr>
          <w:lang w:eastAsia="ja-JP"/>
        </w:rPr>
      </w:pPr>
      <w:r w:rsidRPr="000214AE">
        <w:rPr>
          <w:lang w:eastAsia="ja-JP"/>
        </w:rPr>
        <w:t>ETH_C_MI_RAPS_</w:t>
      </w:r>
    </w:p>
    <w:p w:rsidR="00996088" w:rsidRPr="000214AE" w:rsidRDefault="002C7D71" w:rsidP="004747DC">
      <w:pPr>
        <w:pStyle w:val="Heading2"/>
        <w:rPr>
          <w:lang w:eastAsia="ja-JP"/>
        </w:rPr>
      </w:pPr>
      <w:bookmarkStart w:id="32" w:name="_Toc282501275"/>
      <w:bookmarkStart w:id="33" w:name="_Toc286243506"/>
      <w:r w:rsidRPr="000214AE">
        <w:rPr>
          <w:lang w:eastAsia="zh-CN"/>
        </w:rPr>
        <w:t>2.2</w:t>
      </w:r>
      <w:r w:rsidR="004747DC">
        <w:rPr>
          <w:lang w:eastAsia="zh-CN"/>
        </w:rPr>
        <w:t>)</w:t>
      </w:r>
      <w:r w:rsidRPr="000214AE">
        <w:rPr>
          <w:lang w:eastAsia="zh-CN"/>
        </w:rPr>
        <w:tab/>
      </w:r>
      <w:r w:rsidR="00996088" w:rsidRPr="000214AE">
        <w:rPr>
          <w:lang w:eastAsia="zh-CN"/>
        </w:rPr>
        <w:t xml:space="preserve">Corrections to </w:t>
      </w:r>
      <w:r w:rsidR="004747DC">
        <w:rPr>
          <w:lang w:eastAsia="ja-JP"/>
        </w:rPr>
        <w:t>clause</w:t>
      </w:r>
      <w:r w:rsidR="00996088" w:rsidRPr="000214AE">
        <w:rPr>
          <w:lang w:eastAsia="ja-JP"/>
        </w:rPr>
        <w:t xml:space="preserve"> 8</w:t>
      </w:r>
      <w:r w:rsidR="00336F8B">
        <w:rPr>
          <w:lang w:eastAsia="ja-JP"/>
        </w:rPr>
        <w:t>,</w:t>
      </w:r>
      <w:r w:rsidR="00996088" w:rsidRPr="000214AE">
        <w:rPr>
          <w:lang w:eastAsia="ja-JP"/>
        </w:rPr>
        <w:t xml:space="preserve"> </w:t>
      </w:r>
      <w:bookmarkStart w:id="34" w:name="_Toc198036086"/>
      <w:bookmarkStart w:id="35" w:name="_Toc245788437"/>
      <w:bookmarkStart w:id="36" w:name="_Toc242774331"/>
      <w:r w:rsidR="00996088" w:rsidRPr="000214AE">
        <w:rPr>
          <w:lang w:eastAsia="ja-JP"/>
        </w:rPr>
        <w:t>Ring protection conditions and commands</w:t>
      </w:r>
      <w:bookmarkEnd w:id="34"/>
      <w:bookmarkEnd w:id="35"/>
      <w:bookmarkEnd w:id="36"/>
      <w:bookmarkEnd w:id="32"/>
      <w:bookmarkEnd w:id="33"/>
    </w:p>
    <w:p w:rsidR="00996088" w:rsidRPr="000214AE" w:rsidRDefault="00996088" w:rsidP="002C7D71">
      <w:pPr>
        <w:pStyle w:val="Headingi"/>
        <w:rPr>
          <w:lang w:eastAsia="ja-JP"/>
        </w:rPr>
      </w:pPr>
      <w:r w:rsidRPr="000214AE">
        <w:rPr>
          <w:lang w:eastAsia="zh-CN"/>
        </w:rPr>
        <w:t>Replace:</w:t>
      </w:r>
    </w:p>
    <w:p w:rsidR="00996088" w:rsidRPr="000214AE" w:rsidRDefault="00996088" w:rsidP="002C7D71">
      <w:r w:rsidRPr="000214AE">
        <w:t>The following administrative commands are supported:</w:t>
      </w:r>
    </w:p>
    <w:p w:rsidR="00996088" w:rsidRPr="000214AE" w:rsidRDefault="00996088" w:rsidP="002C7D71">
      <w:r w:rsidRPr="000214AE">
        <w:rPr>
          <w:bCs/>
        </w:rPr>
        <w:t xml:space="preserve">Forced </w:t>
      </w:r>
      <w:r w:rsidR="00DB727D" w:rsidRPr="000214AE">
        <w:rPr>
          <w:bCs/>
        </w:rPr>
        <w:t>s</w:t>
      </w:r>
      <w:r w:rsidRPr="000214AE">
        <w:rPr>
          <w:bCs/>
        </w:rPr>
        <w:t>witch (FS)</w:t>
      </w:r>
      <w:r w:rsidRPr="000214AE">
        <w:t xml:space="preserve"> – This command forces a block on the ring port where the command is issued. </w:t>
      </w:r>
    </w:p>
    <w:p w:rsidR="00996088" w:rsidRPr="000214AE" w:rsidRDefault="00996088" w:rsidP="002C7D71">
      <w:r w:rsidRPr="000214AE">
        <w:rPr>
          <w:bCs/>
        </w:rPr>
        <w:t xml:space="preserve">Manual </w:t>
      </w:r>
      <w:r w:rsidR="00DB727D" w:rsidRPr="000214AE">
        <w:rPr>
          <w:bCs/>
        </w:rPr>
        <w:t>s</w:t>
      </w:r>
      <w:r w:rsidRPr="000214AE">
        <w:rPr>
          <w:bCs/>
        </w:rPr>
        <w:t>witch (MS)</w:t>
      </w:r>
      <w:r w:rsidRPr="000214AE">
        <w:t xml:space="preserve"> – In the absence of a failure or FS, this command forces a block on the ring port where the command is issued.</w:t>
      </w:r>
    </w:p>
    <w:p w:rsidR="00996088" w:rsidRPr="000214AE" w:rsidRDefault="00996088" w:rsidP="002C7D71">
      <w:r w:rsidRPr="000214AE">
        <w:rPr>
          <w:bCs/>
        </w:rPr>
        <w:t xml:space="preserve">Clear </w:t>
      </w:r>
      <w:r w:rsidRPr="000214AE">
        <w:t>– The Clear command is used for the following operations:</w:t>
      </w:r>
    </w:p>
    <w:p w:rsidR="00996088" w:rsidRPr="000214AE" w:rsidRDefault="00DB727D" w:rsidP="00DB727D">
      <w:pPr>
        <w:pStyle w:val="enumlev1"/>
        <w:rPr>
          <w:lang w:eastAsia="ja-JP"/>
        </w:rPr>
      </w:pPr>
      <w:r w:rsidRPr="000214AE">
        <w:rPr>
          <w:lang w:eastAsia="ja-JP"/>
        </w:rPr>
        <w:t>a)</w:t>
      </w:r>
      <w:r w:rsidRPr="000214AE">
        <w:rPr>
          <w:lang w:eastAsia="ja-JP"/>
        </w:rPr>
        <w:tab/>
      </w:r>
      <w:r w:rsidR="00996088" w:rsidRPr="000214AE">
        <w:rPr>
          <w:lang w:eastAsia="ja-JP"/>
        </w:rPr>
        <w:t>C</w:t>
      </w:r>
      <w:r w:rsidR="00996088" w:rsidRPr="000214AE">
        <w:t>lear</w:t>
      </w:r>
      <w:r w:rsidR="00996088" w:rsidRPr="000214AE">
        <w:rPr>
          <w:lang w:eastAsia="ja-JP"/>
        </w:rPr>
        <w:t>ing</w:t>
      </w:r>
      <w:r w:rsidR="00996088" w:rsidRPr="000214AE">
        <w:t xml:space="preserve"> an active local administrative command</w:t>
      </w:r>
      <w:r w:rsidR="00996088" w:rsidRPr="000214AE">
        <w:rPr>
          <w:lang w:eastAsia="ja-JP"/>
        </w:rPr>
        <w:t xml:space="preserve"> (e.g.</w:t>
      </w:r>
      <w:r w:rsidRPr="000214AE">
        <w:rPr>
          <w:lang w:eastAsia="ja-JP"/>
        </w:rPr>
        <w:t>,</w:t>
      </w:r>
      <w:r w:rsidR="00996088" w:rsidRPr="000214AE">
        <w:rPr>
          <w:lang w:eastAsia="ja-JP"/>
        </w:rPr>
        <w:t xml:space="preserve"> </w:t>
      </w:r>
      <w:r w:rsidRPr="000214AE">
        <w:rPr>
          <w:lang w:eastAsia="ja-JP"/>
        </w:rPr>
        <w:t>forced switch or manual switch).</w:t>
      </w:r>
    </w:p>
    <w:p w:rsidR="00996088" w:rsidRPr="000214AE" w:rsidRDefault="00DB727D" w:rsidP="00DB727D">
      <w:pPr>
        <w:pStyle w:val="enumlev1"/>
        <w:rPr>
          <w:lang w:eastAsia="ja-JP"/>
        </w:rPr>
      </w:pPr>
      <w:bookmarkStart w:id="37" w:name="_Ref245189393"/>
      <w:r w:rsidRPr="000214AE">
        <w:rPr>
          <w:lang w:eastAsia="ja-JP"/>
        </w:rPr>
        <w:t>b)</w:t>
      </w:r>
      <w:r w:rsidRPr="000214AE">
        <w:rPr>
          <w:lang w:eastAsia="ja-JP"/>
        </w:rPr>
        <w:tab/>
      </w:r>
      <w:r w:rsidR="00996088" w:rsidRPr="000214AE">
        <w:rPr>
          <w:lang w:eastAsia="ja-JP"/>
        </w:rPr>
        <w:t>T</w:t>
      </w:r>
      <w:r w:rsidR="00996088" w:rsidRPr="000214AE">
        <w:t>rigger</w:t>
      </w:r>
      <w:r w:rsidR="00996088" w:rsidRPr="000214AE">
        <w:rPr>
          <w:lang w:eastAsia="ja-JP"/>
        </w:rPr>
        <w:t>ing</w:t>
      </w:r>
      <w:r w:rsidR="00996088" w:rsidRPr="000214AE">
        <w:t xml:space="preserve"> </w:t>
      </w:r>
      <w:r w:rsidR="00996088" w:rsidRPr="000214AE">
        <w:rPr>
          <w:lang w:eastAsia="ja-JP"/>
        </w:rPr>
        <w:t xml:space="preserve">reversion before the WTR or WTB timer expires </w:t>
      </w:r>
      <w:r w:rsidR="00996088" w:rsidRPr="000214AE">
        <w:t xml:space="preserve">in case of revertive </w:t>
      </w:r>
      <w:r w:rsidR="00996088" w:rsidRPr="000214AE">
        <w:rPr>
          <w:lang w:eastAsia="ja-JP"/>
        </w:rPr>
        <w:t>operation</w:t>
      </w:r>
      <w:r w:rsidR="00996088" w:rsidRPr="000214AE">
        <w:t>.</w:t>
      </w:r>
      <w:bookmarkEnd w:id="37"/>
    </w:p>
    <w:p w:rsidR="00996088" w:rsidRPr="000214AE" w:rsidRDefault="00DB727D" w:rsidP="00DB727D">
      <w:pPr>
        <w:pStyle w:val="enumlev1"/>
        <w:rPr>
          <w:lang w:eastAsia="ja-JP"/>
        </w:rPr>
      </w:pPr>
      <w:bookmarkStart w:id="38" w:name="_Ref245189414"/>
      <w:r w:rsidRPr="000214AE">
        <w:rPr>
          <w:lang w:eastAsia="ja-JP"/>
        </w:rPr>
        <w:t>c)</w:t>
      </w:r>
      <w:r w:rsidRPr="000214AE">
        <w:rPr>
          <w:lang w:eastAsia="ja-JP"/>
        </w:rPr>
        <w:tab/>
      </w:r>
      <w:r w:rsidR="00996088" w:rsidRPr="000214AE">
        <w:rPr>
          <w:lang w:eastAsia="ja-JP"/>
        </w:rPr>
        <w:t>Triggering reversion in case of non-revertive operation.</w:t>
      </w:r>
      <w:bookmarkEnd w:id="38"/>
    </w:p>
    <w:p w:rsidR="00996088" w:rsidRPr="000214AE" w:rsidRDefault="00DB727D" w:rsidP="002C7D71">
      <w:pPr>
        <w:pStyle w:val="Headingi"/>
        <w:rPr>
          <w:iCs/>
          <w:szCs w:val="24"/>
          <w:lang w:eastAsia="zh-CN"/>
        </w:rPr>
      </w:pPr>
      <w:r w:rsidRPr="000214AE">
        <w:rPr>
          <w:iCs/>
          <w:szCs w:val="24"/>
          <w:lang w:eastAsia="zh-CN"/>
        </w:rPr>
        <w:t>b</w:t>
      </w:r>
      <w:r w:rsidR="00996088" w:rsidRPr="000214AE">
        <w:rPr>
          <w:iCs/>
          <w:szCs w:val="24"/>
          <w:lang w:eastAsia="zh-CN"/>
        </w:rPr>
        <w:t>y:</w:t>
      </w:r>
    </w:p>
    <w:p w:rsidR="00996088" w:rsidRPr="000214AE" w:rsidRDefault="00996088" w:rsidP="002C7D71">
      <w:r w:rsidRPr="000214AE">
        <w:t>The following administrative commands are supported</w:t>
      </w:r>
      <w:r w:rsidRPr="000214AE">
        <w:rPr>
          <w:lang w:eastAsia="ja-JP"/>
        </w:rPr>
        <w:t xml:space="preserve"> </w:t>
      </w:r>
      <w:r w:rsidRPr="000214AE">
        <w:t>(as possible values for ETH_C_MI_RAPS_ExtCMD):</w:t>
      </w:r>
    </w:p>
    <w:p w:rsidR="00996088" w:rsidRPr="000214AE" w:rsidRDefault="00996088" w:rsidP="002C7D71">
      <w:r w:rsidRPr="000214AE">
        <w:rPr>
          <w:bCs/>
        </w:rPr>
        <w:t xml:space="preserve">Forced </w:t>
      </w:r>
      <w:r w:rsidR="00DB727D" w:rsidRPr="000214AE">
        <w:rPr>
          <w:bCs/>
        </w:rPr>
        <w:t>s</w:t>
      </w:r>
      <w:r w:rsidRPr="000214AE">
        <w:rPr>
          <w:bCs/>
        </w:rPr>
        <w:t>witch (FS)</w:t>
      </w:r>
      <w:r w:rsidRPr="000214AE">
        <w:t xml:space="preserve"> – This command forces a block on the ring port where the command is issued. </w:t>
      </w:r>
    </w:p>
    <w:p w:rsidR="00996088" w:rsidRPr="000214AE" w:rsidRDefault="00996088" w:rsidP="002C7D71">
      <w:r w:rsidRPr="000214AE">
        <w:rPr>
          <w:bCs/>
        </w:rPr>
        <w:t xml:space="preserve">Manual </w:t>
      </w:r>
      <w:r w:rsidR="00DB727D" w:rsidRPr="000214AE">
        <w:rPr>
          <w:bCs/>
        </w:rPr>
        <w:t>s</w:t>
      </w:r>
      <w:r w:rsidRPr="000214AE">
        <w:rPr>
          <w:bCs/>
        </w:rPr>
        <w:t>witch (MS)</w:t>
      </w:r>
      <w:r w:rsidRPr="000214AE">
        <w:t xml:space="preserve"> – In the absence of a failure or FS, this command forces a block on the ring port where the command is issued.</w:t>
      </w:r>
    </w:p>
    <w:p w:rsidR="00996088" w:rsidRPr="000214AE" w:rsidRDefault="00996088" w:rsidP="000214AE">
      <w:pPr>
        <w:keepNext/>
        <w:keepLines/>
      </w:pPr>
      <w:r w:rsidRPr="000214AE">
        <w:rPr>
          <w:bCs/>
        </w:rPr>
        <w:t>Clear</w:t>
      </w:r>
      <w:r w:rsidRPr="000214AE">
        <w:t xml:space="preserve"> – The Clear command</w:t>
      </w:r>
      <w:r w:rsidRPr="000214AE">
        <w:rPr>
          <w:lang w:eastAsia="ja-JP"/>
        </w:rPr>
        <w:t xml:space="preserve">, at the Ethernet </w:t>
      </w:r>
      <w:r w:rsidR="000214AE" w:rsidRPr="000214AE">
        <w:rPr>
          <w:lang w:eastAsia="ja-JP"/>
        </w:rPr>
        <w:t>ring n</w:t>
      </w:r>
      <w:r w:rsidRPr="000214AE">
        <w:rPr>
          <w:lang w:eastAsia="ja-JP"/>
        </w:rPr>
        <w:t>ode,</w:t>
      </w:r>
      <w:r w:rsidRPr="000214AE">
        <w:t xml:space="preserve"> is used for the following operations:</w:t>
      </w:r>
    </w:p>
    <w:p w:rsidR="00996088" w:rsidRPr="000214AE" w:rsidRDefault="00DB727D" w:rsidP="00DB727D">
      <w:pPr>
        <w:pStyle w:val="enumlev1"/>
        <w:rPr>
          <w:lang w:eastAsia="ja-JP"/>
        </w:rPr>
      </w:pPr>
      <w:r w:rsidRPr="000214AE">
        <w:rPr>
          <w:lang w:eastAsia="ja-JP"/>
        </w:rPr>
        <w:t>a)</w:t>
      </w:r>
      <w:r w:rsidRPr="000214AE">
        <w:rPr>
          <w:lang w:eastAsia="ja-JP"/>
        </w:rPr>
        <w:tab/>
      </w:r>
      <w:r w:rsidR="00996088" w:rsidRPr="000214AE">
        <w:rPr>
          <w:lang w:eastAsia="ja-JP"/>
        </w:rPr>
        <w:t>C</w:t>
      </w:r>
      <w:r w:rsidR="00996088" w:rsidRPr="000214AE">
        <w:t>lear</w:t>
      </w:r>
      <w:r w:rsidR="00996088" w:rsidRPr="000214AE">
        <w:rPr>
          <w:lang w:eastAsia="ja-JP"/>
        </w:rPr>
        <w:t>ing</w:t>
      </w:r>
      <w:r w:rsidR="00996088" w:rsidRPr="000214AE">
        <w:t xml:space="preserve"> an active local administrative command</w:t>
      </w:r>
      <w:r w:rsidR="00996088" w:rsidRPr="000214AE">
        <w:rPr>
          <w:lang w:eastAsia="ja-JP"/>
        </w:rPr>
        <w:t xml:space="preserve"> (e.g.</w:t>
      </w:r>
      <w:r w:rsidRPr="000214AE">
        <w:rPr>
          <w:lang w:eastAsia="ja-JP"/>
        </w:rPr>
        <w:t>,</w:t>
      </w:r>
      <w:r w:rsidR="00996088" w:rsidRPr="000214AE">
        <w:rPr>
          <w:lang w:eastAsia="ja-JP"/>
        </w:rPr>
        <w:t xml:space="preserve"> </w:t>
      </w:r>
      <w:r w:rsidRPr="000214AE">
        <w:rPr>
          <w:lang w:eastAsia="ja-JP"/>
        </w:rPr>
        <w:t>forced switch or manual swi</w:t>
      </w:r>
      <w:r w:rsidR="00996088" w:rsidRPr="000214AE">
        <w:rPr>
          <w:lang w:eastAsia="ja-JP"/>
        </w:rPr>
        <w:t>tch).</w:t>
      </w:r>
    </w:p>
    <w:p w:rsidR="00996088" w:rsidRPr="000214AE" w:rsidRDefault="00DB727D" w:rsidP="00DB727D">
      <w:pPr>
        <w:pStyle w:val="enumlev1"/>
        <w:rPr>
          <w:lang w:eastAsia="ja-JP"/>
        </w:rPr>
      </w:pPr>
      <w:r w:rsidRPr="000214AE">
        <w:rPr>
          <w:lang w:eastAsia="ja-JP"/>
        </w:rPr>
        <w:t>b)</w:t>
      </w:r>
      <w:r w:rsidRPr="000214AE">
        <w:rPr>
          <w:lang w:eastAsia="ja-JP"/>
        </w:rPr>
        <w:tab/>
      </w:r>
      <w:r w:rsidR="00996088" w:rsidRPr="000214AE">
        <w:rPr>
          <w:lang w:eastAsia="ja-JP"/>
        </w:rPr>
        <w:t>T</w:t>
      </w:r>
      <w:r w:rsidR="00996088" w:rsidRPr="000214AE">
        <w:t>rigger</w:t>
      </w:r>
      <w:r w:rsidR="00996088" w:rsidRPr="000214AE">
        <w:rPr>
          <w:lang w:eastAsia="ja-JP"/>
        </w:rPr>
        <w:t>ing</w:t>
      </w:r>
      <w:r w:rsidR="00996088" w:rsidRPr="000214AE">
        <w:t xml:space="preserve"> </w:t>
      </w:r>
      <w:r w:rsidR="00996088" w:rsidRPr="000214AE">
        <w:rPr>
          <w:lang w:eastAsia="ja-JP"/>
        </w:rPr>
        <w:t xml:space="preserve">reversion before the WTR or WTB timer expires </w:t>
      </w:r>
      <w:r w:rsidR="00996088" w:rsidRPr="000214AE">
        <w:t xml:space="preserve">in case of revertive </w:t>
      </w:r>
      <w:r w:rsidR="00996088" w:rsidRPr="000214AE">
        <w:rPr>
          <w:lang w:eastAsia="ja-JP"/>
        </w:rPr>
        <w:t>operation</w:t>
      </w:r>
      <w:r w:rsidR="00996088" w:rsidRPr="000214AE">
        <w:t>.</w:t>
      </w:r>
    </w:p>
    <w:p w:rsidR="00996088" w:rsidRPr="000214AE" w:rsidRDefault="00DB727D" w:rsidP="00DB727D">
      <w:pPr>
        <w:pStyle w:val="enumlev1"/>
        <w:rPr>
          <w:lang w:eastAsia="ja-JP"/>
        </w:rPr>
      </w:pPr>
      <w:r w:rsidRPr="000214AE">
        <w:rPr>
          <w:lang w:eastAsia="ja-JP"/>
        </w:rPr>
        <w:t>c)</w:t>
      </w:r>
      <w:r w:rsidRPr="000214AE">
        <w:rPr>
          <w:lang w:eastAsia="ja-JP"/>
        </w:rPr>
        <w:tab/>
      </w:r>
      <w:r w:rsidR="00996088" w:rsidRPr="000214AE">
        <w:rPr>
          <w:lang w:eastAsia="ja-JP"/>
        </w:rPr>
        <w:t>Triggering reversion in case of non-revertive operation.</w:t>
      </w:r>
    </w:p>
    <w:p w:rsidR="00996088" w:rsidRPr="000214AE" w:rsidRDefault="00DB727D" w:rsidP="004747DC">
      <w:pPr>
        <w:pStyle w:val="Heading2"/>
        <w:rPr>
          <w:lang w:eastAsia="zh-CN"/>
        </w:rPr>
      </w:pPr>
      <w:bookmarkStart w:id="39" w:name="_Toc282501276"/>
      <w:bookmarkStart w:id="40" w:name="_Toc286243507"/>
      <w:r w:rsidRPr="000214AE">
        <w:rPr>
          <w:lang w:eastAsia="zh-CN"/>
        </w:rPr>
        <w:t>2.3</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sub</w:t>
      </w:r>
      <w:r w:rsidR="00996088" w:rsidRPr="000214AE">
        <w:rPr>
          <w:bCs/>
          <w:szCs w:val="24"/>
          <w:lang w:eastAsia="ja-JP"/>
        </w:rPr>
        <w:t>clause 9.7.2</w:t>
      </w:r>
      <w:r w:rsidRPr="000214AE">
        <w:rPr>
          <w:bCs/>
          <w:szCs w:val="24"/>
          <w:lang w:eastAsia="ja-JP"/>
        </w:rPr>
        <w:t>,</w:t>
      </w:r>
      <w:r w:rsidR="00996088" w:rsidRPr="000214AE">
        <w:rPr>
          <w:bCs/>
          <w:szCs w:val="24"/>
          <w:lang w:eastAsia="ja-JP"/>
        </w:rPr>
        <w:t xml:space="preserve"> </w:t>
      </w:r>
      <w:bookmarkStart w:id="41" w:name="_Toc245788448"/>
      <w:bookmarkStart w:id="42" w:name="_Toc242774346"/>
      <w:r w:rsidR="00996088" w:rsidRPr="000214AE">
        <w:rPr>
          <w:lang w:eastAsia="ja-JP"/>
        </w:rPr>
        <w:t xml:space="preserve">Ring </w:t>
      </w:r>
      <w:r w:rsidRPr="000214AE">
        <w:rPr>
          <w:lang w:eastAsia="ja-JP"/>
        </w:rPr>
        <w:t xml:space="preserve">interconnection </w:t>
      </w:r>
      <w:r w:rsidR="00996088" w:rsidRPr="000214AE">
        <w:rPr>
          <w:lang w:eastAsia="ja-JP"/>
        </w:rPr>
        <w:t xml:space="preserve">model without R-APS </w:t>
      </w:r>
      <w:r w:rsidRPr="000214AE">
        <w:rPr>
          <w:lang w:eastAsia="ja-JP"/>
        </w:rPr>
        <w:t>virtual channel</w:t>
      </w:r>
      <w:bookmarkEnd w:id="41"/>
      <w:bookmarkEnd w:id="42"/>
      <w:bookmarkEnd w:id="39"/>
      <w:bookmarkEnd w:id="40"/>
    </w:p>
    <w:p w:rsidR="00996088" w:rsidRPr="000214AE" w:rsidRDefault="00996088" w:rsidP="002C7D71">
      <w:pPr>
        <w:pStyle w:val="Headingi"/>
        <w:rPr>
          <w:lang w:eastAsia="ja-JP"/>
        </w:rPr>
      </w:pPr>
      <w:r w:rsidRPr="000214AE">
        <w:rPr>
          <w:lang w:eastAsia="ja-JP"/>
        </w:rPr>
        <w:t>Add the following text between fifth and sixth paragraph:</w:t>
      </w:r>
    </w:p>
    <w:p w:rsidR="00996088" w:rsidRPr="000214AE" w:rsidRDefault="00996088" w:rsidP="004747DC">
      <w:pPr>
        <w:rPr>
          <w:lang w:eastAsia="ja-JP"/>
        </w:rPr>
      </w:pPr>
      <w:r w:rsidRPr="000214AE">
        <w:t xml:space="preserve">In addition, in order to ensure correct operation of the FDB </w:t>
      </w:r>
      <w:r w:rsidR="000214AE" w:rsidRPr="000214AE">
        <w:t>f</w:t>
      </w:r>
      <w:r w:rsidRPr="000214AE">
        <w:t>lush operation, there are changes</w:t>
      </w:r>
      <w:r w:rsidR="00DB727D" w:rsidRPr="000214AE">
        <w:t xml:space="preserve"> to the operation of the </w:t>
      </w:r>
      <w:r w:rsidR="000214AE" w:rsidRPr="000214AE">
        <w:t>f</w:t>
      </w:r>
      <w:r w:rsidR="00DB727D" w:rsidRPr="000214AE">
        <w:t xml:space="preserve">lush logic </w:t>
      </w:r>
      <w:r w:rsidRPr="000214AE">
        <w:t>(see subclause 10.1.10).</w:t>
      </w:r>
    </w:p>
    <w:p w:rsidR="00996088" w:rsidRPr="000214AE" w:rsidRDefault="00DB727D" w:rsidP="002C7D71">
      <w:pPr>
        <w:pStyle w:val="Heading2"/>
        <w:rPr>
          <w:lang w:eastAsia="zh-CN"/>
        </w:rPr>
      </w:pPr>
      <w:bookmarkStart w:id="43" w:name="_Toc282501277"/>
      <w:bookmarkStart w:id="44" w:name="_Toc286243508"/>
      <w:r w:rsidRPr="000214AE">
        <w:rPr>
          <w:lang w:eastAsia="zh-CN"/>
        </w:rPr>
        <w:t>2.4</w:t>
      </w:r>
      <w:r w:rsidRPr="000214AE">
        <w:rPr>
          <w:lang w:eastAsia="zh-CN"/>
        </w:rPr>
        <w:tab/>
      </w:r>
      <w:r w:rsidR="00996088" w:rsidRPr="000214AE">
        <w:rPr>
          <w:lang w:eastAsia="zh-CN"/>
        </w:rPr>
        <w:t xml:space="preserve">Corrections to </w:t>
      </w:r>
      <w:r w:rsidR="00996088" w:rsidRPr="000214AE">
        <w:rPr>
          <w:bCs/>
          <w:szCs w:val="24"/>
          <w:lang w:eastAsia="ja-JP"/>
        </w:rPr>
        <w:t>clause 10.1</w:t>
      </w:r>
      <w:r w:rsidR="00336F8B">
        <w:rPr>
          <w:bCs/>
          <w:szCs w:val="24"/>
          <w:lang w:eastAsia="ja-JP"/>
        </w:rPr>
        <w:t>,</w:t>
      </w:r>
      <w:r w:rsidR="00996088" w:rsidRPr="000214AE">
        <w:rPr>
          <w:bCs/>
          <w:szCs w:val="24"/>
          <w:lang w:eastAsia="ja-JP"/>
        </w:rPr>
        <w:t xml:space="preserve"> </w:t>
      </w:r>
      <w:bookmarkStart w:id="45" w:name="_Toc198036097"/>
      <w:bookmarkStart w:id="46" w:name="_Toc245788451"/>
      <w:bookmarkStart w:id="47" w:name="_Toc242774349"/>
      <w:r w:rsidR="00996088" w:rsidRPr="000214AE">
        <w:rPr>
          <w:lang w:eastAsia="ja-JP"/>
        </w:rPr>
        <w:t>Principles of operations</w:t>
      </w:r>
      <w:bookmarkEnd w:id="45"/>
      <w:bookmarkEnd w:id="46"/>
      <w:bookmarkEnd w:id="47"/>
      <w:bookmarkEnd w:id="43"/>
      <w:bookmarkEnd w:id="44"/>
    </w:p>
    <w:p w:rsidR="00996088" w:rsidRPr="000214AE" w:rsidRDefault="00996088" w:rsidP="002C7D71">
      <w:pPr>
        <w:pStyle w:val="Headingi"/>
        <w:rPr>
          <w:lang w:eastAsia="ja-JP"/>
        </w:rPr>
      </w:pPr>
      <w:r w:rsidRPr="000214AE">
        <w:rPr>
          <w:lang w:eastAsia="zh-CN"/>
        </w:rPr>
        <w:t>Replac</w:t>
      </w:r>
      <w:r w:rsidR="00DB727D" w:rsidRPr="000214AE">
        <w:rPr>
          <w:lang w:eastAsia="zh-CN"/>
        </w:rPr>
        <w:t>e the following old Figure 10-1:</w:t>
      </w:r>
    </w:p>
    <w:p w:rsidR="00996088" w:rsidRPr="000214AE" w:rsidRDefault="00996088" w:rsidP="00DB727D">
      <w:pPr>
        <w:pStyle w:val="Figure"/>
      </w:pPr>
      <w:r w:rsidRPr="000214AE">
        <w:rPr>
          <w:noProof/>
          <w:lang w:val="en-US" w:eastAsia="zh-CN"/>
        </w:rPr>
        <w:drawing>
          <wp:inline distT="0" distB="0" distL="0" distR="0" wp14:anchorId="3079DE50" wp14:editId="4E52801F">
            <wp:extent cx="5607050" cy="273431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607050" cy="2734310"/>
                    </a:xfrm>
                    <a:prstGeom prst="rect">
                      <a:avLst/>
                    </a:prstGeom>
                    <a:noFill/>
                    <a:ln w="9525">
                      <a:noFill/>
                      <a:miter lim="800000"/>
                      <a:headEnd/>
                      <a:tailEnd/>
                    </a:ln>
                  </pic:spPr>
                </pic:pic>
              </a:graphicData>
            </a:graphic>
          </wp:inline>
        </w:drawing>
      </w:r>
    </w:p>
    <w:p w:rsidR="00996088" w:rsidRPr="000214AE" w:rsidRDefault="00996088" w:rsidP="00DB727D">
      <w:pPr>
        <w:pStyle w:val="FigureNoTitle"/>
        <w:rPr>
          <w:lang w:eastAsia="ja-JP"/>
        </w:rPr>
      </w:pPr>
      <w:r w:rsidRPr="000214AE">
        <w:t>Figure 10-1</w:t>
      </w:r>
      <w:r w:rsidR="00DB727D" w:rsidRPr="000214AE">
        <w:t xml:space="preserve"> </w:t>
      </w:r>
      <w:r w:rsidRPr="000214AE">
        <w:t xml:space="preserve">– Decomposition of </w:t>
      </w:r>
      <w:r w:rsidRPr="000214AE">
        <w:rPr>
          <w:lang w:eastAsia="ja-JP"/>
        </w:rPr>
        <w:t>ERP</w:t>
      </w:r>
      <w:r w:rsidRPr="000214AE">
        <w:t xml:space="preserve"> </w:t>
      </w:r>
      <w:r w:rsidR="004747DC" w:rsidRPr="000214AE">
        <w:t>c</w:t>
      </w:r>
      <w:r w:rsidRPr="000214AE">
        <w:t xml:space="preserve">ontrol </w:t>
      </w:r>
      <w:r w:rsidR="004747DC" w:rsidRPr="000214AE">
        <w:t>p</w:t>
      </w:r>
      <w:r w:rsidRPr="000214AE">
        <w:t>rocess</w:t>
      </w:r>
    </w:p>
    <w:p w:rsidR="00996088" w:rsidRPr="000214AE" w:rsidRDefault="00DB727D" w:rsidP="002C7D71">
      <w:pPr>
        <w:pStyle w:val="Headingi"/>
        <w:rPr>
          <w:iCs/>
          <w:szCs w:val="24"/>
          <w:lang w:eastAsia="zh-CN"/>
        </w:rPr>
      </w:pPr>
      <w:r w:rsidRPr="000214AE">
        <w:rPr>
          <w:iCs/>
          <w:szCs w:val="24"/>
          <w:lang w:eastAsia="ja-JP"/>
        </w:rPr>
        <w:t>b</w:t>
      </w:r>
      <w:r w:rsidR="00996088" w:rsidRPr="000214AE">
        <w:rPr>
          <w:iCs/>
          <w:szCs w:val="24"/>
          <w:lang w:eastAsia="ja-JP"/>
        </w:rPr>
        <w:t xml:space="preserve">y </w:t>
      </w:r>
      <w:r w:rsidR="00996088" w:rsidRPr="000214AE">
        <w:rPr>
          <w:iCs/>
          <w:szCs w:val="24"/>
          <w:lang w:eastAsia="zh-CN"/>
        </w:rPr>
        <w:t>the following new Figure 10-1:</w:t>
      </w:r>
    </w:p>
    <w:p w:rsidR="00996088" w:rsidRPr="000214AE" w:rsidRDefault="00996088" w:rsidP="00DB727D">
      <w:pPr>
        <w:pStyle w:val="Figure"/>
        <w:rPr>
          <w:lang w:eastAsia="ja-JP"/>
        </w:rPr>
      </w:pPr>
      <w:r w:rsidRPr="000214AE">
        <w:rPr>
          <w:noProof/>
          <w:lang w:val="en-US" w:eastAsia="zh-CN"/>
        </w:rPr>
        <w:drawing>
          <wp:inline distT="0" distB="0" distL="0" distR="0" wp14:anchorId="4E0A1607" wp14:editId="73FBF28A">
            <wp:extent cx="5727700" cy="28378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727700" cy="2837815"/>
                    </a:xfrm>
                    <a:prstGeom prst="rect">
                      <a:avLst/>
                    </a:prstGeom>
                    <a:noFill/>
                    <a:ln w="9525">
                      <a:noFill/>
                      <a:miter lim="800000"/>
                      <a:headEnd/>
                      <a:tailEnd/>
                    </a:ln>
                  </pic:spPr>
                </pic:pic>
              </a:graphicData>
            </a:graphic>
          </wp:inline>
        </w:drawing>
      </w:r>
    </w:p>
    <w:p w:rsidR="00996088" w:rsidRPr="000214AE" w:rsidRDefault="00996088" w:rsidP="00DB727D">
      <w:pPr>
        <w:pStyle w:val="FigureNoTitle"/>
        <w:rPr>
          <w:lang w:eastAsia="ja-JP"/>
        </w:rPr>
      </w:pPr>
      <w:r w:rsidRPr="000214AE">
        <w:t>Figure 10-1</w:t>
      </w:r>
      <w:r w:rsidR="00DB727D" w:rsidRPr="000214AE">
        <w:t xml:space="preserve"> </w:t>
      </w:r>
      <w:r w:rsidRPr="000214AE">
        <w:t xml:space="preserve">– Decomposition of </w:t>
      </w:r>
      <w:r w:rsidRPr="000214AE">
        <w:rPr>
          <w:lang w:eastAsia="ja-JP"/>
        </w:rPr>
        <w:t>ERP</w:t>
      </w:r>
      <w:r w:rsidRPr="000214AE">
        <w:t xml:space="preserve"> </w:t>
      </w:r>
      <w:r w:rsidR="004747DC" w:rsidRPr="000214AE">
        <w:t>c</w:t>
      </w:r>
      <w:r w:rsidRPr="000214AE">
        <w:t xml:space="preserve">ontrol </w:t>
      </w:r>
      <w:r w:rsidR="004747DC" w:rsidRPr="000214AE">
        <w:t>p</w:t>
      </w:r>
      <w:r w:rsidRPr="000214AE">
        <w:t>rocess</w:t>
      </w:r>
    </w:p>
    <w:p w:rsidR="00996088" w:rsidRPr="000214AE" w:rsidRDefault="00DB727D" w:rsidP="004747DC">
      <w:pPr>
        <w:pStyle w:val="Heading2"/>
        <w:rPr>
          <w:lang w:eastAsia="ja-JP"/>
        </w:rPr>
      </w:pPr>
      <w:bookmarkStart w:id="48" w:name="_Toc282501278"/>
      <w:bookmarkStart w:id="49" w:name="_Toc286243509"/>
      <w:r w:rsidRPr="000214AE">
        <w:rPr>
          <w:lang w:eastAsia="zh-CN"/>
        </w:rPr>
        <w:t>2.5</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 xml:space="preserve">subclause </w:t>
      </w:r>
      <w:r w:rsidR="00996088" w:rsidRPr="000214AE">
        <w:t>10.1.</w:t>
      </w:r>
      <w:r w:rsidR="00996088" w:rsidRPr="000214AE">
        <w:rPr>
          <w:lang w:eastAsia="ja-JP"/>
        </w:rPr>
        <w:t>4</w:t>
      </w:r>
      <w:r w:rsidRPr="000214AE">
        <w:rPr>
          <w:lang w:eastAsia="ja-JP"/>
        </w:rPr>
        <w:t>,</w:t>
      </w:r>
      <w:r w:rsidR="00996088" w:rsidRPr="000214AE">
        <w:rPr>
          <w:lang w:eastAsia="ja-JP"/>
        </w:rPr>
        <w:t xml:space="preserve"> </w:t>
      </w:r>
      <w:bookmarkStart w:id="50" w:name="_Toc245788455"/>
      <w:bookmarkStart w:id="51" w:name="_Toc242774353"/>
      <w:r w:rsidR="00996088" w:rsidRPr="000214AE">
        <w:rPr>
          <w:lang w:eastAsia="ja-JP"/>
        </w:rPr>
        <w:t>Delay timers</w:t>
      </w:r>
      <w:bookmarkEnd w:id="50"/>
      <w:bookmarkEnd w:id="51"/>
      <w:bookmarkEnd w:id="48"/>
      <w:bookmarkEnd w:id="49"/>
    </w:p>
    <w:p w:rsidR="00996088" w:rsidRPr="000214AE" w:rsidRDefault="00996088" w:rsidP="002C7D71">
      <w:pPr>
        <w:pStyle w:val="Headingi"/>
        <w:rPr>
          <w:lang w:eastAsia="ja-JP"/>
        </w:rPr>
      </w:pPr>
      <w:r w:rsidRPr="000214AE">
        <w:rPr>
          <w:lang w:eastAsia="zh-CN"/>
        </w:rPr>
        <w:t>Replace:</w:t>
      </w:r>
    </w:p>
    <w:p w:rsidR="00996088" w:rsidRPr="000214AE" w:rsidRDefault="00DB727D" w:rsidP="00DB727D">
      <w:pPr>
        <w:pStyle w:val="enumlev1"/>
      </w:pPr>
      <w:r w:rsidRPr="000214AE">
        <w:t>a)</w:t>
      </w:r>
      <w:r w:rsidRPr="000214AE">
        <w:tab/>
      </w:r>
      <w:r w:rsidR="00996088" w:rsidRPr="000214AE">
        <w:t xml:space="preserve">When recovering from a </w:t>
      </w:r>
      <w:r w:rsidRPr="000214AE">
        <w:t>signal f</w:t>
      </w:r>
      <w:r w:rsidR="00996088" w:rsidRPr="000214AE">
        <w:t xml:space="preserve">ail, the delay timer must be long enough to allow the recovering network to become stable. This delay timer, called the WTR timer, may be configured by the operator in 1 minute steps between 1 and 12 minutes; the default value </w:t>
      </w:r>
      <w:r w:rsidR="00996088" w:rsidRPr="000214AE">
        <w:rPr>
          <w:lang w:eastAsia="ja-JP"/>
        </w:rPr>
        <w:t>being</w:t>
      </w:r>
      <w:r w:rsidR="00996088" w:rsidRPr="000214AE">
        <w:t xml:space="preserve"> 5 minutes.</w:t>
      </w:r>
    </w:p>
    <w:p w:rsidR="00996088" w:rsidRPr="000214AE" w:rsidRDefault="00DB727D" w:rsidP="002C7D71">
      <w:pPr>
        <w:pStyle w:val="Headingi"/>
        <w:rPr>
          <w:iCs/>
          <w:szCs w:val="24"/>
          <w:lang w:eastAsia="zh-CN"/>
        </w:rPr>
      </w:pPr>
      <w:r w:rsidRPr="000214AE">
        <w:rPr>
          <w:iCs/>
          <w:szCs w:val="24"/>
          <w:lang w:eastAsia="zh-CN"/>
        </w:rPr>
        <w:t>b</w:t>
      </w:r>
      <w:r w:rsidR="00996088" w:rsidRPr="000214AE">
        <w:rPr>
          <w:iCs/>
          <w:szCs w:val="24"/>
          <w:lang w:eastAsia="zh-CN"/>
        </w:rPr>
        <w:t>y:</w:t>
      </w:r>
    </w:p>
    <w:p w:rsidR="00996088" w:rsidRPr="000214AE" w:rsidRDefault="00DB727D" w:rsidP="00DB727D">
      <w:pPr>
        <w:pStyle w:val="enumlev1"/>
      </w:pPr>
      <w:r w:rsidRPr="000214AE">
        <w:t>a)</w:t>
      </w:r>
      <w:r w:rsidRPr="000214AE">
        <w:tab/>
      </w:r>
      <w:r w:rsidR="00996088" w:rsidRPr="000214AE">
        <w:t xml:space="preserve">When recovering from a </w:t>
      </w:r>
      <w:r w:rsidRPr="000214AE">
        <w:t>signal f</w:t>
      </w:r>
      <w:r w:rsidR="00996088" w:rsidRPr="000214AE">
        <w:t>ail, the delay timer must be long enough to allow the recovering network to become stable. This delay timer, called the WTR timer, may be configured by the operator</w:t>
      </w:r>
      <w:r w:rsidR="00996088" w:rsidRPr="000214AE">
        <w:rPr>
          <w:lang w:eastAsia="ja-JP"/>
        </w:rPr>
        <w:t xml:space="preserve"> </w:t>
      </w:r>
      <w:r w:rsidR="00996088" w:rsidRPr="000214AE">
        <w:t xml:space="preserve">(via ETH_C_MI_RAPS_WTR) in 1 minute steps between 1 and 12 minutes; the default value </w:t>
      </w:r>
      <w:r w:rsidR="00996088" w:rsidRPr="000214AE">
        <w:rPr>
          <w:lang w:eastAsia="ja-JP"/>
        </w:rPr>
        <w:t>being</w:t>
      </w:r>
      <w:r w:rsidR="00996088" w:rsidRPr="000214AE">
        <w:t xml:space="preserve"> 5 minutes.</w:t>
      </w:r>
    </w:p>
    <w:p w:rsidR="00996088" w:rsidRPr="000214AE" w:rsidRDefault="00DB727D" w:rsidP="004747DC">
      <w:pPr>
        <w:pStyle w:val="Heading2"/>
        <w:rPr>
          <w:lang w:eastAsia="ja-JP"/>
        </w:rPr>
      </w:pPr>
      <w:bookmarkStart w:id="52" w:name="_Toc282501279"/>
      <w:bookmarkStart w:id="53" w:name="_Toc286243510"/>
      <w:r w:rsidRPr="000214AE">
        <w:rPr>
          <w:lang w:eastAsia="zh-CN"/>
        </w:rPr>
        <w:t>2.6</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 xml:space="preserve">subclause </w:t>
      </w:r>
      <w:r w:rsidR="00996088" w:rsidRPr="000214AE">
        <w:t>10.1.5</w:t>
      </w:r>
      <w:r w:rsidRPr="000214AE">
        <w:t>,</w:t>
      </w:r>
      <w:r w:rsidR="00996088" w:rsidRPr="000214AE">
        <w:rPr>
          <w:lang w:eastAsia="ja-JP"/>
        </w:rPr>
        <w:t xml:space="preserve"> Guard </w:t>
      </w:r>
      <w:r w:rsidRPr="000214AE">
        <w:rPr>
          <w:lang w:eastAsia="ja-JP"/>
        </w:rPr>
        <w:t>t</w:t>
      </w:r>
      <w:r w:rsidR="00996088" w:rsidRPr="000214AE">
        <w:rPr>
          <w:lang w:eastAsia="ja-JP"/>
        </w:rPr>
        <w:t>imer</w:t>
      </w:r>
      <w:bookmarkEnd w:id="52"/>
      <w:bookmarkEnd w:id="53"/>
    </w:p>
    <w:p w:rsidR="00996088" w:rsidRPr="000214AE" w:rsidRDefault="00996088" w:rsidP="002C7D71">
      <w:pPr>
        <w:pStyle w:val="Headingi"/>
        <w:rPr>
          <w:lang w:eastAsia="ja-JP"/>
        </w:rPr>
      </w:pPr>
      <w:r w:rsidRPr="000214AE">
        <w:rPr>
          <w:lang w:eastAsia="zh-CN"/>
        </w:rPr>
        <w:t>Replace:</w:t>
      </w:r>
    </w:p>
    <w:p w:rsidR="00996088" w:rsidRPr="000214AE" w:rsidRDefault="00996088" w:rsidP="00DB727D">
      <w:pPr>
        <w:rPr>
          <w:lang w:eastAsia="ja-JP"/>
        </w:rPr>
      </w:pPr>
      <w:r w:rsidRPr="000214AE">
        <w:t xml:space="preserve">The guard timer is activated whenever an Ethernet </w:t>
      </w:r>
      <w:r w:rsidR="00DB727D" w:rsidRPr="000214AE">
        <w:t>ring n</w:t>
      </w:r>
      <w:r w:rsidRPr="000214AE">
        <w:t>ode receives an indication that a local switching request has cleared (i.e.</w:t>
      </w:r>
      <w:r w:rsidR="004747DC">
        <w:t>,</w:t>
      </w:r>
      <w:r w:rsidRPr="000214AE">
        <w:t xml:space="preserve"> local clear SF, Clear). The period of the guard timer may be configured by the operator in 10 ms steps between 10 ms and 2 seconds, with a default value of 500</w:t>
      </w:r>
      <w:r w:rsidR="00DB727D" w:rsidRPr="000214AE">
        <w:t> </w:t>
      </w:r>
      <w:r w:rsidRPr="000214AE">
        <w:t xml:space="preserve">ms. This timer period should be greater than the maximum expected forwarding delay in which an R-APS message traverses the entire ring. The longer the period of the guard timer, the longer an Ethernet </w:t>
      </w:r>
      <w:r w:rsidR="00DB727D" w:rsidRPr="000214AE">
        <w:t>ring n</w:t>
      </w:r>
      <w:r w:rsidRPr="000214AE">
        <w:t xml:space="preserve">ode is unaware of new or existing relevant requests transmitted from other Ethernet </w:t>
      </w:r>
      <w:r w:rsidR="00DB727D" w:rsidRPr="000214AE">
        <w:t>ring nodes</w:t>
      </w:r>
      <w:r w:rsidR="004747DC">
        <w:t>,</w:t>
      </w:r>
      <w:r w:rsidR="00DB727D" w:rsidRPr="000214AE">
        <w:t xml:space="preserve"> </w:t>
      </w:r>
      <w:r w:rsidRPr="000214AE">
        <w:t>and therefore unable to react to them.</w:t>
      </w:r>
    </w:p>
    <w:p w:rsidR="00996088" w:rsidRPr="000214AE" w:rsidRDefault="00996088" w:rsidP="002C7D71">
      <w:pPr>
        <w:pStyle w:val="Headingi"/>
        <w:rPr>
          <w:iCs/>
          <w:szCs w:val="24"/>
          <w:lang w:eastAsia="zh-CN"/>
        </w:rPr>
      </w:pPr>
      <w:r w:rsidRPr="000214AE">
        <w:rPr>
          <w:iCs/>
          <w:szCs w:val="24"/>
          <w:lang w:eastAsia="zh-CN"/>
        </w:rPr>
        <w:t>By:</w:t>
      </w:r>
    </w:p>
    <w:p w:rsidR="00996088" w:rsidRPr="000214AE" w:rsidRDefault="00996088" w:rsidP="002C7D71">
      <w:pPr>
        <w:rPr>
          <w:lang w:eastAsia="ja-JP"/>
        </w:rPr>
      </w:pPr>
      <w:r w:rsidRPr="000214AE">
        <w:t xml:space="preserve">The guard timer is activated whenever an Ethernet </w:t>
      </w:r>
      <w:r w:rsidR="00DB727D" w:rsidRPr="000214AE">
        <w:t>ring n</w:t>
      </w:r>
      <w:r w:rsidRPr="000214AE">
        <w:t>ode receives an indication that a local switching request has cleared (i.e.</w:t>
      </w:r>
      <w:r w:rsidR="004747DC">
        <w:t>,</w:t>
      </w:r>
      <w:r w:rsidRPr="000214AE">
        <w:t xml:space="preserve"> local clear SF, Clear). The period of the guard timer may be configured by the operator</w:t>
      </w:r>
      <w:r w:rsidRPr="000214AE">
        <w:rPr>
          <w:lang w:eastAsia="ja-JP"/>
        </w:rPr>
        <w:t xml:space="preserve"> </w:t>
      </w:r>
      <w:r w:rsidRPr="000214AE">
        <w:t xml:space="preserve">(via ETH_C_MI_RAPS_GuardTime) in 10 ms steps between 10 ms and 2 seconds, with a default value of 500 ms. This timer period should be greater than the maximum expected forwarding delay in which an R-APS message traverses the entire ring. The longer the period of the guard timer, the longer an Ethernet </w:t>
      </w:r>
      <w:r w:rsidR="00DB727D" w:rsidRPr="000214AE">
        <w:t>ring n</w:t>
      </w:r>
      <w:r w:rsidRPr="000214AE">
        <w:t xml:space="preserve">ode is unaware of new or existing relevant requests transmitted from other Ethernet </w:t>
      </w:r>
      <w:r w:rsidR="00DB727D" w:rsidRPr="000214AE">
        <w:t xml:space="preserve">ring nodes </w:t>
      </w:r>
      <w:r w:rsidRPr="000214AE">
        <w:t>and therefore unable to react to them.</w:t>
      </w:r>
    </w:p>
    <w:p w:rsidR="00996088" w:rsidRPr="000214AE" w:rsidRDefault="00DB727D" w:rsidP="004747DC">
      <w:pPr>
        <w:pStyle w:val="Heading2"/>
        <w:rPr>
          <w:lang w:eastAsia="ja-JP"/>
        </w:rPr>
      </w:pPr>
      <w:bookmarkStart w:id="54" w:name="_Toc282501280"/>
      <w:bookmarkStart w:id="55" w:name="_Toc286243511"/>
      <w:r w:rsidRPr="000214AE">
        <w:rPr>
          <w:lang w:eastAsia="zh-CN"/>
        </w:rPr>
        <w:t>2.7</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 xml:space="preserve">subclause </w:t>
      </w:r>
      <w:r w:rsidR="00996088" w:rsidRPr="000214AE">
        <w:t>10.1.</w:t>
      </w:r>
      <w:r w:rsidR="00996088" w:rsidRPr="000214AE">
        <w:rPr>
          <w:lang w:eastAsia="ja-JP"/>
        </w:rPr>
        <w:t>8</w:t>
      </w:r>
      <w:r w:rsidRPr="000214AE">
        <w:rPr>
          <w:lang w:eastAsia="ja-JP"/>
        </w:rPr>
        <w:t>,</w:t>
      </w:r>
      <w:r w:rsidR="00996088" w:rsidRPr="000214AE">
        <w:rPr>
          <w:lang w:eastAsia="ja-JP"/>
        </w:rPr>
        <w:t xml:space="preserve"> </w:t>
      </w:r>
      <w:bookmarkStart w:id="56" w:name="_Toc198036106"/>
      <w:bookmarkStart w:id="57" w:name="_Toc245788459"/>
      <w:bookmarkStart w:id="58" w:name="_Toc242774364"/>
      <w:r w:rsidR="00996088" w:rsidRPr="000214AE">
        <w:rPr>
          <w:lang w:eastAsia="ja-JP"/>
        </w:rPr>
        <w:t>Holdoff timer</w:t>
      </w:r>
      <w:bookmarkEnd w:id="56"/>
      <w:bookmarkEnd w:id="57"/>
      <w:bookmarkEnd w:id="58"/>
      <w:bookmarkEnd w:id="54"/>
      <w:bookmarkEnd w:id="55"/>
    </w:p>
    <w:p w:rsidR="00996088" w:rsidRPr="000214AE" w:rsidRDefault="00996088" w:rsidP="002C7D71">
      <w:pPr>
        <w:pStyle w:val="Headingi"/>
        <w:rPr>
          <w:lang w:eastAsia="ja-JP"/>
        </w:rPr>
      </w:pPr>
      <w:r w:rsidRPr="000214AE">
        <w:rPr>
          <w:lang w:eastAsia="zh-CN"/>
        </w:rPr>
        <w:t>Replace:</w:t>
      </w:r>
    </w:p>
    <w:p w:rsidR="00996088" w:rsidRPr="000214AE" w:rsidRDefault="00996088" w:rsidP="002C7D71">
      <w:pPr>
        <w:rPr>
          <w:lang w:eastAsia="ja-JP"/>
        </w:rPr>
      </w:pPr>
      <w:r w:rsidRPr="000214AE">
        <w:t xml:space="preserve">Each ERP </w:t>
      </w:r>
      <w:r w:rsidR="00DB727D" w:rsidRPr="000214AE">
        <w:t xml:space="preserve">control process </w:t>
      </w:r>
      <w:r w:rsidRPr="000214AE">
        <w:t xml:space="preserve">should have a </w:t>
      </w:r>
      <w:r w:rsidRPr="000214AE">
        <w:rPr>
          <w:lang w:eastAsia="ja-JP"/>
        </w:rPr>
        <w:t>configurable</w:t>
      </w:r>
      <w:r w:rsidRPr="000214AE">
        <w:t xml:space="preserve"> holdoff timer. The suggested range </w:t>
      </w:r>
      <w:r w:rsidRPr="000214AE">
        <w:rPr>
          <w:lang w:eastAsia="ja-JP"/>
        </w:rPr>
        <w:t>of the holdoff timer is</w:t>
      </w:r>
      <w:r w:rsidRPr="000214AE">
        <w:t xml:space="preserve"> 0 </w:t>
      </w:r>
      <w:r w:rsidRPr="000214AE">
        <w:rPr>
          <w:lang w:eastAsia="ja-JP"/>
        </w:rPr>
        <w:t>to</w:t>
      </w:r>
      <w:r w:rsidRPr="000214AE">
        <w:t xml:space="preserve"> 10 seconds in steps of 100 ms </w:t>
      </w:r>
      <w:r w:rsidRPr="000214AE">
        <w:rPr>
          <w:rFonts w:eastAsia="Batang"/>
          <w:lang w:eastAsia="ko-KR"/>
        </w:rPr>
        <w:t xml:space="preserve">with an </w:t>
      </w:r>
      <w:r w:rsidR="00F302AB" w:rsidRPr="000214AE">
        <w:t xml:space="preserve">accuracy of ±5 ms. </w:t>
      </w:r>
      <w:r w:rsidRPr="000214AE">
        <w:t>The default value for holdoff timer is 0 seconds.</w:t>
      </w:r>
    </w:p>
    <w:p w:rsidR="00996088" w:rsidRPr="000214AE" w:rsidRDefault="00996088" w:rsidP="004B716A">
      <w:pPr>
        <w:rPr>
          <w:lang w:eastAsia="ja-JP"/>
        </w:rPr>
      </w:pPr>
      <w:r w:rsidRPr="000214AE">
        <w:rPr>
          <w:lang w:eastAsia="ja-JP"/>
        </w:rPr>
        <w:t>W</w:t>
      </w:r>
      <w:r w:rsidRPr="000214AE">
        <w:t xml:space="preserve">hen a new defect or more severe defect occurs (new SF), this event is not reported immediately to protection switching if the provisioned holdoff timer value is non-zero. Instead, the holdoff timer is started. When the holdoff timer expires, </w:t>
      </w:r>
      <w:r w:rsidRPr="000214AE">
        <w:rPr>
          <w:lang w:eastAsia="ja-JP"/>
        </w:rPr>
        <w:t xml:space="preserve">the trail that started the timer is checked as to </w:t>
      </w:r>
      <w:r w:rsidRPr="000214AE">
        <w:t xml:space="preserve">whether a defect still exists. If one does exist, that defect is reported to protection switching. The </w:t>
      </w:r>
      <w:r w:rsidRPr="000214AE">
        <w:rPr>
          <w:lang w:eastAsia="ja-JP"/>
        </w:rPr>
        <w:t xml:space="preserve">reported </w:t>
      </w:r>
      <w:r w:rsidRPr="000214AE">
        <w:t>defect need not be the same one that started the timer.</w:t>
      </w:r>
    </w:p>
    <w:p w:rsidR="00996088" w:rsidRPr="000214AE" w:rsidRDefault="00996088" w:rsidP="002C7D71">
      <w:pPr>
        <w:pStyle w:val="Headingi"/>
        <w:rPr>
          <w:iCs/>
          <w:szCs w:val="24"/>
          <w:lang w:eastAsia="zh-CN"/>
        </w:rPr>
      </w:pPr>
      <w:r w:rsidRPr="000214AE">
        <w:rPr>
          <w:iCs/>
          <w:szCs w:val="24"/>
          <w:lang w:eastAsia="zh-CN"/>
        </w:rPr>
        <w:t>By:</w:t>
      </w:r>
    </w:p>
    <w:p w:rsidR="00996088" w:rsidRPr="000214AE" w:rsidRDefault="00996088" w:rsidP="00F302AB">
      <w:pPr>
        <w:rPr>
          <w:lang w:eastAsia="ja-JP"/>
        </w:rPr>
      </w:pPr>
      <w:r w:rsidRPr="000214AE">
        <w:t xml:space="preserve">Each ERP </w:t>
      </w:r>
      <w:r w:rsidR="00F302AB" w:rsidRPr="000214AE">
        <w:t xml:space="preserve">control process </w:t>
      </w:r>
      <w:r w:rsidRPr="000214AE">
        <w:t xml:space="preserve">should have a </w:t>
      </w:r>
      <w:r w:rsidRPr="000214AE">
        <w:rPr>
          <w:lang w:eastAsia="ja-JP"/>
        </w:rPr>
        <w:t>configurable</w:t>
      </w:r>
      <w:r w:rsidRPr="000214AE">
        <w:t xml:space="preserve"> holdoff timer</w:t>
      </w:r>
      <w:r w:rsidRPr="000214AE">
        <w:rPr>
          <w:lang w:eastAsia="ja-JP"/>
        </w:rPr>
        <w:t xml:space="preserve"> </w:t>
      </w:r>
      <w:r w:rsidRPr="000214AE">
        <w:t xml:space="preserve">(configurable via ETH_C_MI_RAPS_HoTime). The suggested range </w:t>
      </w:r>
      <w:r w:rsidRPr="000214AE">
        <w:rPr>
          <w:lang w:eastAsia="ja-JP"/>
        </w:rPr>
        <w:t>of the holdoff timer is</w:t>
      </w:r>
      <w:r w:rsidRPr="000214AE">
        <w:t xml:space="preserve"> 0 </w:t>
      </w:r>
      <w:r w:rsidRPr="000214AE">
        <w:rPr>
          <w:lang w:eastAsia="ja-JP"/>
        </w:rPr>
        <w:t>to</w:t>
      </w:r>
      <w:r w:rsidRPr="000214AE">
        <w:t xml:space="preserve"> 10 seconds in steps of 100 ms </w:t>
      </w:r>
      <w:r w:rsidRPr="000214AE">
        <w:rPr>
          <w:rFonts w:eastAsia="Batang"/>
          <w:lang w:eastAsia="ko-KR"/>
        </w:rPr>
        <w:t xml:space="preserve">with an </w:t>
      </w:r>
      <w:r w:rsidRPr="000214AE">
        <w:t>accuracy of ±5 ms. The default value for holdoff timer is 0 seconds.</w:t>
      </w:r>
    </w:p>
    <w:p w:rsidR="00996088" w:rsidRPr="000214AE" w:rsidRDefault="00996088" w:rsidP="004B716A">
      <w:pPr>
        <w:rPr>
          <w:lang w:eastAsia="ja-JP"/>
        </w:rPr>
      </w:pPr>
      <w:r w:rsidRPr="000214AE">
        <w:rPr>
          <w:lang w:eastAsia="ja-JP"/>
        </w:rPr>
        <w:t>W</w:t>
      </w:r>
      <w:r w:rsidRPr="000214AE">
        <w:t xml:space="preserve">hen a new defect or more severe defect occurs (new SF), this event is not reported immediately to protection switching if the provisioned holdoff timer value is non-zero. Instead, the holdoff timer is started. When the holdoff timer expires, </w:t>
      </w:r>
      <w:r w:rsidRPr="000214AE">
        <w:rPr>
          <w:lang w:eastAsia="ja-JP"/>
        </w:rPr>
        <w:t xml:space="preserve">the trail that started the timer is checked as to </w:t>
      </w:r>
      <w:r w:rsidRPr="000214AE">
        <w:t xml:space="preserve">whether a defect still exists. If one does exist, that defect is reported to protection switching. The </w:t>
      </w:r>
      <w:r w:rsidRPr="000214AE">
        <w:rPr>
          <w:lang w:eastAsia="ja-JP"/>
        </w:rPr>
        <w:t xml:space="preserve">reported </w:t>
      </w:r>
      <w:r w:rsidRPr="000214AE">
        <w:t>defect need not be the same one that started the timer.</w:t>
      </w:r>
    </w:p>
    <w:p w:rsidR="00996088" w:rsidRPr="000214AE" w:rsidRDefault="00F302AB" w:rsidP="004747DC">
      <w:pPr>
        <w:pStyle w:val="Heading2"/>
        <w:rPr>
          <w:lang w:eastAsia="ja-JP"/>
        </w:rPr>
      </w:pPr>
      <w:bookmarkStart w:id="59" w:name="_Toc282501281"/>
      <w:bookmarkStart w:id="60" w:name="_Toc286243512"/>
      <w:r w:rsidRPr="000214AE">
        <w:rPr>
          <w:lang w:eastAsia="zh-CN"/>
        </w:rPr>
        <w:t>2.8</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 xml:space="preserve">subclause </w:t>
      </w:r>
      <w:r w:rsidR="00996088" w:rsidRPr="000214AE">
        <w:t>10.1.</w:t>
      </w:r>
      <w:r w:rsidR="00996088" w:rsidRPr="000214AE">
        <w:rPr>
          <w:lang w:eastAsia="ja-JP"/>
        </w:rPr>
        <w:t>9</w:t>
      </w:r>
      <w:r w:rsidRPr="000214AE">
        <w:rPr>
          <w:lang w:eastAsia="ja-JP"/>
        </w:rPr>
        <w:t>,</w:t>
      </w:r>
      <w:r w:rsidR="00996088" w:rsidRPr="000214AE">
        <w:rPr>
          <w:lang w:eastAsia="ja-JP"/>
        </w:rPr>
        <w:t xml:space="preserve"> Local </w:t>
      </w:r>
      <w:r w:rsidRPr="000214AE">
        <w:rPr>
          <w:lang w:eastAsia="ja-JP"/>
        </w:rPr>
        <w:t>priority l</w:t>
      </w:r>
      <w:r w:rsidR="00996088" w:rsidRPr="000214AE">
        <w:rPr>
          <w:lang w:eastAsia="ja-JP"/>
        </w:rPr>
        <w:t>ogic</w:t>
      </w:r>
      <w:bookmarkEnd w:id="59"/>
      <w:bookmarkEnd w:id="60"/>
    </w:p>
    <w:p w:rsidR="00996088" w:rsidRPr="000214AE" w:rsidRDefault="00996088" w:rsidP="002C7D71">
      <w:pPr>
        <w:pStyle w:val="Headingi"/>
        <w:rPr>
          <w:lang w:eastAsia="ja-JP"/>
        </w:rPr>
      </w:pPr>
      <w:r w:rsidRPr="000214AE">
        <w:rPr>
          <w:lang w:eastAsia="zh-CN"/>
        </w:rPr>
        <w:t>Replace:</w:t>
      </w:r>
    </w:p>
    <w:p w:rsidR="00996088" w:rsidRPr="000214AE" w:rsidRDefault="00996088" w:rsidP="002C7D71">
      <w:pPr>
        <w:rPr>
          <w:lang w:eastAsia="ja-JP"/>
        </w:rPr>
      </w:pPr>
      <w:r w:rsidRPr="000214AE">
        <w:rPr>
          <w:lang w:eastAsia="ja-JP"/>
        </w:rPr>
        <w:t xml:space="preserve">Local priority logic evaluates the local operator commands according to the current top priority request. The commands Clear, </w:t>
      </w:r>
      <w:r w:rsidR="00F302AB" w:rsidRPr="000214AE">
        <w:rPr>
          <w:lang w:eastAsia="ja-JP"/>
        </w:rPr>
        <w:t xml:space="preserve">manual switch and forced switch </w:t>
      </w:r>
      <w:r w:rsidRPr="000214AE">
        <w:rPr>
          <w:lang w:eastAsia="ja-JP"/>
        </w:rPr>
        <w:t xml:space="preserve">from the operator, are forwarded to the </w:t>
      </w:r>
      <w:r w:rsidR="00F302AB" w:rsidRPr="000214AE">
        <w:rPr>
          <w:lang w:eastAsia="ja-JP"/>
        </w:rPr>
        <w:t>priority logic</w:t>
      </w:r>
      <w:r w:rsidRPr="000214AE">
        <w:rPr>
          <w:lang w:eastAsia="ja-JP"/>
        </w:rPr>
        <w:t>.</w:t>
      </w:r>
    </w:p>
    <w:p w:rsidR="00996088" w:rsidRPr="000214AE" w:rsidRDefault="00D86930" w:rsidP="002C7D71">
      <w:pPr>
        <w:pStyle w:val="Headingi"/>
        <w:rPr>
          <w:iCs/>
          <w:szCs w:val="24"/>
          <w:lang w:eastAsia="zh-CN"/>
        </w:rPr>
      </w:pPr>
      <w:r w:rsidRPr="000214AE">
        <w:rPr>
          <w:iCs/>
          <w:szCs w:val="24"/>
          <w:lang w:eastAsia="zh-CN"/>
        </w:rPr>
        <w:t>b</w:t>
      </w:r>
      <w:r w:rsidR="00996088" w:rsidRPr="000214AE">
        <w:rPr>
          <w:iCs/>
          <w:szCs w:val="24"/>
          <w:lang w:eastAsia="zh-CN"/>
        </w:rPr>
        <w:t>y:</w:t>
      </w:r>
    </w:p>
    <w:p w:rsidR="00996088" w:rsidRPr="000214AE" w:rsidRDefault="00996088" w:rsidP="002C7D71">
      <w:pPr>
        <w:rPr>
          <w:lang w:eastAsia="ja-JP"/>
        </w:rPr>
      </w:pPr>
      <w:r w:rsidRPr="000214AE">
        <w:rPr>
          <w:lang w:eastAsia="ja-JP"/>
        </w:rPr>
        <w:t xml:space="preserve">Local priority logic evaluates the local operator commands </w:t>
      </w:r>
      <w:r w:rsidRPr="000214AE">
        <w:t>(in ETH_C_MI_RAPS_ExtCMD)</w:t>
      </w:r>
      <w:r w:rsidRPr="000214AE">
        <w:rPr>
          <w:lang w:eastAsia="ja-JP"/>
        </w:rPr>
        <w:t xml:space="preserve"> according to the current top priority request. The commands Clear, </w:t>
      </w:r>
      <w:r w:rsidR="00F302AB" w:rsidRPr="000214AE">
        <w:rPr>
          <w:lang w:eastAsia="ja-JP"/>
        </w:rPr>
        <w:t>manual switch and forced switc</w:t>
      </w:r>
      <w:r w:rsidRPr="000214AE">
        <w:rPr>
          <w:lang w:eastAsia="ja-JP"/>
        </w:rPr>
        <w:t xml:space="preserve">h from the operator, are forwarded to the </w:t>
      </w:r>
      <w:r w:rsidR="00F302AB" w:rsidRPr="000214AE">
        <w:rPr>
          <w:lang w:eastAsia="ja-JP"/>
        </w:rPr>
        <w:t>priority logic</w:t>
      </w:r>
      <w:r w:rsidRPr="000214AE">
        <w:rPr>
          <w:lang w:eastAsia="ja-JP"/>
        </w:rPr>
        <w:t>.</w:t>
      </w:r>
    </w:p>
    <w:p w:rsidR="00996088" w:rsidRPr="000214AE" w:rsidRDefault="00D86930" w:rsidP="004747DC">
      <w:pPr>
        <w:pStyle w:val="Heading2"/>
        <w:rPr>
          <w:lang w:eastAsia="ja-JP"/>
        </w:rPr>
      </w:pPr>
      <w:bookmarkStart w:id="61" w:name="_Toc282501282"/>
      <w:bookmarkStart w:id="62" w:name="_Toc286243513"/>
      <w:r w:rsidRPr="000214AE">
        <w:rPr>
          <w:lang w:eastAsia="ja-JP"/>
        </w:rPr>
        <w:t>2.9</w:t>
      </w:r>
      <w:r w:rsidR="004747DC">
        <w:rPr>
          <w:lang w:eastAsia="ja-JP"/>
        </w:rPr>
        <w:t>)</w:t>
      </w:r>
      <w:r w:rsidRPr="000214AE">
        <w:rPr>
          <w:lang w:eastAsia="ja-JP"/>
        </w:rPr>
        <w:tab/>
      </w:r>
      <w:r w:rsidR="00996088" w:rsidRPr="000214AE">
        <w:rPr>
          <w:lang w:eastAsia="ja-JP"/>
        </w:rPr>
        <w:t>Corrections to subclause 10.1.10</w:t>
      </w:r>
      <w:r w:rsidR="00F302AB" w:rsidRPr="000214AE">
        <w:rPr>
          <w:lang w:eastAsia="ja-JP"/>
        </w:rPr>
        <w:t>,</w:t>
      </w:r>
      <w:r w:rsidR="00996088" w:rsidRPr="000214AE">
        <w:rPr>
          <w:lang w:eastAsia="ja-JP"/>
        </w:rPr>
        <w:t xml:space="preserve"> Flush </w:t>
      </w:r>
      <w:r w:rsidR="00F302AB" w:rsidRPr="000214AE">
        <w:rPr>
          <w:lang w:eastAsia="ja-JP"/>
        </w:rPr>
        <w:t>l</w:t>
      </w:r>
      <w:r w:rsidR="00996088" w:rsidRPr="000214AE">
        <w:rPr>
          <w:lang w:eastAsia="ja-JP"/>
        </w:rPr>
        <w:t>ogic</w:t>
      </w:r>
      <w:bookmarkEnd w:id="61"/>
      <w:bookmarkEnd w:id="62"/>
    </w:p>
    <w:p w:rsidR="00996088" w:rsidRPr="000214AE" w:rsidRDefault="00996088" w:rsidP="004747DC">
      <w:pPr>
        <w:pStyle w:val="Headingi"/>
        <w:rPr>
          <w:lang w:eastAsia="ja-JP"/>
        </w:rPr>
      </w:pPr>
      <w:r w:rsidRPr="000214AE">
        <w:rPr>
          <w:szCs w:val="24"/>
          <w:lang w:eastAsia="ja-JP"/>
        </w:rPr>
        <w:t>Change this subclause according to:</w:t>
      </w:r>
    </w:p>
    <w:p w:rsidR="00996088" w:rsidRPr="000214AE" w:rsidRDefault="00996088" w:rsidP="00996088">
      <w:pPr>
        <w:rPr>
          <w:lang w:eastAsia="ja-JP"/>
        </w:rPr>
      </w:pPr>
      <w:r w:rsidRPr="000214AE">
        <w:rPr>
          <w:lang w:eastAsia="ja-JP"/>
        </w:rPr>
        <w:t xml:space="preserve">The flush logic retains for each ring port the information of </w:t>
      </w:r>
      <w:r w:rsidR="00D86930" w:rsidRPr="000214AE">
        <w:rPr>
          <w:lang w:eastAsia="ja-JP"/>
        </w:rPr>
        <w:t xml:space="preserve">node </w:t>
      </w:r>
      <w:r w:rsidRPr="000214AE">
        <w:rPr>
          <w:lang w:eastAsia="ja-JP"/>
        </w:rPr>
        <w:t xml:space="preserve">ID and </w:t>
      </w:r>
      <w:r w:rsidR="00D86930" w:rsidRPr="000214AE">
        <w:rPr>
          <w:lang w:eastAsia="ja-JP"/>
        </w:rPr>
        <w:t xml:space="preserve">blocked port reference </w:t>
      </w:r>
      <w:r w:rsidRPr="000214AE">
        <w:rPr>
          <w:lang w:eastAsia="ja-JP"/>
        </w:rPr>
        <w:t>(BPR) of the last R-APS message</w:t>
      </w:r>
      <w:r w:rsidR="00D86930" w:rsidRPr="000214AE">
        <w:rPr>
          <w:lang w:eastAsia="ja-JP"/>
        </w:rPr>
        <w:t xml:space="preserve"> received over that ring port. </w:t>
      </w:r>
      <w:r w:rsidRPr="000214AE">
        <w:rPr>
          <w:lang w:eastAsia="ja-JP"/>
        </w:rPr>
        <w:t xml:space="preserve">As part of the initialization of the ERP </w:t>
      </w:r>
      <w:r w:rsidR="00D86930" w:rsidRPr="000214AE">
        <w:rPr>
          <w:lang w:eastAsia="ja-JP"/>
        </w:rPr>
        <w:t>control process</w:t>
      </w:r>
      <w:r w:rsidRPr="000214AE">
        <w:rPr>
          <w:lang w:eastAsia="ja-JP"/>
        </w:rPr>
        <w:t>, this information pair should be reset at both ring ports to the following values:</w:t>
      </w:r>
    </w:p>
    <w:p w:rsidR="00996088" w:rsidRPr="000214AE" w:rsidRDefault="00D86930" w:rsidP="00D86930">
      <w:pPr>
        <w:pStyle w:val="enumlev1"/>
        <w:rPr>
          <w:lang w:eastAsia="ja-JP"/>
        </w:rPr>
      </w:pPr>
      <w:r w:rsidRPr="000214AE">
        <w:rPr>
          <w:lang w:eastAsia="ja-JP"/>
        </w:rPr>
        <w:t>•</w:t>
      </w:r>
      <w:r w:rsidRPr="000214AE">
        <w:rPr>
          <w:lang w:eastAsia="ja-JP"/>
        </w:rPr>
        <w:tab/>
      </w:r>
      <w:r w:rsidR="00996088" w:rsidRPr="000214AE">
        <w:rPr>
          <w:lang w:eastAsia="ja-JP"/>
        </w:rPr>
        <w:t>Node ID: 00:00:00:00:00:00</w:t>
      </w:r>
    </w:p>
    <w:p w:rsidR="00996088" w:rsidRPr="000214AE" w:rsidRDefault="00D86930" w:rsidP="00D86930">
      <w:pPr>
        <w:pStyle w:val="enumlev1"/>
        <w:rPr>
          <w:lang w:eastAsia="ja-JP"/>
        </w:rPr>
      </w:pPr>
      <w:r w:rsidRPr="000214AE">
        <w:rPr>
          <w:lang w:eastAsia="ja-JP"/>
        </w:rPr>
        <w:t>•</w:t>
      </w:r>
      <w:r w:rsidRPr="000214AE">
        <w:rPr>
          <w:lang w:eastAsia="ja-JP"/>
        </w:rPr>
        <w:tab/>
      </w:r>
      <w:r w:rsidR="00996088" w:rsidRPr="000214AE">
        <w:rPr>
          <w:lang w:eastAsia="ja-JP"/>
        </w:rPr>
        <w:t>BPR: 0</w:t>
      </w:r>
    </w:p>
    <w:p w:rsidR="00996088" w:rsidRPr="000214AE" w:rsidRDefault="00996088" w:rsidP="004747DC">
      <w:pPr>
        <w:rPr>
          <w:lang w:eastAsia="ja-JP"/>
        </w:rPr>
      </w:pPr>
      <w:r w:rsidRPr="000214AE">
        <w:rPr>
          <w:lang w:eastAsia="ja-JP"/>
        </w:rPr>
        <w:t xml:space="preserve">For each new R-APS message received over one ring port, it extracts the (Node ID, BPR) pair and compares with the previous (Node ID, BPR) pair stored for that ring port. If it is different from the previous pair stored, then the previous pair is deleted and the newly received (Node ID, BPR) pair is stored for that ring port; and if it is different from the (Node ID, BPR) pair already stored at the other ring port, then a flush FDB action is triggered except when the new R-APS message has DNF or the receiving Ethernet </w:t>
      </w:r>
      <w:r w:rsidR="00D86930" w:rsidRPr="000214AE">
        <w:rPr>
          <w:lang w:eastAsia="ja-JP"/>
        </w:rPr>
        <w:t>ring node's n</w:t>
      </w:r>
      <w:r w:rsidRPr="000214AE">
        <w:rPr>
          <w:lang w:eastAsia="ja-JP"/>
        </w:rPr>
        <w:t xml:space="preserve">ode ID. An R-APS (NR) message received by this process does not cause a </w:t>
      </w:r>
      <w:r w:rsidR="00D86930" w:rsidRPr="000214AE">
        <w:rPr>
          <w:lang w:eastAsia="ja-JP"/>
        </w:rPr>
        <w:t xml:space="preserve">flush </w:t>
      </w:r>
      <w:r w:rsidRPr="000214AE">
        <w:rPr>
          <w:lang w:eastAsia="ja-JP"/>
        </w:rPr>
        <w:t>FDB</w:t>
      </w:r>
      <w:r w:rsidR="004747DC">
        <w:rPr>
          <w:lang w:eastAsia="ja-JP"/>
        </w:rPr>
        <w:t>;</w:t>
      </w:r>
      <w:r w:rsidRPr="000214AE">
        <w:rPr>
          <w:lang w:eastAsia="ja-JP"/>
        </w:rPr>
        <w:t xml:space="preserve"> however</w:t>
      </w:r>
      <w:r w:rsidR="00E13CBD">
        <w:rPr>
          <w:lang w:eastAsia="ja-JP"/>
        </w:rPr>
        <w:t>,</w:t>
      </w:r>
      <w:r w:rsidRPr="000214AE">
        <w:rPr>
          <w:lang w:eastAsia="ja-JP"/>
        </w:rPr>
        <w:t xml:space="preserve"> it causes the deletion of the current (Node ID, BPR) pair on the receiving ring port</w:t>
      </w:r>
      <w:r w:rsidR="004747DC">
        <w:rPr>
          <w:lang w:eastAsia="ja-JP"/>
        </w:rPr>
        <w:t>.</w:t>
      </w:r>
      <w:r w:rsidRPr="000214AE">
        <w:rPr>
          <w:lang w:eastAsia="ja-JP"/>
        </w:rPr>
        <w:t xml:space="preserve"> </w:t>
      </w:r>
      <w:r w:rsidR="004747DC" w:rsidRPr="000214AE">
        <w:rPr>
          <w:lang w:eastAsia="ja-JP"/>
        </w:rPr>
        <w:t>H</w:t>
      </w:r>
      <w:r w:rsidRPr="000214AE">
        <w:rPr>
          <w:lang w:eastAsia="ja-JP"/>
        </w:rPr>
        <w:t>owever</w:t>
      </w:r>
      <w:r w:rsidR="004747DC">
        <w:rPr>
          <w:lang w:eastAsia="ja-JP"/>
        </w:rPr>
        <w:t>,</w:t>
      </w:r>
      <w:r w:rsidR="00D86930" w:rsidRPr="000214AE">
        <w:rPr>
          <w:lang w:eastAsia="ja-JP"/>
        </w:rPr>
        <w:t xml:space="preserve"> </w:t>
      </w:r>
      <w:r w:rsidRPr="000214AE">
        <w:rPr>
          <w:lang w:eastAsia="ja-JP"/>
        </w:rPr>
        <w:t>the received (</w:t>
      </w:r>
      <w:r w:rsidR="00D86930" w:rsidRPr="000214AE">
        <w:rPr>
          <w:lang w:eastAsia="ja-JP"/>
        </w:rPr>
        <w:t>Node ID, BPR) pair is not stored.</w:t>
      </w:r>
      <w:r w:rsidRPr="000214AE">
        <w:rPr>
          <w:lang w:eastAsia="ja-JP"/>
        </w:rPr>
        <w:t xml:space="preserve"> When the ring port is changed to be blocked – as indicated by the block/unblock ring ports signal </w:t>
      </w:r>
      <w:r w:rsidR="00D86930" w:rsidRPr="000214AE">
        <w:rPr>
          <w:lang w:eastAsia="ja-JP"/>
        </w:rPr>
        <w:t>–</w:t>
      </w:r>
      <w:r w:rsidRPr="000214AE">
        <w:rPr>
          <w:lang w:eastAsia="ja-JP"/>
        </w:rPr>
        <w:t xml:space="preserve"> the flush logic deletes the current (</w:t>
      </w:r>
      <w:r w:rsidR="00D86930" w:rsidRPr="000214AE">
        <w:rPr>
          <w:lang w:eastAsia="ja-JP"/>
        </w:rPr>
        <w:t xml:space="preserve">Node </w:t>
      </w:r>
      <w:r w:rsidRPr="000214AE">
        <w:rPr>
          <w:lang w:eastAsia="ja-JP"/>
        </w:rPr>
        <w:t>ID, BPR) pair on both ring ports.</w:t>
      </w:r>
    </w:p>
    <w:p w:rsidR="00996088" w:rsidRPr="000214AE" w:rsidRDefault="00996088" w:rsidP="004747DC">
      <w:pPr>
        <w:rPr>
          <w:lang w:eastAsia="ja-JP"/>
        </w:rPr>
      </w:pPr>
      <w:r w:rsidRPr="000214AE">
        <w:rPr>
          <w:lang w:eastAsia="ja-JP"/>
        </w:rPr>
        <w:t xml:space="preserve">For a </w:t>
      </w:r>
      <w:r w:rsidR="004747DC" w:rsidRPr="000214AE">
        <w:rPr>
          <w:lang w:eastAsia="ja-JP"/>
        </w:rPr>
        <w:t>s</w:t>
      </w:r>
      <w:r w:rsidRPr="000214AE">
        <w:rPr>
          <w:lang w:eastAsia="ja-JP"/>
        </w:rPr>
        <w:t>ub-</w:t>
      </w:r>
      <w:r w:rsidR="004747DC" w:rsidRPr="000214AE">
        <w:rPr>
          <w:lang w:eastAsia="ja-JP"/>
        </w:rPr>
        <w:t>r</w:t>
      </w:r>
      <w:r w:rsidRPr="000214AE">
        <w:rPr>
          <w:lang w:eastAsia="ja-JP"/>
        </w:rPr>
        <w:t xml:space="preserve">ing running in the </w:t>
      </w:r>
      <w:r w:rsidR="00914A7B" w:rsidRPr="000214AE">
        <w:rPr>
          <w:lang w:eastAsia="ja-JP"/>
        </w:rPr>
        <w:t xml:space="preserve">without virtual channel </w:t>
      </w:r>
      <w:r w:rsidRPr="000214AE">
        <w:rPr>
          <w:lang w:eastAsia="ja-JP"/>
        </w:rPr>
        <w:t>model</w:t>
      </w:r>
      <w:r w:rsidR="004747DC">
        <w:rPr>
          <w:lang w:eastAsia="ja-JP"/>
        </w:rPr>
        <w:t>,</w:t>
      </w:r>
      <w:r w:rsidRPr="000214AE">
        <w:rPr>
          <w:lang w:eastAsia="ja-JP"/>
        </w:rPr>
        <w:t xml:space="preserve"> the following procedure should be followed. For each new R-APS message received over one ring port, it extracts the (Node ID, BPR) pair and compares with the previous (Node ID, BPR) pair stored for that ring port. If it is different from the previous pair stored, then the previous pair is deleted and the newly received (Node ID, BPR) pair is stored for that ring port, and a flush FDB action is triggered</w:t>
      </w:r>
      <w:r w:rsidR="004747DC">
        <w:rPr>
          <w:lang w:eastAsia="ja-JP"/>
        </w:rPr>
        <w:t>,</w:t>
      </w:r>
      <w:r w:rsidRPr="000214AE">
        <w:rPr>
          <w:lang w:eastAsia="ja-JP"/>
        </w:rPr>
        <w:t xml:space="preserve"> except when the new R</w:t>
      </w:r>
      <w:r w:rsidR="00D86930" w:rsidRPr="000214AE">
        <w:rPr>
          <w:lang w:eastAsia="ja-JP"/>
        </w:rPr>
        <w:noBreakHyphen/>
      </w:r>
      <w:r w:rsidRPr="000214AE">
        <w:rPr>
          <w:lang w:eastAsia="ja-JP"/>
        </w:rPr>
        <w:t>APS message has DNF.</w:t>
      </w:r>
      <w:r w:rsidR="00D86930" w:rsidRPr="000214AE">
        <w:rPr>
          <w:lang w:eastAsia="ja-JP"/>
        </w:rPr>
        <w:t xml:space="preserve"> </w:t>
      </w:r>
      <w:r w:rsidRPr="000214AE">
        <w:rPr>
          <w:lang w:eastAsia="ja-JP"/>
        </w:rPr>
        <w:t>In addition, the (Node ID, BPR) pair stored at the other ring port is deleted.</w:t>
      </w:r>
      <w:r w:rsidR="00D86930" w:rsidRPr="000214AE">
        <w:rPr>
          <w:lang w:eastAsia="ja-JP"/>
        </w:rPr>
        <w:t xml:space="preserve"> </w:t>
      </w:r>
      <w:r w:rsidRPr="000214AE">
        <w:rPr>
          <w:lang w:eastAsia="ja-JP"/>
        </w:rPr>
        <w:t>An R-APS (NR) message received by this process does not cause a Flush FDB</w:t>
      </w:r>
      <w:r w:rsidR="004747DC">
        <w:rPr>
          <w:lang w:eastAsia="ja-JP"/>
        </w:rPr>
        <w:t>;</w:t>
      </w:r>
      <w:r w:rsidRPr="000214AE">
        <w:rPr>
          <w:lang w:eastAsia="ja-JP"/>
        </w:rPr>
        <w:t xml:space="preserve"> however it causes the deletion of the current (Node ID, BPR) pair on the receiving ring port</w:t>
      </w:r>
      <w:r w:rsidR="004747DC">
        <w:rPr>
          <w:lang w:eastAsia="ja-JP"/>
        </w:rPr>
        <w:t>.</w:t>
      </w:r>
      <w:r w:rsidRPr="000214AE">
        <w:rPr>
          <w:lang w:eastAsia="ja-JP"/>
        </w:rPr>
        <w:t xml:space="preserve"> </w:t>
      </w:r>
      <w:r w:rsidR="004747DC" w:rsidRPr="000214AE">
        <w:rPr>
          <w:lang w:eastAsia="ja-JP"/>
        </w:rPr>
        <w:t>H</w:t>
      </w:r>
      <w:r w:rsidRPr="000214AE">
        <w:rPr>
          <w:lang w:eastAsia="ja-JP"/>
        </w:rPr>
        <w:t>owever, the received (Node ID, BPR) pair is not stored.</w:t>
      </w:r>
      <w:r w:rsidR="00D86930" w:rsidRPr="000214AE">
        <w:rPr>
          <w:lang w:eastAsia="ja-JP"/>
        </w:rPr>
        <w:t xml:space="preserve"> </w:t>
      </w:r>
      <w:r w:rsidRPr="000214AE">
        <w:rPr>
          <w:lang w:eastAsia="ja-JP"/>
        </w:rPr>
        <w:t>When the ring port is changed to be blocked – as indicated by the block/unblock ring ports signal</w:t>
      </w:r>
      <w:r w:rsidR="00D86930" w:rsidRPr="000214AE">
        <w:rPr>
          <w:lang w:eastAsia="ja-JP"/>
        </w:rPr>
        <w:t xml:space="preserve"> – </w:t>
      </w:r>
      <w:r w:rsidRPr="000214AE">
        <w:rPr>
          <w:lang w:eastAsia="ja-JP"/>
        </w:rPr>
        <w:t>the flush logic deletes the current (</w:t>
      </w:r>
      <w:r w:rsidR="00914A7B" w:rsidRPr="000214AE">
        <w:rPr>
          <w:lang w:eastAsia="ja-JP"/>
        </w:rPr>
        <w:t xml:space="preserve">Node </w:t>
      </w:r>
      <w:r w:rsidRPr="000214AE">
        <w:rPr>
          <w:lang w:eastAsia="ja-JP"/>
        </w:rPr>
        <w:t>ID, BPR) pair on both ring ports.</w:t>
      </w:r>
    </w:p>
    <w:p w:rsidR="00996088" w:rsidRPr="000214AE" w:rsidRDefault="00996088" w:rsidP="002C7D71">
      <w:pPr>
        <w:rPr>
          <w:lang w:eastAsia="ja-JP"/>
        </w:rPr>
      </w:pPr>
      <w:r w:rsidRPr="000214AE">
        <w:rPr>
          <w:lang w:eastAsia="ja-JP"/>
        </w:rPr>
        <w:t xml:space="preserve">The flush logic triggers a flush FDB action when it receives a flush indication from </w:t>
      </w:r>
      <w:r w:rsidR="004747DC" w:rsidRPr="000214AE">
        <w:rPr>
          <w:lang w:eastAsia="ja-JP"/>
        </w:rPr>
        <w:t>v</w:t>
      </w:r>
      <w:r w:rsidR="00D86930" w:rsidRPr="000214AE">
        <w:rPr>
          <w:lang w:eastAsia="ja-JP"/>
        </w:rPr>
        <w:t xml:space="preserve">alidity </w:t>
      </w:r>
      <w:r w:rsidR="004747DC" w:rsidRPr="000214AE">
        <w:rPr>
          <w:lang w:eastAsia="ja-JP"/>
        </w:rPr>
        <w:t>c</w:t>
      </w:r>
      <w:r w:rsidR="00D86930" w:rsidRPr="000214AE">
        <w:rPr>
          <w:lang w:eastAsia="ja-JP"/>
        </w:rPr>
        <w:t>heck</w:t>
      </w:r>
      <w:r w:rsidRPr="000214AE">
        <w:rPr>
          <w:lang w:eastAsia="ja-JP"/>
        </w:rPr>
        <w:t>.</w:t>
      </w:r>
    </w:p>
    <w:p w:rsidR="00996088" w:rsidRPr="000214AE" w:rsidRDefault="00D86930" w:rsidP="004747DC">
      <w:pPr>
        <w:pStyle w:val="Heading2"/>
        <w:rPr>
          <w:lang w:eastAsia="ja-JP"/>
        </w:rPr>
      </w:pPr>
      <w:bookmarkStart w:id="63" w:name="_Toc282501283"/>
      <w:bookmarkStart w:id="64" w:name="_Toc286243514"/>
      <w:r w:rsidRPr="000214AE">
        <w:rPr>
          <w:lang w:eastAsia="zh-CN"/>
        </w:rPr>
        <w:t>2.10</w:t>
      </w:r>
      <w:r w:rsidR="004747DC">
        <w:rPr>
          <w:lang w:eastAsia="zh-CN"/>
        </w:rPr>
        <w:t>)</w:t>
      </w:r>
      <w:r w:rsidRPr="000214AE">
        <w:rPr>
          <w:lang w:eastAsia="zh-CN"/>
        </w:rPr>
        <w:tab/>
      </w:r>
      <w:r w:rsidR="00996088" w:rsidRPr="000214AE">
        <w:rPr>
          <w:lang w:eastAsia="zh-CN"/>
        </w:rPr>
        <w:t xml:space="preserve">Corrections to </w:t>
      </w:r>
      <w:r w:rsidR="00996088" w:rsidRPr="000214AE">
        <w:rPr>
          <w:lang w:eastAsia="ja-JP"/>
        </w:rPr>
        <w:t xml:space="preserve">subclause </w:t>
      </w:r>
      <w:r w:rsidR="00996088" w:rsidRPr="000214AE">
        <w:t>10.1.</w:t>
      </w:r>
      <w:r w:rsidR="00996088" w:rsidRPr="000214AE">
        <w:rPr>
          <w:lang w:eastAsia="ja-JP"/>
        </w:rPr>
        <w:t>13</w:t>
      </w:r>
      <w:r w:rsidRPr="000214AE">
        <w:rPr>
          <w:lang w:eastAsia="ja-JP"/>
        </w:rPr>
        <w:t>,</w:t>
      </w:r>
      <w:r w:rsidR="00996088" w:rsidRPr="000214AE">
        <w:rPr>
          <w:lang w:eastAsia="ja-JP"/>
        </w:rPr>
        <w:t xml:space="preserve"> </w:t>
      </w:r>
      <w:bookmarkStart w:id="65" w:name="_Toc245788464"/>
      <w:bookmarkStart w:id="66" w:name="_Toc242774371"/>
      <w:r w:rsidR="00996088" w:rsidRPr="000214AE">
        <w:rPr>
          <w:lang w:eastAsia="ja-JP"/>
        </w:rPr>
        <w:t xml:space="preserve">Backward </w:t>
      </w:r>
      <w:r w:rsidRPr="000214AE">
        <w:rPr>
          <w:lang w:eastAsia="ja-JP"/>
        </w:rPr>
        <w:t>compatibility l</w:t>
      </w:r>
      <w:r w:rsidR="00996088" w:rsidRPr="000214AE">
        <w:rPr>
          <w:lang w:eastAsia="ja-JP"/>
        </w:rPr>
        <w:t>ogic</w:t>
      </w:r>
      <w:bookmarkEnd w:id="65"/>
      <w:bookmarkEnd w:id="66"/>
      <w:bookmarkEnd w:id="63"/>
      <w:bookmarkEnd w:id="64"/>
    </w:p>
    <w:p w:rsidR="00996088" w:rsidRPr="000214AE" w:rsidRDefault="00996088" w:rsidP="004747DC">
      <w:pPr>
        <w:pStyle w:val="Headingi"/>
        <w:rPr>
          <w:lang w:eastAsia="ja-JP"/>
        </w:rPr>
      </w:pPr>
      <w:r w:rsidRPr="000214AE">
        <w:rPr>
          <w:szCs w:val="24"/>
          <w:lang w:eastAsia="ja-JP"/>
        </w:rPr>
        <w:t>Change this subclause according to:</w:t>
      </w:r>
    </w:p>
    <w:p w:rsidR="00996088" w:rsidRPr="000214AE" w:rsidRDefault="00996088" w:rsidP="002C7D71">
      <w:r w:rsidRPr="000214AE">
        <w:rPr>
          <w:lang w:eastAsia="ja-JP"/>
        </w:rPr>
        <w:t xml:space="preserve">Backward compatibility logic accepts as inputs </w:t>
      </w:r>
      <w:r w:rsidRPr="000214AE">
        <w:t>ETH_C_</w:t>
      </w:r>
      <w:r w:rsidRPr="000214AE">
        <w:rPr>
          <w:lang w:eastAsia="ja-JP"/>
        </w:rPr>
        <w:t xml:space="preserve">MI_RAPS_Compatible_Version, </w:t>
      </w:r>
      <w:r w:rsidRPr="000214AE">
        <w:t>ETH_C_</w:t>
      </w:r>
      <w:r w:rsidRPr="000214AE">
        <w:rPr>
          <w:lang w:eastAsia="ja-JP"/>
        </w:rPr>
        <w:t xml:space="preserve">MI_RAPS_Revertive, and </w:t>
      </w:r>
      <w:r w:rsidRPr="000214AE">
        <w:t>ETH_C_MI_RAPS_ExtCMD, i.e.</w:t>
      </w:r>
      <w:r w:rsidR="004747DC">
        <w:t>,</w:t>
      </w:r>
      <w:r w:rsidRPr="000214AE">
        <w:t xml:space="preserve"> </w:t>
      </w:r>
      <w:r w:rsidRPr="000214AE">
        <w:rPr>
          <w:lang w:eastAsia="ja-JP"/>
        </w:rPr>
        <w:t>commands which are specific to this version of this Recommendation.</w:t>
      </w:r>
      <w:r w:rsidRPr="000214AE">
        <w:t xml:space="preserve"> If the ETH_C_MI_RAPS_Compatible_Version is set to the version number of this Recommendation, the inputs and commands are forwarded transparently. If the ETH_C_MI_RAPS_Compatible_Version is set to a previous version number than the version number of this Recommendation</w:t>
      </w:r>
      <w:r w:rsidR="004747DC">
        <w:t>,</w:t>
      </w:r>
      <w:r w:rsidRPr="000214AE">
        <w:t xml:space="preserve"> then some inputs and commands may not be forwarded. The default value of the ETH_C_MI_RAPS_Revertive shall be true. When the </w:t>
      </w:r>
      <w:r w:rsidRPr="000214AE">
        <w:rPr>
          <w:lang w:eastAsia="ja-JP"/>
        </w:rPr>
        <w:t>ETH_C_</w:t>
      </w:r>
      <w:r w:rsidRPr="000214AE">
        <w:t xml:space="preserve">MI_RAPS_Revertive is set to false, the Ethernet </w:t>
      </w:r>
      <w:r w:rsidR="00D86930" w:rsidRPr="000214AE">
        <w:t xml:space="preserve">ring </w:t>
      </w:r>
      <w:r w:rsidRPr="000214AE">
        <w:t>is operated in non-revertive mode.</w:t>
      </w:r>
    </w:p>
    <w:p w:rsidR="00996088" w:rsidRPr="000214AE" w:rsidRDefault="00D86930" w:rsidP="00D86930">
      <w:pPr>
        <w:pStyle w:val="enumlev1"/>
      </w:pPr>
      <w:r w:rsidRPr="000214AE">
        <w:t>a)</w:t>
      </w:r>
      <w:r w:rsidRPr="000214AE">
        <w:tab/>
      </w:r>
      <w:r w:rsidR="00996088" w:rsidRPr="000214AE">
        <w:t xml:space="preserve">If the ETH_C_MI_RAPS_Compatible_Version is set to </w:t>
      </w:r>
      <w:r w:rsidRPr="000214AE">
        <w:t>'</w:t>
      </w:r>
      <w:r w:rsidR="00996088" w:rsidRPr="000214AE">
        <w:t>1</w:t>
      </w:r>
      <w:r w:rsidRPr="000214AE">
        <w:t>'</w:t>
      </w:r>
      <w:r w:rsidR="00996088" w:rsidRPr="000214AE">
        <w:t xml:space="preserve"> then:</w:t>
      </w:r>
    </w:p>
    <w:p w:rsidR="00996088" w:rsidRPr="000214AE" w:rsidRDefault="00D86930" w:rsidP="00D86930">
      <w:pPr>
        <w:pStyle w:val="enumlev2"/>
        <w:rPr>
          <w:lang w:eastAsia="ja-JP"/>
        </w:rPr>
      </w:pPr>
      <w:r w:rsidRPr="000214AE">
        <w:t>1)</w:t>
      </w:r>
      <w:r w:rsidRPr="000214AE">
        <w:tab/>
      </w:r>
      <w:r w:rsidR="00996088" w:rsidRPr="000214AE">
        <w:t xml:space="preserve">Manual </w:t>
      </w:r>
      <w:r w:rsidRPr="000214AE">
        <w:t xml:space="preserve">switch and forced switch </w:t>
      </w:r>
      <w:r w:rsidR="00996088" w:rsidRPr="000214AE">
        <w:t>operator commands in ETH_C_MI_RAPS_ExtCMD</w:t>
      </w:r>
      <w:r w:rsidR="00996088" w:rsidRPr="000214AE">
        <w:rPr>
          <w:lang w:eastAsia="ja-JP"/>
        </w:rPr>
        <w:t xml:space="preserve"> </w:t>
      </w:r>
      <w:r w:rsidR="00996088" w:rsidRPr="000214AE">
        <w:t xml:space="preserve">are filtered, and are not passed to the </w:t>
      </w:r>
      <w:r w:rsidRPr="000214AE">
        <w:t>local priority logic.</w:t>
      </w:r>
    </w:p>
    <w:p w:rsidR="00996088" w:rsidRPr="000214AE" w:rsidRDefault="00D86930" w:rsidP="00D86930">
      <w:pPr>
        <w:pStyle w:val="enumlev2"/>
        <w:rPr>
          <w:lang w:eastAsia="ja-JP"/>
        </w:rPr>
      </w:pPr>
      <w:r w:rsidRPr="000214AE">
        <w:t>2)</w:t>
      </w:r>
      <w:r w:rsidRPr="000214AE">
        <w:tab/>
      </w:r>
      <w:r w:rsidR="00996088" w:rsidRPr="000214AE">
        <w:t>Revertive mode is set to the value true</w:t>
      </w:r>
      <w:r w:rsidR="004747DC">
        <w:t>.</w:t>
      </w:r>
    </w:p>
    <w:p w:rsidR="00996088" w:rsidRPr="000214AE" w:rsidRDefault="00D86930" w:rsidP="00D86930">
      <w:pPr>
        <w:pStyle w:val="enumlev1"/>
      </w:pPr>
      <w:r w:rsidRPr="000214AE">
        <w:t>b)</w:t>
      </w:r>
      <w:r w:rsidRPr="000214AE">
        <w:tab/>
      </w:r>
      <w:r w:rsidR="00996088" w:rsidRPr="000214AE">
        <w:t xml:space="preserve">If the ETH_C_MI_RAPS_Compatible_Version is set to </w:t>
      </w:r>
      <w:r w:rsidRPr="000214AE">
        <w:t>'</w:t>
      </w:r>
      <w:r w:rsidR="00996088" w:rsidRPr="000214AE">
        <w:t>2</w:t>
      </w:r>
      <w:r w:rsidRPr="000214AE">
        <w:t>'</w:t>
      </w:r>
      <w:r w:rsidR="00996088" w:rsidRPr="000214AE">
        <w:t xml:space="preserve"> then:</w:t>
      </w:r>
    </w:p>
    <w:p w:rsidR="00996088" w:rsidRPr="000214AE" w:rsidRDefault="00D86930" w:rsidP="00D86930">
      <w:pPr>
        <w:pStyle w:val="enumlev2"/>
        <w:rPr>
          <w:lang w:eastAsia="ja-JP"/>
        </w:rPr>
      </w:pPr>
      <w:r w:rsidRPr="000214AE">
        <w:t>1)</w:t>
      </w:r>
      <w:r w:rsidRPr="000214AE">
        <w:tab/>
      </w:r>
      <w:r w:rsidR="00996088" w:rsidRPr="000214AE">
        <w:t xml:space="preserve">Manual </w:t>
      </w:r>
      <w:r w:rsidRPr="000214AE">
        <w:t xml:space="preserve">switch and forced switch </w:t>
      </w:r>
      <w:r w:rsidR="00996088" w:rsidRPr="000214AE">
        <w:t>operator commands in ETH_C_MI_RAPS_ExtCMD</w:t>
      </w:r>
      <w:r w:rsidR="00996088" w:rsidRPr="000214AE">
        <w:rPr>
          <w:lang w:eastAsia="ja-JP"/>
        </w:rPr>
        <w:t xml:space="preserve"> </w:t>
      </w:r>
      <w:r w:rsidR="00996088" w:rsidRPr="000214AE">
        <w:t xml:space="preserve">are forwarded to </w:t>
      </w:r>
      <w:r w:rsidRPr="000214AE">
        <w:t>the local priority logic</w:t>
      </w:r>
      <w:r w:rsidR="00996088" w:rsidRPr="000214AE">
        <w:t>.</w:t>
      </w:r>
    </w:p>
    <w:p w:rsidR="00996088" w:rsidRPr="000214AE" w:rsidRDefault="00996088" w:rsidP="00D86930">
      <w:pPr>
        <w:pStyle w:val="enumlev2"/>
        <w:rPr>
          <w:lang w:eastAsia="ja-JP"/>
        </w:rPr>
      </w:pPr>
      <w:r w:rsidRPr="000214AE">
        <w:t>2)</w:t>
      </w:r>
      <w:r w:rsidRPr="000214AE">
        <w:tab/>
        <w:t>Revertive mode is set to the same value as the input ETH_C_MI_RAPS_Revertive.</w:t>
      </w:r>
    </w:p>
    <w:p w:rsidR="00996088" w:rsidRPr="000214AE" w:rsidRDefault="00D86930" w:rsidP="004747DC">
      <w:pPr>
        <w:pStyle w:val="enumlev1"/>
      </w:pPr>
      <w:r w:rsidRPr="000214AE">
        <w:t>c)</w:t>
      </w:r>
      <w:r w:rsidRPr="000214AE">
        <w:tab/>
      </w:r>
      <w:r w:rsidR="00996088" w:rsidRPr="000214AE">
        <w:t xml:space="preserve">ETH_C_MI_RAPS_Compatible_Version accepts the values </w:t>
      </w:r>
      <w:r w:rsidRPr="000214AE">
        <w:t>'</w:t>
      </w:r>
      <w:r w:rsidR="00996088" w:rsidRPr="000214AE">
        <w:t>1</w:t>
      </w:r>
      <w:r w:rsidRPr="000214AE">
        <w:t>'</w:t>
      </w:r>
      <w:r w:rsidR="00996088" w:rsidRPr="000214AE">
        <w:t xml:space="preserve"> and </w:t>
      </w:r>
      <w:r w:rsidRPr="000214AE">
        <w:t>'</w:t>
      </w:r>
      <w:r w:rsidR="00996088" w:rsidRPr="000214AE">
        <w:t>2</w:t>
      </w:r>
      <w:r w:rsidRPr="000214AE">
        <w:t>'</w:t>
      </w:r>
      <w:r w:rsidR="00996088" w:rsidRPr="000214AE">
        <w:t xml:space="preserve">. The default value of the ETH_C_MI_RAPS_Compatible_Version shall be </w:t>
      </w:r>
      <w:r w:rsidRPr="000214AE">
        <w:t>'</w:t>
      </w:r>
      <w:r w:rsidR="00996088" w:rsidRPr="000214AE">
        <w:t>2</w:t>
      </w:r>
      <w:r w:rsidRPr="000214AE">
        <w:t>'</w:t>
      </w:r>
      <w:r w:rsidR="00996088" w:rsidRPr="000214AE">
        <w:t xml:space="preserve">. The ETH_C_MI_RAPS_Compatible_Version is set to </w:t>
      </w:r>
      <w:r w:rsidRPr="000214AE">
        <w:t>'</w:t>
      </w:r>
      <w:r w:rsidR="00996088" w:rsidRPr="000214AE">
        <w:t>1</w:t>
      </w:r>
      <w:r w:rsidRPr="000214AE">
        <w:t>'</w:t>
      </w:r>
      <w:r w:rsidR="00996088" w:rsidRPr="000214AE">
        <w:t xml:space="preserve"> when an Ethernet </w:t>
      </w:r>
      <w:r w:rsidRPr="000214AE">
        <w:t>ring node</w:t>
      </w:r>
      <w:r w:rsidR="00996088" w:rsidRPr="000214AE">
        <w:t xml:space="preserve">, supporting only functionalities of </w:t>
      </w:r>
      <w:r w:rsidR="004747DC">
        <w:t xml:space="preserve">ITU-T </w:t>
      </w:r>
      <w:r w:rsidR="00996088" w:rsidRPr="000214AE">
        <w:t xml:space="preserve">G.8032-2008 and </w:t>
      </w:r>
      <w:r w:rsidR="004747DC">
        <w:t xml:space="preserve">ITU-T </w:t>
      </w:r>
      <w:r w:rsidR="00996088" w:rsidRPr="000214AE">
        <w:t>G.8032 Amd.1-20</w:t>
      </w:r>
      <w:r w:rsidR="004747DC">
        <w:t>10</w:t>
      </w:r>
      <w:r w:rsidR="00996088" w:rsidRPr="000214AE">
        <w:t xml:space="preserve">, exists on the same Ethernet </w:t>
      </w:r>
      <w:r w:rsidRPr="000214AE">
        <w:t>ring</w:t>
      </w:r>
      <w:r w:rsidR="00996088" w:rsidRPr="000214AE">
        <w:t>.</w:t>
      </w:r>
    </w:p>
    <w:p w:rsidR="00996088" w:rsidRPr="000214AE" w:rsidRDefault="00D86930" w:rsidP="002C7D71">
      <w:pPr>
        <w:pStyle w:val="Heading2"/>
        <w:rPr>
          <w:lang w:eastAsia="zh-CN"/>
        </w:rPr>
      </w:pPr>
      <w:bookmarkStart w:id="67" w:name="_Toc282501284"/>
      <w:bookmarkStart w:id="68" w:name="_Toc286243515"/>
      <w:r w:rsidRPr="000214AE">
        <w:rPr>
          <w:lang w:eastAsia="zh-CN"/>
        </w:rPr>
        <w:t>2.11</w:t>
      </w:r>
      <w:r w:rsidR="004747DC">
        <w:rPr>
          <w:lang w:eastAsia="zh-CN"/>
        </w:rPr>
        <w:t>)</w:t>
      </w:r>
      <w:r w:rsidRPr="000214AE">
        <w:rPr>
          <w:lang w:eastAsia="zh-CN"/>
        </w:rPr>
        <w:tab/>
      </w:r>
      <w:r w:rsidR="00996088" w:rsidRPr="000214AE">
        <w:rPr>
          <w:lang w:eastAsia="zh-CN"/>
        </w:rPr>
        <w:t xml:space="preserve">Corrections to </w:t>
      </w:r>
      <w:r w:rsidR="00996088" w:rsidRPr="000214AE">
        <w:rPr>
          <w:bCs/>
          <w:szCs w:val="24"/>
          <w:lang w:eastAsia="ja-JP"/>
        </w:rPr>
        <w:t>Appendix VIII</w:t>
      </w:r>
      <w:r w:rsidRPr="000214AE">
        <w:rPr>
          <w:bCs/>
          <w:szCs w:val="24"/>
          <w:lang w:eastAsia="ja-JP"/>
        </w:rPr>
        <w:t>,</w:t>
      </w:r>
      <w:r w:rsidR="00996088" w:rsidRPr="000214AE">
        <w:rPr>
          <w:bCs/>
          <w:szCs w:val="24"/>
          <w:lang w:eastAsia="ja-JP"/>
        </w:rPr>
        <w:t xml:space="preserve"> </w:t>
      </w:r>
      <w:r w:rsidR="00996088" w:rsidRPr="000214AE">
        <w:rPr>
          <w:lang w:eastAsia="ja-JP"/>
        </w:rPr>
        <w:t xml:space="preserve">Flush </w:t>
      </w:r>
      <w:r w:rsidRPr="000214AE">
        <w:rPr>
          <w:lang w:eastAsia="ja-JP"/>
        </w:rPr>
        <w:t>optimization</w:t>
      </w:r>
      <w:bookmarkEnd w:id="67"/>
      <w:bookmarkEnd w:id="68"/>
    </w:p>
    <w:p w:rsidR="00996088" w:rsidRPr="000214AE" w:rsidRDefault="00996088" w:rsidP="004747DC">
      <w:pPr>
        <w:pStyle w:val="Headingi"/>
        <w:rPr>
          <w:lang w:eastAsia="zh-CN"/>
        </w:rPr>
      </w:pPr>
      <w:r w:rsidRPr="000214AE">
        <w:rPr>
          <w:lang w:eastAsia="zh-CN"/>
        </w:rPr>
        <w:t xml:space="preserve">Replace the following old Figure </w:t>
      </w:r>
      <w:r w:rsidRPr="000214AE">
        <w:rPr>
          <w:lang w:eastAsia="ja-JP"/>
        </w:rPr>
        <w:t>VIII</w:t>
      </w:r>
      <w:r w:rsidR="004747DC">
        <w:rPr>
          <w:lang w:eastAsia="zh-CN"/>
        </w:rPr>
        <w:t>.</w:t>
      </w:r>
      <w:r w:rsidRPr="000214AE">
        <w:rPr>
          <w:lang w:eastAsia="ja-JP"/>
        </w:rPr>
        <w:t>4</w:t>
      </w:r>
      <w:r w:rsidR="00D86930" w:rsidRPr="000214AE">
        <w:rPr>
          <w:lang w:eastAsia="zh-CN"/>
        </w:rPr>
        <w:t>:</w:t>
      </w:r>
    </w:p>
    <w:p w:rsidR="00996088" w:rsidRPr="000214AE" w:rsidRDefault="00996088" w:rsidP="00D86930">
      <w:pPr>
        <w:pStyle w:val="Figure"/>
        <w:rPr>
          <w:lang w:eastAsia="ja-JP"/>
        </w:rPr>
      </w:pPr>
      <w:r w:rsidRPr="000214AE">
        <w:rPr>
          <w:noProof/>
          <w:lang w:val="en-US" w:eastAsia="zh-CN"/>
        </w:rPr>
        <w:drawing>
          <wp:inline distT="0" distB="0" distL="0" distR="0">
            <wp:extent cx="6090285" cy="29673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090285" cy="2967355"/>
                    </a:xfrm>
                    <a:prstGeom prst="rect">
                      <a:avLst/>
                    </a:prstGeom>
                    <a:noFill/>
                    <a:ln w="9525">
                      <a:noFill/>
                      <a:miter lim="800000"/>
                      <a:headEnd/>
                      <a:tailEnd/>
                    </a:ln>
                  </pic:spPr>
                </pic:pic>
              </a:graphicData>
            </a:graphic>
          </wp:inline>
        </w:drawing>
      </w:r>
    </w:p>
    <w:p w:rsidR="00996088" w:rsidRPr="000214AE" w:rsidRDefault="00D86930" w:rsidP="00D86930">
      <w:pPr>
        <w:pStyle w:val="FigureNoTitle"/>
        <w:rPr>
          <w:lang w:eastAsia="ja-JP"/>
        </w:rPr>
      </w:pPr>
      <w:r w:rsidRPr="000214AE">
        <w:rPr>
          <w:lang w:eastAsia="ja-JP"/>
        </w:rPr>
        <w:t>Figure VIII.</w:t>
      </w:r>
      <w:r w:rsidR="00996088" w:rsidRPr="000214AE">
        <w:rPr>
          <w:lang w:eastAsia="ja-JP"/>
        </w:rPr>
        <w:t>4</w:t>
      </w:r>
      <w:r w:rsidRPr="000214AE">
        <w:rPr>
          <w:lang w:eastAsia="ja-JP"/>
        </w:rPr>
        <w:t xml:space="preserve"> – </w:t>
      </w:r>
      <w:r w:rsidR="00996088" w:rsidRPr="000214AE">
        <w:rPr>
          <w:lang w:eastAsia="ja-JP"/>
        </w:rPr>
        <w:t xml:space="preserve">ERP </w:t>
      </w:r>
      <w:r w:rsidRPr="000214AE">
        <w:rPr>
          <w:lang w:eastAsia="ja-JP"/>
        </w:rPr>
        <w:t>control process model for flush optimization</w:t>
      </w:r>
    </w:p>
    <w:p w:rsidR="00996088" w:rsidRPr="000214AE" w:rsidRDefault="00D86930" w:rsidP="004747DC">
      <w:pPr>
        <w:pStyle w:val="Headingi"/>
        <w:rPr>
          <w:iCs/>
          <w:szCs w:val="24"/>
          <w:lang w:eastAsia="zh-CN"/>
        </w:rPr>
      </w:pPr>
      <w:r w:rsidRPr="000214AE">
        <w:rPr>
          <w:iCs/>
          <w:szCs w:val="24"/>
          <w:lang w:eastAsia="zh-CN"/>
        </w:rPr>
        <w:t>b</w:t>
      </w:r>
      <w:r w:rsidR="00996088" w:rsidRPr="000214AE">
        <w:rPr>
          <w:iCs/>
          <w:szCs w:val="24"/>
          <w:lang w:eastAsia="ja-JP"/>
        </w:rPr>
        <w:t>y</w:t>
      </w:r>
      <w:r w:rsidR="00996088" w:rsidRPr="000214AE">
        <w:rPr>
          <w:iCs/>
          <w:szCs w:val="24"/>
          <w:lang w:eastAsia="zh-CN"/>
        </w:rPr>
        <w:t xml:space="preserve"> the following new Figure </w:t>
      </w:r>
      <w:r w:rsidR="00996088" w:rsidRPr="000214AE">
        <w:rPr>
          <w:iCs/>
          <w:szCs w:val="24"/>
          <w:lang w:eastAsia="ja-JP"/>
        </w:rPr>
        <w:t>VIII</w:t>
      </w:r>
      <w:r w:rsidR="004747DC">
        <w:rPr>
          <w:iCs/>
          <w:szCs w:val="24"/>
          <w:lang w:eastAsia="ja-JP"/>
        </w:rPr>
        <w:t>.</w:t>
      </w:r>
      <w:r w:rsidR="00996088" w:rsidRPr="000214AE">
        <w:rPr>
          <w:iCs/>
          <w:szCs w:val="24"/>
          <w:lang w:eastAsia="ja-JP"/>
        </w:rPr>
        <w:t>4</w:t>
      </w:r>
      <w:r w:rsidR="00996088" w:rsidRPr="000214AE">
        <w:rPr>
          <w:iCs/>
          <w:szCs w:val="24"/>
          <w:lang w:eastAsia="zh-CN"/>
        </w:rPr>
        <w:t>:</w:t>
      </w:r>
    </w:p>
    <w:p w:rsidR="00996088" w:rsidRPr="000214AE" w:rsidRDefault="00996088" w:rsidP="00D86930">
      <w:pPr>
        <w:pStyle w:val="Figure"/>
        <w:rPr>
          <w:lang w:eastAsia="ja-JP"/>
        </w:rPr>
      </w:pPr>
      <w:r w:rsidRPr="000214AE">
        <w:rPr>
          <w:noProof/>
          <w:lang w:val="en-US" w:eastAsia="zh-CN"/>
        </w:rPr>
        <w:drawing>
          <wp:inline distT="0" distB="0" distL="0" distR="0">
            <wp:extent cx="5727700" cy="2837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27700" cy="2837815"/>
                    </a:xfrm>
                    <a:prstGeom prst="rect">
                      <a:avLst/>
                    </a:prstGeom>
                    <a:noFill/>
                    <a:ln w="9525">
                      <a:noFill/>
                      <a:miter lim="800000"/>
                      <a:headEnd/>
                      <a:tailEnd/>
                    </a:ln>
                  </pic:spPr>
                </pic:pic>
              </a:graphicData>
            </a:graphic>
          </wp:inline>
        </w:drawing>
      </w:r>
    </w:p>
    <w:p w:rsidR="00996088" w:rsidRPr="000214AE" w:rsidRDefault="00996088" w:rsidP="00D86930">
      <w:pPr>
        <w:pStyle w:val="FigureNoTitle"/>
        <w:rPr>
          <w:lang w:eastAsia="ja-JP"/>
        </w:rPr>
      </w:pPr>
      <w:r w:rsidRPr="000214AE">
        <w:rPr>
          <w:lang w:eastAsia="ja-JP"/>
        </w:rPr>
        <w:t>Figure VIII</w:t>
      </w:r>
      <w:r w:rsidR="00D86930" w:rsidRPr="000214AE">
        <w:rPr>
          <w:lang w:eastAsia="zh-CN"/>
        </w:rPr>
        <w:t>.</w:t>
      </w:r>
      <w:r w:rsidRPr="000214AE">
        <w:rPr>
          <w:lang w:eastAsia="ja-JP"/>
        </w:rPr>
        <w:t>4</w:t>
      </w:r>
      <w:r w:rsidR="00D86930" w:rsidRPr="000214AE">
        <w:t xml:space="preserve"> </w:t>
      </w:r>
      <w:r w:rsidR="00D86930" w:rsidRPr="000214AE">
        <w:rPr>
          <w:lang w:eastAsia="ja-JP"/>
        </w:rPr>
        <w:t xml:space="preserve">– </w:t>
      </w:r>
      <w:r w:rsidRPr="000214AE">
        <w:rPr>
          <w:lang w:eastAsia="ja-JP"/>
        </w:rPr>
        <w:t xml:space="preserve">ERP </w:t>
      </w:r>
      <w:r w:rsidR="00D86930" w:rsidRPr="000214AE">
        <w:rPr>
          <w:lang w:eastAsia="ja-JP"/>
        </w:rPr>
        <w:t>control process model for flush optimization</w:t>
      </w:r>
    </w:p>
    <w:p w:rsidR="00996088" w:rsidRPr="000214AE" w:rsidRDefault="00996088" w:rsidP="00996088">
      <w:pPr>
        <w:sectPr w:rsidR="00996088" w:rsidRPr="000214AE" w:rsidSect="009A64BD">
          <w:headerReference w:type="even" r:id="rId25"/>
          <w:type w:val="oddPage"/>
          <w:pgSz w:w="11907" w:h="16834" w:code="9"/>
          <w:pgMar w:top="1134" w:right="1134" w:bottom="1134" w:left="1134" w:header="567" w:footer="567" w:gutter="0"/>
          <w:paperSrc w:first="15" w:other="15"/>
          <w:pgNumType w:start="1"/>
          <w:cols w:space="720"/>
          <w:docGrid w:linePitch="326"/>
        </w:sectPr>
      </w:pPr>
    </w:p>
    <w:p w:rsidR="00996088" w:rsidRPr="000214AE" w:rsidRDefault="00996088">
      <w:pPr>
        <w:tabs>
          <w:tab w:val="clear" w:pos="794"/>
          <w:tab w:val="clear" w:pos="1191"/>
          <w:tab w:val="clear" w:pos="1588"/>
          <w:tab w:val="clear" w:pos="1985"/>
        </w:tabs>
        <w:overflowPunct/>
        <w:autoSpaceDE/>
        <w:autoSpaceDN/>
        <w:adjustRightInd/>
        <w:spacing w:before="0"/>
        <w:jc w:val="left"/>
        <w:textAlignment w:val="auto"/>
      </w:pPr>
      <w:bookmarkStart w:id="69" w:name="c3tope"/>
      <w:bookmarkEnd w:id="69"/>
    </w:p>
    <w:p w:rsidR="00996088" w:rsidRPr="000214AE" w:rsidRDefault="00996088" w:rsidP="00996088">
      <w:pPr>
        <w:spacing w:before="80" w:after="80"/>
        <w:jc w:val="center"/>
        <w:rPr>
          <w:sz w:val="20"/>
        </w:rPr>
      </w:pPr>
      <w:r w:rsidRPr="000214AE">
        <w:rPr>
          <w:sz w:val="20"/>
        </w:rPr>
        <w:t>ITU-T  Y-SERIES  RECOMMENDATIONS</w:t>
      </w:r>
    </w:p>
    <w:p w:rsidR="00996088" w:rsidRPr="000214AE" w:rsidRDefault="00996088" w:rsidP="00996088">
      <w:pPr>
        <w:spacing w:before="80" w:after="80"/>
        <w:jc w:val="center"/>
        <w:rPr>
          <w:b/>
          <w:sz w:val="20"/>
        </w:rPr>
      </w:pPr>
      <w:r w:rsidRPr="000214AE">
        <w:rPr>
          <w:b/>
          <w:sz w:val="20"/>
        </w:rPr>
        <w:t>GLOBAL INFORMATION INFRASTRUCTURE, INTERNET PROTOCOL ASPECTS AND NEXT-GENERATION NETWORKS</w:t>
      </w:r>
    </w:p>
    <w:tbl>
      <w:tblPr>
        <w:tblStyle w:val="TableGrid"/>
        <w:tblW w:w="9945" w:type="dxa"/>
        <w:tblInd w:w="10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211"/>
        <w:gridCol w:w="1734"/>
      </w:tblGrid>
      <w:tr w:rsidR="00996088" w:rsidRPr="000214AE" w:rsidTr="002C7D71">
        <w:tc>
          <w:tcPr>
            <w:tcW w:w="8050" w:type="dxa"/>
            <w:tcBorders>
              <w:bottom w:val="nil"/>
            </w:tcBorders>
            <w:shd w:val="clear" w:color="auto" w:fill="auto"/>
          </w:tcPr>
          <w:p w:rsidR="00996088" w:rsidRPr="000214AE" w:rsidRDefault="00996088" w:rsidP="002C7D71">
            <w:pPr>
              <w:spacing w:before="30" w:after="30" w:line="190" w:lineRule="exact"/>
              <w:jc w:val="left"/>
              <w:rPr>
                <w:sz w:val="20"/>
              </w:rPr>
            </w:pPr>
          </w:p>
        </w:tc>
        <w:tc>
          <w:tcPr>
            <w:tcW w:w="1700" w:type="dxa"/>
            <w:tcBorders>
              <w:bottom w:val="nil"/>
            </w:tcBorders>
            <w:shd w:val="clear" w:color="auto" w:fill="auto"/>
          </w:tcPr>
          <w:p w:rsidR="00996088" w:rsidRPr="000214AE" w:rsidRDefault="00996088" w:rsidP="002C7D71">
            <w:pPr>
              <w:spacing w:before="30" w:after="30" w:line="190" w:lineRule="exact"/>
              <w:jc w:val="left"/>
              <w:rPr>
                <w:sz w:val="20"/>
              </w:rPr>
            </w:pP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113"/>
              <w:jc w:val="left"/>
              <w:rPr>
                <w:sz w:val="20"/>
              </w:rPr>
            </w:pPr>
            <w:r w:rsidRPr="000214AE">
              <w:rPr>
                <w:sz w:val="20"/>
              </w:rPr>
              <w:t>GLOBAL INFORMATION INFRASTRUCTURE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General</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Y.100–Y.199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Services, applications and middleware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Y.200–Y.299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Network aspects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Y.300–Y.399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Interfaces and protocols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Y.400–Y.499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Numbering, addressing and naming</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Y.500–Y.599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Operation, administration and maintenance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Y.600–Y.699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Security</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Y.700–Y.799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Performances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Y.800–Y.899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113"/>
              <w:jc w:val="left"/>
              <w:rPr>
                <w:sz w:val="20"/>
              </w:rPr>
            </w:pPr>
            <w:r w:rsidRPr="000214AE">
              <w:rPr>
                <w:sz w:val="20"/>
              </w:rPr>
              <w:t>INTERNET PROTOCOL ASPECTS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General</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Y.1000–Y.1099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Services and applications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Y.1100–Y.1199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Architecture, access, network capabilities and resource management</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Y.1200–Y.1299</w:t>
            </w:r>
          </w:p>
        </w:tc>
      </w:tr>
      <w:tr w:rsidR="00996088" w:rsidRPr="000214AE" w:rsidTr="002C7D71">
        <w:tc>
          <w:tcPr>
            <w:tcW w:w="8050" w:type="dxa"/>
            <w:tcBorders>
              <w:top w:val="nil"/>
              <w:bottom w:val="nil"/>
            </w:tcBorders>
            <w:shd w:val="pct10" w:color="auto" w:fill="auto"/>
          </w:tcPr>
          <w:p w:rsidR="00996088" w:rsidRPr="000214AE" w:rsidRDefault="00996088" w:rsidP="002C7D71">
            <w:pPr>
              <w:spacing w:before="30" w:after="30" w:line="190" w:lineRule="exact"/>
              <w:ind w:left="283"/>
              <w:jc w:val="left"/>
              <w:rPr>
                <w:b/>
                <w:sz w:val="20"/>
              </w:rPr>
            </w:pPr>
            <w:r w:rsidRPr="000214AE">
              <w:rPr>
                <w:b/>
                <w:sz w:val="20"/>
              </w:rPr>
              <w:t>Transport</w:t>
            </w:r>
          </w:p>
        </w:tc>
        <w:tc>
          <w:tcPr>
            <w:tcW w:w="1700" w:type="dxa"/>
            <w:tcBorders>
              <w:top w:val="nil"/>
              <w:bottom w:val="nil"/>
            </w:tcBorders>
            <w:shd w:val="pct10" w:color="auto" w:fill="auto"/>
          </w:tcPr>
          <w:p w:rsidR="00996088" w:rsidRPr="000214AE" w:rsidRDefault="00996088" w:rsidP="002C7D71">
            <w:pPr>
              <w:spacing w:before="30" w:after="30" w:line="190" w:lineRule="exact"/>
              <w:jc w:val="left"/>
              <w:rPr>
                <w:b/>
                <w:sz w:val="20"/>
              </w:rPr>
            </w:pPr>
            <w:r w:rsidRPr="000214AE">
              <w:rPr>
                <w:b/>
                <w:sz w:val="20"/>
              </w:rPr>
              <w:t>Y.1300–Y.1399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Interworking</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Y.1400–Y.1499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Quality of service and network performance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Y.1500–Y.1599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Signalling</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Y.1600–Y.1699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Operation, administration and maintenance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Y.1700–Y.1799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Charging</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Y.1800–Y.1899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IPTV over NGN</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Y.1900–Y.1999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113"/>
              <w:jc w:val="left"/>
              <w:rPr>
                <w:sz w:val="20"/>
              </w:rPr>
            </w:pPr>
            <w:r w:rsidRPr="000214AE">
              <w:rPr>
                <w:sz w:val="20"/>
              </w:rPr>
              <w:t>NEXT GENERATION NETWORKS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Frameworks and functional architecture models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Y.2000–Y.2099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Quality of Service and performance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Y.2100–Y.2199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Service aspects: Service capabilities and service architecture</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Y.2200–Y.2249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Service aspects: Interoperability of services and networks in NGN</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Y.2250–Y.2299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Numbering, naming and addressing</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Y.2300–Y.2399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Network management</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Y.2400–Y.2499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Network control architectures and protocols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Y.2500–Y.2599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Future networks</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Y.2600–Y.2699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Security</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Y.2700–Y.2799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Generalized mobility</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Y.2800–Y.2899</w:t>
            </w:r>
          </w:p>
        </w:tc>
      </w:tr>
      <w:tr w:rsidR="00996088" w:rsidRPr="000214AE" w:rsidTr="002C7D71">
        <w:tc>
          <w:tcPr>
            <w:tcW w:w="8050" w:type="dxa"/>
            <w:tcBorders>
              <w:top w:val="nil"/>
              <w:bottom w:val="nil"/>
            </w:tcBorders>
            <w:shd w:val="clear" w:color="auto" w:fill="auto"/>
          </w:tcPr>
          <w:p w:rsidR="00996088" w:rsidRPr="000214AE" w:rsidRDefault="00996088" w:rsidP="002C7D71">
            <w:pPr>
              <w:spacing w:before="30" w:after="30" w:line="190" w:lineRule="exact"/>
              <w:ind w:left="283"/>
              <w:jc w:val="left"/>
              <w:rPr>
                <w:sz w:val="20"/>
              </w:rPr>
            </w:pPr>
            <w:r w:rsidRPr="000214AE">
              <w:rPr>
                <w:sz w:val="20"/>
              </w:rPr>
              <w:t>Carrier grade open environment</w:t>
            </w:r>
          </w:p>
        </w:tc>
        <w:tc>
          <w:tcPr>
            <w:tcW w:w="1700" w:type="dxa"/>
            <w:tcBorders>
              <w:top w:val="nil"/>
              <w:bottom w:val="nil"/>
            </w:tcBorders>
            <w:shd w:val="clear" w:color="auto" w:fill="auto"/>
          </w:tcPr>
          <w:p w:rsidR="00996088" w:rsidRPr="000214AE" w:rsidRDefault="00996088" w:rsidP="002C7D71">
            <w:pPr>
              <w:spacing w:before="30" w:after="30" w:line="190" w:lineRule="exact"/>
              <w:jc w:val="left"/>
              <w:rPr>
                <w:sz w:val="20"/>
              </w:rPr>
            </w:pPr>
            <w:r w:rsidRPr="000214AE">
              <w:rPr>
                <w:sz w:val="20"/>
              </w:rPr>
              <w:t>Y.2900–Y.2999</w:t>
            </w:r>
          </w:p>
        </w:tc>
      </w:tr>
      <w:tr w:rsidR="00996088" w:rsidRPr="000214AE" w:rsidTr="002C7D71">
        <w:tc>
          <w:tcPr>
            <w:tcW w:w="8050" w:type="dxa"/>
            <w:tcBorders>
              <w:top w:val="nil"/>
            </w:tcBorders>
            <w:shd w:val="clear" w:color="auto" w:fill="auto"/>
          </w:tcPr>
          <w:p w:rsidR="00996088" w:rsidRPr="000214AE" w:rsidRDefault="00996088" w:rsidP="002C7D71">
            <w:pPr>
              <w:spacing w:before="30" w:after="30" w:line="190" w:lineRule="exact"/>
              <w:ind w:left="283"/>
              <w:jc w:val="left"/>
              <w:rPr>
                <w:sz w:val="20"/>
              </w:rPr>
            </w:pPr>
          </w:p>
        </w:tc>
        <w:tc>
          <w:tcPr>
            <w:tcW w:w="1700" w:type="dxa"/>
            <w:tcBorders>
              <w:top w:val="nil"/>
            </w:tcBorders>
            <w:shd w:val="clear" w:color="auto" w:fill="auto"/>
          </w:tcPr>
          <w:p w:rsidR="00996088" w:rsidRPr="000214AE" w:rsidRDefault="00996088" w:rsidP="002C7D71">
            <w:pPr>
              <w:spacing w:before="30" w:after="30" w:line="190" w:lineRule="exact"/>
              <w:jc w:val="left"/>
              <w:rPr>
                <w:sz w:val="20"/>
              </w:rPr>
            </w:pPr>
          </w:p>
        </w:tc>
      </w:tr>
    </w:tbl>
    <w:p w:rsidR="00996088" w:rsidRPr="000214AE" w:rsidRDefault="00996088" w:rsidP="00996088">
      <w:pPr>
        <w:spacing w:before="80" w:after="80"/>
        <w:jc w:val="left"/>
        <w:rPr>
          <w:sz w:val="18"/>
        </w:rPr>
      </w:pPr>
      <w:r w:rsidRPr="000214AE">
        <w:rPr>
          <w:i/>
          <w:sz w:val="18"/>
        </w:rPr>
        <w:t>For further details, please refer to the list of ITU-T Recommendations.</w:t>
      </w:r>
    </w:p>
    <w:p w:rsidR="00996088" w:rsidRPr="000214AE" w:rsidRDefault="00996088" w:rsidP="00996088">
      <w:pPr>
        <w:sectPr w:rsidR="00996088" w:rsidRPr="000214AE" w:rsidSect="00996088">
          <w:headerReference w:type="even" r:id="rId26"/>
          <w:headerReference w:type="default" r:id="rId27"/>
          <w:footerReference w:type="even" r:id="rId28"/>
          <w:footerReference w:type="default" r:id="rId29"/>
          <w:type w:val="oddPage"/>
          <w:pgSz w:w="11907" w:h="16834" w:code="9"/>
          <w:pgMar w:top="1134" w:right="1134" w:bottom="1134" w:left="1134" w:header="482" w:footer="482" w:gutter="0"/>
          <w:paperSrc w:first="15" w:other="15"/>
          <w:cols w:space="720"/>
          <w:docGrid w:linePitch="326"/>
        </w:sectPr>
      </w:pPr>
    </w:p>
    <w:p w:rsidR="00996088" w:rsidRPr="000214AE" w:rsidRDefault="00996088">
      <w:pPr>
        <w:tabs>
          <w:tab w:val="clear" w:pos="794"/>
          <w:tab w:val="clear" w:pos="1191"/>
          <w:tab w:val="clear" w:pos="1588"/>
          <w:tab w:val="clear" w:pos="1985"/>
        </w:tabs>
        <w:overflowPunct/>
        <w:autoSpaceDE/>
        <w:autoSpaceDN/>
        <w:adjustRightInd/>
        <w:spacing w:before="0"/>
        <w:jc w:val="left"/>
        <w:textAlignment w:val="auto"/>
      </w:pPr>
      <w:bookmarkStart w:id="70" w:name="cov4top"/>
      <w:bookmarkEnd w:id="70"/>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41"/>
        <w:gridCol w:w="8704"/>
      </w:tblGrid>
      <w:tr w:rsidR="00996088" w:rsidRPr="000214AE" w:rsidTr="002C7D71">
        <w:tc>
          <w:tcPr>
            <w:tcW w:w="9945" w:type="dxa"/>
            <w:gridSpan w:val="2"/>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360" w:after="340"/>
              <w:jc w:val="center"/>
              <w:textAlignment w:val="auto"/>
              <w:rPr>
                <w:b/>
                <w:sz w:val="28"/>
              </w:rPr>
            </w:pPr>
            <w:r w:rsidRPr="000214AE">
              <w:rPr>
                <w:b/>
                <w:sz w:val="28"/>
              </w:rPr>
              <w:t>SERIES OF ITU-T RECOMMENDATIONS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bookmarkStart w:id="71" w:name="c4seriee"/>
            <w:bookmarkEnd w:id="71"/>
            <w:r w:rsidRPr="000214AE">
              <w:rPr>
                <w:sz w:val="22"/>
              </w:rPr>
              <w:t>Series A</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Organization of the work of ITU-T</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D</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General tariff principles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E</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Overall network operation, telephone service, service operation and human factors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F</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Non-telephone telecommunication services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b/>
                <w:sz w:val="22"/>
              </w:rPr>
            </w:pPr>
            <w:r w:rsidRPr="000214AE">
              <w:rPr>
                <w:b/>
                <w:sz w:val="22"/>
              </w:rPr>
              <w:t>Series G</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b/>
                <w:sz w:val="22"/>
              </w:rPr>
            </w:pPr>
            <w:r w:rsidRPr="000214AE">
              <w:rPr>
                <w:b/>
                <w:sz w:val="22"/>
              </w:rPr>
              <w:t>Transmission systems and media, digital systems and networks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H</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Audiovisual and multimedia systems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I</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Integrated services digital network</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J</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Cable networks and transmission of television, sound programme and other multimedia signals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K</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Protection against interference</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L</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Construction, installation and protection of cables and other elements of outside plant</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M</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Telecommunication management, including TMN and network maintenance</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N</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Maintenance: international sound programme and television transmission circuits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O</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Specifications of measuring equipment</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P</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Terminals and subjective and objective assessment methods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Q</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Switching and signalling</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R</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Telegraph transmission</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S</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Telegraph services terminal equipment</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T</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Terminals for telematic services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U</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Telegraph switching</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V</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Data communication over the telephone network</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X</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Data networks, open system communications and security</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b/>
                <w:bCs/>
                <w:sz w:val="22"/>
              </w:rPr>
            </w:pPr>
            <w:r w:rsidRPr="000214AE">
              <w:rPr>
                <w:b/>
                <w:bCs/>
                <w:sz w:val="22"/>
              </w:rPr>
              <w:t>Series Y</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b/>
                <w:bCs/>
                <w:sz w:val="22"/>
              </w:rPr>
            </w:pPr>
            <w:r w:rsidRPr="000214AE">
              <w:rPr>
                <w:b/>
                <w:bCs/>
                <w:sz w:val="22"/>
              </w:rPr>
              <w:t>Global information infrastructure, Internet protocol aspects and next-generation networks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r w:rsidRPr="000214AE">
              <w:rPr>
                <w:sz w:val="22"/>
              </w:rPr>
              <w:t>Series Z</w:t>
            </w: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r w:rsidRPr="000214AE">
              <w:rPr>
                <w:sz w:val="22"/>
              </w:rPr>
              <w:t>Languages and general software aspects for telecommunication systems</w:t>
            </w:r>
          </w:p>
        </w:tc>
      </w:tr>
      <w:tr w:rsidR="00996088" w:rsidRPr="000214AE" w:rsidTr="00996088">
        <w:tc>
          <w:tcPr>
            <w:tcW w:w="1241"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ind w:left="57"/>
              <w:jc w:val="left"/>
              <w:textAlignment w:val="auto"/>
              <w:rPr>
                <w:sz w:val="22"/>
              </w:rPr>
            </w:pPr>
          </w:p>
        </w:tc>
        <w:tc>
          <w:tcPr>
            <w:tcW w:w="4973" w:type="dxa"/>
            <w:shd w:val="clear" w:color="auto" w:fill="auto"/>
          </w:tcPr>
          <w:p w:rsidR="00996088" w:rsidRPr="000214AE" w:rsidRDefault="00996088" w:rsidP="00996088">
            <w:pPr>
              <w:tabs>
                <w:tab w:val="clear" w:pos="794"/>
                <w:tab w:val="clear" w:pos="1191"/>
                <w:tab w:val="clear" w:pos="1588"/>
                <w:tab w:val="clear" w:pos="1985"/>
              </w:tabs>
              <w:overflowPunct/>
              <w:autoSpaceDE/>
              <w:autoSpaceDN/>
              <w:adjustRightInd/>
              <w:spacing w:before="94" w:after="94"/>
              <w:jc w:val="left"/>
              <w:textAlignment w:val="auto"/>
              <w:rPr>
                <w:sz w:val="22"/>
              </w:rPr>
            </w:pPr>
          </w:p>
        </w:tc>
      </w:tr>
    </w:tbl>
    <w:p w:rsidR="00996088" w:rsidRPr="000214AE" w:rsidRDefault="00996088" w:rsidP="00996088">
      <w:pPr>
        <w:tabs>
          <w:tab w:val="clear" w:pos="794"/>
          <w:tab w:val="clear" w:pos="1191"/>
          <w:tab w:val="clear" w:pos="1588"/>
          <w:tab w:val="clear" w:pos="1985"/>
        </w:tabs>
        <w:overflowPunct/>
        <w:autoSpaceDE/>
        <w:autoSpaceDN/>
        <w:adjustRightInd/>
        <w:spacing w:before="0"/>
        <w:jc w:val="right"/>
        <w:textAlignment w:val="auto"/>
        <w:rPr>
          <w:sz w:val="104"/>
        </w:rPr>
      </w:pPr>
    </w:p>
    <w:p w:rsidR="00B46FF3" w:rsidRPr="000214AE" w:rsidRDefault="00B46FF3" w:rsidP="00996088"/>
    <w:sectPr w:rsidR="00B46FF3" w:rsidRPr="000214AE" w:rsidSect="00996088">
      <w:headerReference w:type="even" r:id="rId30"/>
      <w:headerReference w:type="default" r:id="rId31"/>
      <w:footerReference w:type="even" r:id="rId32"/>
      <w:footerReference w:type="default" r:id="rId33"/>
      <w:pgSz w:w="11907" w:h="16834" w:code="9"/>
      <w:pgMar w:top="1089" w:right="1089" w:bottom="1089" w:left="1089" w:header="482" w:footer="482"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7D" w:rsidRDefault="00DB727D">
      <w:r>
        <w:separator/>
      </w:r>
    </w:p>
  </w:endnote>
  <w:endnote w:type="continuationSeparator" w:id="0">
    <w:p w:rsidR="00DB727D" w:rsidRDefault="00D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FooterQP"/>
      <w:rPr>
        <w:lang w:val="fr-CH"/>
      </w:rPr>
    </w:pPr>
    <w:r>
      <w:rPr>
        <w:b w:val="0"/>
      </w:rPr>
      <w:fldChar w:fldCharType="begin"/>
    </w:r>
    <w:r w:rsidRPr="00996088">
      <w:rPr>
        <w:b w:val="0"/>
        <w:lang w:val="fr-CH"/>
      </w:rPr>
      <w:instrText xml:space="preserve"> PAGE  \* MERGEFORMAT </w:instrText>
    </w:r>
    <w:r>
      <w:rPr>
        <w:b w:val="0"/>
      </w:rPr>
      <w:fldChar w:fldCharType="separate"/>
    </w:r>
    <w:r w:rsidR="00914A7B">
      <w:rPr>
        <w:b w:val="0"/>
        <w:noProof/>
        <w:lang w:val="fr-CH"/>
      </w:rPr>
      <w:t>4</w:t>
    </w:r>
    <w:r>
      <w:rPr>
        <w:b w:val="0"/>
      </w:rPr>
      <w:fldChar w:fldCharType="end"/>
    </w:r>
    <w:r w:rsidRPr="00996088">
      <w:rPr>
        <w:lang w:val="fr-CH"/>
      </w:rPr>
      <w:tab/>
      <w:t>Rec. ITU</w:t>
    </w:r>
    <w:r w:rsidRPr="00996088">
      <w:rPr>
        <w:lang w:val="fr-CH"/>
      </w:rPr>
      <w:noBreakHyphen/>
      <w:t>T G.8032/Y.1344 (2010)/Cor.1 (10/2010)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FooterQP"/>
      <w:rPr>
        <w:b w:val="0"/>
        <w:lang w:val="fr-CH"/>
      </w:rPr>
    </w:pPr>
    <w:r>
      <w:tab/>
    </w:r>
    <w:r>
      <w:tab/>
    </w:r>
    <w:r w:rsidRPr="00996088">
      <w:rPr>
        <w:lang w:val="fr-CH"/>
      </w:rPr>
      <w:t>Rec. ITU</w:t>
    </w:r>
    <w:r w:rsidRPr="00996088">
      <w:rPr>
        <w:lang w:val="fr-CH"/>
      </w:rPr>
      <w:noBreakHyphen/>
      <w:t>T G.8032/Y.1344 (2010)/Cor.1 (10/2010)</w:t>
    </w:r>
    <w:r w:rsidRPr="00996088">
      <w:rPr>
        <w:lang w:val="fr-CH"/>
      </w:rPr>
      <w:tab/>
    </w:r>
    <w:r>
      <w:rPr>
        <w:b w:val="0"/>
      </w:rPr>
      <w:fldChar w:fldCharType="begin"/>
    </w:r>
    <w:r w:rsidRPr="00996088">
      <w:rPr>
        <w:b w:val="0"/>
        <w:lang w:val="fr-CH"/>
      </w:rPr>
      <w:instrText xml:space="preserve"> PAGE  \* MERGEFORMAT </w:instrText>
    </w:r>
    <w:r>
      <w:rPr>
        <w:b w:val="0"/>
      </w:rPr>
      <w:fldChar w:fldCharType="separate"/>
    </w:r>
    <w:r w:rsidR="009657CF">
      <w:rPr>
        <w:b w:val="0"/>
        <w:noProof/>
        <w:lang w:val="fr-CH"/>
      </w:rPr>
      <w:t>5</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rsidP="00996088">
    <w:pPr>
      <w:pStyle w:val="FooterQP"/>
      <w:jc w:val="right"/>
      <w:rPr>
        <w:rFonts w:ascii="Arial" w:hAnsi="Arial" w:cs="Arial"/>
        <w:b w:val="0"/>
      </w:rPr>
    </w:pPr>
    <w:r>
      <w:rPr>
        <w:rFonts w:ascii="Arial" w:hAnsi="Arial" w:cs="Arial"/>
        <w:b w:val="0"/>
      </w:rPr>
      <w:t>Printed in Switzerland</w:t>
    </w:r>
  </w:p>
  <w:p w:rsidR="00DB727D" w:rsidRPr="00996088" w:rsidRDefault="00DB727D" w:rsidP="00996088">
    <w:pPr>
      <w:pStyle w:val="FooterQP"/>
      <w:jc w:val="right"/>
      <w:rPr>
        <w:rFonts w:ascii="Arial" w:hAnsi="Arial" w:cs="Arial"/>
        <w:b w:val="0"/>
      </w:rPr>
    </w:pPr>
    <w:r>
      <w:rPr>
        <w:rFonts w:ascii="Arial" w:hAnsi="Arial" w:cs="Arial"/>
        <w:b w:val="0"/>
      </w:rPr>
      <w:t>Geneva,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rsidP="00996088">
    <w:pPr>
      <w:pStyle w:val="FooterQP"/>
      <w:jc w:val="right"/>
      <w:rPr>
        <w:rFonts w:ascii="Arial" w:hAnsi="Arial" w:cs="Arial"/>
        <w:b w:val="0"/>
      </w:rPr>
    </w:pPr>
    <w:r>
      <w:rPr>
        <w:rFonts w:ascii="Arial" w:hAnsi="Arial" w:cs="Arial"/>
        <w:b w:val="0"/>
      </w:rPr>
      <w:t>Printed in Switzerland</w:t>
    </w:r>
  </w:p>
  <w:p w:rsidR="00DB727D" w:rsidRPr="00996088" w:rsidRDefault="00DB727D" w:rsidP="00996088">
    <w:pPr>
      <w:pStyle w:val="FooterQP"/>
      <w:jc w:val="right"/>
      <w:rPr>
        <w:rFonts w:ascii="Arial" w:hAnsi="Arial" w:cs="Arial"/>
        <w:b w:val="0"/>
      </w:rPr>
    </w:pPr>
    <w:r>
      <w:rPr>
        <w:rFonts w:ascii="Arial" w:hAnsi="Arial" w:cs="Arial"/>
        <w:b w:val="0"/>
      </w:rPr>
      <w:t xml:space="preserve">Geneva,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7D" w:rsidRDefault="00DB727D">
      <w:r>
        <w:t>____________________</w:t>
      </w:r>
    </w:p>
  </w:footnote>
  <w:footnote w:type="continuationSeparator" w:id="0">
    <w:p w:rsidR="00DB727D" w:rsidRDefault="00DB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ind w:right="360" w:firstLine="360"/>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Default="00DB72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7D" w:rsidRPr="00996088" w:rsidRDefault="00DB727D" w:rsidP="0099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94B"/>
    <w:multiLevelType w:val="hybridMultilevel"/>
    <w:tmpl w:val="7572016C"/>
    <w:lvl w:ilvl="0" w:tplc="BCDE03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68203C"/>
    <w:multiLevelType w:val="hybridMultilevel"/>
    <w:tmpl w:val="935E1222"/>
    <w:lvl w:ilvl="0" w:tplc="BCDE03C8">
      <w:start w:val="1"/>
      <w:numFmt w:val="lowerLetter"/>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103B56"/>
    <w:multiLevelType w:val="multilevel"/>
    <w:tmpl w:val="60A05EAE"/>
    <w:lvl w:ilvl="0">
      <w:start w:val="1"/>
      <w:numFmt w:val="decimal"/>
      <w:lvlText w:val="%1"/>
      <w:lvlJc w:val="left"/>
      <w:pPr>
        <w:tabs>
          <w:tab w:val="num" w:pos="360"/>
        </w:tabs>
        <w:ind w:left="360" w:hanging="360"/>
      </w:pPr>
      <w:rPr>
        <w:rFonts w:eastAsia="MS Mincho" w:hint="default"/>
        <w:b/>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062404D"/>
    <w:multiLevelType w:val="multilevel"/>
    <w:tmpl w:val="757201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CD21C02"/>
    <w:multiLevelType w:val="multilevel"/>
    <w:tmpl w:val="757201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49126D4"/>
    <w:multiLevelType w:val="multilevel"/>
    <w:tmpl w:val="B8620DC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7D14F19"/>
    <w:multiLevelType w:val="hybridMultilevel"/>
    <w:tmpl w:val="5EBC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1"/>
    <w:rsid w:val="000214AE"/>
    <w:rsid w:val="000A287B"/>
    <w:rsid w:val="000B48BF"/>
    <w:rsid w:val="000E355E"/>
    <w:rsid w:val="0013384E"/>
    <w:rsid w:val="0016509B"/>
    <w:rsid w:val="002A2404"/>
    <w:rsid w:val="002B2170"/>
    <w:rsid w:val="002C50AE"/>
    <w:rsid w:val="002C7D71"/>
    <w:rsid w:val="002E5890"/>
    <w:rsid w:val="00336F8B"/>
    <w:rsid w:val="00356D5E"/>
    <w:rsid w:val="003825B9"/>
    <w:rsid w:val="0041539F"/>
    <w:rsid w:val="004747DC"/>
    <w:rsid w:val="004765B6"/>
    <w:rsid w:val="004B716A"/>
    <w:rsid w:val="004E7D87"/>
    <w:rsid w:val="00681642"/>
    <w:rsid w:val="00694C7A"/>
    <w:rsid w:val="00726163"/>
    <w:rsid w:val="008E4136"/>
    <w:rsid w:val="00914A7B"/>
    <w:rsid w:val="00923C60"/>
    <w:rsid w:val="009657CF"/>
    <w:rsid w:val="00994FE7"/>
    <w:rsid w:val="00996088"/>
    <w:rsid w:val="009A64BD"/>
    <w:rsid w:val="009C4BD0"/>
    <w:rsid w:val="00A43177"/>
    <w:rsid w:val="00AD60E6"/>
    <w:rsid w:val="00B46FF3"/>
    <w:rsid w:val="00B72114"/>
    <w:rsid w:val="00CF11D7"/>
    <w:rsid w:val="00D86930"/>
    <w:rsid w:val="00DB727D"/>
    <w:rsid w:val="00DD742A"/>
    <w:rsid w:val="00E13CBD"/>
    <w:rsid w:val="00F302AB"/>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rsid w:val="009A64BD"/>
    <w:pPr>
      <w:keepNext/>
      <w:keepLines/>
      <w:spacing w:before="360"/>
      <w:ind w:left="794" w:hanging="794"/>
      <w:jc w:val="left"/>
      <w:outlineLvl w:val="0"/>
    </w:pPr>
    <w:rPr>
      <w:b/>
    </w:rPr>
  </w:style>
  <w:style w:type="paragraph" w:styleId="Heading2">
    <w:name w:val="heading 2"/>
    <w:basedOn w:val="Heading1"/>
    <w:next w:val="Normal"/>
    <w:qFormat/>
    <w:rsid w:val="009A64BD"/>
    <w:pPr>
      <w:spacing w:before="240"/>
      <w:outlineLvl w:val="1"/>
    </w:pPr>
  </w:style>
  <w:style w:type="paragraph" w:styleId="Heading3">
    <w:name w:val="heading 3"/>
    <w:basedOn w:val="Heading1"/>
    <w:next w:val="Normal"/>
    <w:qFormat/>
    <w:rsid w:val="009A64BD"/>
    <w:pPr>
      <w:spacing w:before="160"/>
      <w:outlineLvl w:val="2"/>
    </w:pPr>
  </w:style>
  <w:style w:type="paragraph" w:styleId="Heading4">
    <w:name w:val="heading 4"/>
    <w:basedOn w:val="Heading3"/>
    <w:next w:val="Normal"/>
    <w:qFormat/>
    <w:rsid w:val="009A64BD"/>
    <w:pPr>
      <w:tabs>
        <w:tab w:val="clear" w:pos="794"/>
        <w:tab w:val="left" w:pos="1021"/>
      </w:tabs>
      <w:ind w:left="1021" w:hanging="1021"/>
      <w:outlineLvl w:val="3"/>
    </w:pPr>
  </w:style>
  <w:style w:type="paragraph" w:styleId="Heading5">
    <w:name w:val="heading 5"/>
    <w:basedOn w:val="Heading4"/>
    <w:next w:val="Normal"/>
    <w:qFormat/>
    <w:rsid w:val="009A64BD"/>
    <w:pPr>
      <w:outlineLvl w:val="4"/>
    </w:pPr>
  </w:style>
  <w:style w:type="paragraph" w:styleId="Heading6">
    <w:name w:val="heading 6"/>
    <w:basedOn w:val="Heading4"/>
    <w:next w:val="Normal"/>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A64BD"/>
    <w:rPr>
      <w:position w:val="6"/>
      <w:sz w:val="18"/>
    </w:rPr>
  </w:style>
  <w:style w:type="paragraph" w:styleId="FootnoteText">
    <w:name w:val="footnote text"/>
    <w:basedOn w:val="Note"/>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9A64BD"/>
    <w:pPr>
      <w:keepNext/>
      <w:keepLines/>
      <w:spacing w:before="720"/>
      <w:jc w:val="center"/>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rsid w:val="009A64BD"/>
    <w:rPr>
      <w:color w:val="0000FF"/>
      <w:u w:val="single"/>
    </w:rPr>
  </w:style>
  <w:style w:type="table" w:styleId="TableGrid">
    <w:name w:val="Table Grid"/>
    <w:basedOn w:val="TableNormal"/>
    <w:rsid w:val="0099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3CBD"/>
    <w:pPr>
      <w:spacing w:before="0"/>
    </w:pPr>
    <w:rPr>
      <w:rFonts w:ascii="Tahoma" w:hAnsi="Tahoma" w:cs="Tahoma"/>
      <w:sz w:val="16"/>
      <w:szCs w:val="16"/>
    </w:rPr>
  </w:style>
  <w:style w:type="character" w:customStyle="1" w:styleId="BalloonTextChar">
    <w:name w:val="Balloon Text Char"/>
    <w:basedOn w:val="DefaultParagraphFont"/>
    <w:link w:val="BalloonText"/>
    <w:rsid w:val="00E13CB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rsid w:val="009A64BD"/>
    <w:pPr>
      <w:keepNext/>
      <w:keepLines/>
      <w:spacing w:before="360"/>
      <w:ind w:left="794" w:hanging="794"/>
      <w:jc w:val="left"/>
      <w:outlineLvl w:val="0"/>
    </w:pPr>
    <w:rPr>
      <w:b/>
    </w:rPr>
  </w:style>
  <w:style w:type="paragraph" w:styleId="Heading2">
    <w:name w:val="heading 2"/>
    <w:basedOn w:val="Heading1"/>
    <w:next w:val="Normal"/>
    <w:qFormat/>
    <w:rsid w:val="009A64BD"/>
    <w:pPr>
      <w:spacing w:before="240"/>
      <w:outlineLvl w:val="1"/>
    </w:pPr>
  </w:style>
  <w:style w:type="paragraph" w:styleId="Heading3">
    <w:name w:val="heading 3"/>
    <w:basedOn w:val="Heading1"/>
    <w:next w:val="Normal"/>
    <w:qFormat/>
    <w:rsid w:val="009A64BD"/>
    <w:pPr>
      <w:spacing w:before="160"/>
      <w:outlineLvl w:val="2"/>
    </w:pPr>
  </w:style>
  <w:style w:type="paragraph" w:styleId="Heading4">
    <w:name w:val="heading 4"/>
    <w:basedOn w:val="Heading3"/>
    <w:next w:val="Normal"/>
    <w:qFormat/>
    <w:rsid w:val="009A64BD"/>
    <w:pPr>
      <w:tabs>
        <w:tab w:val="clear" w:pos="794"/>
        <w:tab w:val="left" w:pos="1021"/>
      </w:tabs>
      <w:ind w:left="1021" w:hanging="1021"/>
      <w:outlineLvl w:val="3"/>
    </w:pPr>
  </w:style>
  <w:style w:type="paragraph" w:styleId="Heading5">
    <w:name w:val="heading 5"/>
    <w:basedOn w:val="Heading4"/>
    <w:next w:val="Normal"/>
    <w:qFormat/>
    <w:rsid w:val="009A64BD"/>
    <w:pPr>
      <w:outlineLvl w:val="4"/>
    </w:pPr>
  </w:style>
  <w:style w:type="paragraph" w:styleId="Heading6">
    <w:name w:val="heading 6"/>
    <w:basedOn w:val="Heading4"/>
    <w:next w:val="Normal"/>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9A64BD"/>
    <w:rPr>
      <w:position w:val="6"/>
      <w:sz w:val="18"/>
    </w:rPr>
  </w:style>
  <w:style w:type="paragraph" w:styleId="FootnoteText">
    <w:name w:val="footnote text"/>
    <w:basedOn w:val="Note"/>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9A64BD"/>
    <w:pPr>
      <w:keepNext/>
      <w:keepLines/>
      <w:spacing w:before="720"/>
      <w:jc w:val="center"/>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rsid w:val="009A64BD"/>
    <w:rPr>
      <w:color w:val="0000FF"/>
      <w:u w:val="single"/>
    </w:rPr>
  </w:style>
  <w:style w:type="table" w:styleId="TableGrid">
    <w:name w:val="Table Grid"/>
    <w:basedOn w:val="TableNormal"/>
    <w:rsid w:val="0099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3CBD"/>
    <w:pPr>
      <w:spacing w:before="0"/>
    </w:pPr>
    <w:rPr>
      <w:rFonts w:ascii="Tahoma" w:hAnsi="Tahoma" w:cs="Tahoma"/>
      <w:sz w:val="16"/>
      <w:szCs w:val="16"/>
    </w:rPr>
  </w:style>
  <w:style w:type="character" w:customStyle="1" w:styleId="BalloonTextChar">
    <w:name w:val="Balloon Text Char"/>
    <w:basedOn w:val="DefaultParagraphFont"/>
    <w:link w:val="BalloonText"/>
    <w:rsid w:val="00E13CB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itu.int/ITU-T/ipr/"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CB3F-660D-4B78-9814-8422B2E5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24</TotalTime>
  <Pages>14</Pages>
  <Words>2920</Words>
  <Characters>16899</Characters>
  <Application>Microsoft Office Word</Application>
  <DocSecurity>0</DocSecurity>
  <Lines>487</Lines>
  <Paragraphs>303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ITU-T  RECOMMENDATION  </vt:lpstr>
      <vt:lpstr>1)	Scope</vt:lpstr>
      <vt:lpstr>2)	Changes to ITU-T G.8032/Y.1344</vt:lpstr>
      <vt:lpstr>    2.1)	Corrections to all clauses and subclauses</vt:lpstr>
      <vt:lpstr>    2.2)	Corrections to clause 8, Ring protection conditions and commands</vt:lpstr>
      <vt:lpstr>    2.3)	Corrections to subclause 9.7.2, Ring interconnection model without R-APS vi</vt:lpstr>
      <vt:lpstr>    2.4	Corrections to clause 10.1, Principles of operations</vt:lpstr>
      <vt:lpstr>    2.5)	Corrections to subclause 10.1.4, Delay timers</vt:lpstr>
      <vt:lpstr>    2.6)	Corrections to subclause 10.1.5, Guard timer</vt:lpstr>
      <vt:lpstr>    2.7)	Corrections to subclause 10.1.8, Holdoff timer</vt:lpstr>
      <vt:lpstr>    2.8)	Corrections to subclause 10.1.9, Local priority logic</vt:lpstr>
      <vt:lpstr>    2.9)	Corrections to subclause 10.1.10, Flush logic</vt:lpstr>
      <vt:lpstr>    2.10)	Corrections to subclause 10.1.13, Backward compatibility logic</vt:lpstr>
      <vt:lpstr>    2.11)	Corrections to Appendix VIII, Flush optimization</vt:lpstr>
    </vt:vector>
  </TitlesOfParts>
  <Company>ITU</Company>
  <LinksUpToDate>false</LinksUpToDate>
  <CharactersWithSpaces>19519</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G.8032/Y.1344 Corrigendum 1 (10/2010) Ethernet ring protection switching Corrigendum 1 </dc:title>
  <dc:subject>SERIES G: TRANSMISSION SYSTEMS AND MEDIA, DIGITAL SYSTEMS AND NETWORKS - Packet over Transport aspects – Ethernet over Transport aspects SERIES Y: GLOBAL INFORMATION INFRASTRUCTURE, INTERNET PROTOCOL ASPECTS AND NEXT-GENERATION NETWORKS Internet protocol aspects – Transport</dc:subject>
  <dc:creator>ITU-T </dc:creator>
  <cp:keywords>G.8032/Y.1344,G,8032/Y.1344</cp:keywords>
  <dc:description>Soby, 11.03.2011, MS-106344</dc:description>
  <cp:lastModifiedBy>soby</cp:lastModifiedBy>
  <cp:revision>9</cp:revision>
  <cp:lastPrinted>2004-12-15T08:14:00Z</cp:lastPrinted>
  <dcterms:created xsi:type="dcterms:W3CDTF">2011-02-23T15:46:00Z</dcterms:created>
  <dcterms:modified xsi:type="dcterms:W3CDTF">2011-03-11T13:22:00Z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G.8032/Y.1344 Corrigendum 1</vt:lpwstr>
  </property>
  <property fmtid="{D5CDD505-2E9C-101B-9397-08002B2CF9AE}" pid="3" name="docdate">
    <vt:lpwstr>QPubMacros.dot</vt:lpwstr>
  </property>
  <property fmtid="{D5CDD505-2E9C-101B-9397-08002B2CF9AE}" pid="4" name="doctitle">
    <vt:lpwstr>Corrigendum 1:</vt:lpwstr>
  </property>
  <property fmtid="{D5CDD505-2E9C-101B-9397-08002B2CF9AE}" pid="5" name="doctitle2">
    <vt:lpwstr>SERIES G: TRANSMISSION SYSTEMS AND MEDIA, DIGITAL SYSTEMS AND NETWORKS Packet over Transport aspects – Ethernet over Transport aspects SERIES Y: GLOBAL INFORMATION INFRASTRUCTURE, INTERNET PROTOCOL ASPECTS AND NEXT-GENERATION NETWORKS Internet protocol as</vt:lpwstr>
  </property>
  <property fmtid="{D5CDD505-2E9C-101B-9397-08002B2CF9AE}" pid="6" name="Language">
    <vt:lpwstr>English</vt:lpwstr>
  </property>
  <property fmtid="{D5CDD505-2E9C-101B-9397-08002B2CF9AE}" pid="7" name="Typist">
    <vt:lpwstr>Soby</vt:lpwstr>
  </property>
  <property fmtid="{D5CDD505-2E9C-101B-9397-08002B2CF9AE}" pid="8" name="Date completed">
    <vt:lpwstr>vendredi, 11. mars 2011</vt:lpwstr>
  </property>
</Properties>
</file>