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52" w:rsidRPr="001056B7" w:rsidRDefault="001056B7" w:rsidP="009F2D52">
      <w:pPr>
        <w:spacing w:after="120"/>
        <w:rPr>
          <w:rFonts w:asciiTheme="minorHAnsi" w:hAnsiTheme="minorHAnsi" w:cs="BellGothicStd-Black"/>
          <w:b/>
          <w:bCs/>
          <w:sz w:val="36"/>
          <w:szCs w:val="36"/>
        </w:rPr>
      </w:pPr>
      <w:r w:rsidRPr="001056B7">
        <w:rPr>
          <w:rFonts w:asciiTheme="minorHAnsi" w:hAnsiTheme="minorHAnsi" w:cs="BellGothicStd-Black"/>
          <w:b/>
          <w:bCs/>
          <w:sz w:val="36"/>
          <w:szCs w:val="36"/>
        </w:rPr>
        <w:t>POR UN FUTURO BAJO EN CARBONO: LA FUNCIÓN ESENCIAL DE LAS TIC PARA AFRONTAR EL CAMBIO CLIMÁTICO</w:t>
      </w:r>
    </w:p>
    <w:p w:rsidR="009F2D52" w:rsidRPr="001056B7" w:rsidRDefault="009F2D52" w:rsidP="009F2D52">
      <w:pPr>
        <w:spacing w:after="120"/>
        <w:rPr>
          <w:rFonts w:asciiTheme="minorHAnsi" w:hAnsiTheme="minorHAnsi" w:cs="BellGothicStd-Black"/>
          <w:b/>
          <w:bCs/>
          <w:szCs w:val="24"/>
        </w:rPr>
      </w:pPr>
      <w:r w:rsidRPr="001056B7">
        <w:rPr>
          <w:rFonts w:asciiTheme="minorHAnsi" w:hAnsiTheme="minorHAnsi" w:cs="BellGothicStd-Black"/>
          <w:b/>
          <w:bCs/>
          <w:szCs w:val="24"/>
        </w:rPr>
        <w:t>Miércoles 13 de octubre</w:t>
      </w:r>
    </w:p>
    <w:p w:rsidR="009F2D52" w:rsidRPr="001056B7" w:rsidRDefault="00124F5C" w:rsidP="001056B7">
      <w:pPr>
        <w:pBdr>
          <w:bottom w:val="single" w:sz="12" w:space="1" w:color="auto"/>
        </w:pBdr>
        <w:tabs>
          <w:tab w:val="clear" w:pos="1701"/>
          <w:tab w:val="clear" w:pos="2268"/>
          <w:tab w:val="clear" w:pos="2835"/>
          <w:tab w:val="left" w:pos="6379"/>
        </w:tabs>
        <w:spacing w:after="120"/>
        <w:rPr>
          <w:rFonts w:asciiTheme="minorHAnsi" w:hAnsiTheme="minorHAnsi" w:cs="BellGothicStd-Black"/>
          <w:b/>
          <w:bCs/>
          <w:sz w:val="28"/>
          <w:szCs w:val="28"/>
        </w:rPr>
      </w:pPr>
      <w:r>
        <w:rPr>
          <w:rFonts w:asciiTheme="minorHAnsi" w:hAnsiTheme="minorHAnsi" w:cs="BellGothicStd-Black"/>
          <w:b/>
          <w:bCs/>
          <w:szCs w:val="24"/>
        </w:rPr>
        <w:t>14.30-17.</w:t>
      </w:r>
      <w:r w:rsidR="009F2D52" w:rsidRPr="001056B7">
        <w:rPr>
          <w:rFonts w:asciiTheme="minorHAnsi" w:hAnsiTheme="minorHAnsi" w:cs="BellGothicStd-Black"/>
          <w:b/>
          <w:bCs/>
          <w:szCs w:val="24"/>
        </w:rPr>
        <w:t>30</w:t>
      </w:r>
      <w:r>
        <w:rPr>
          <w:rFonts w:asciiTheme="minorHAnsi" w:hAnsiTheme="minorHAnsi" w:cs="BellGothicStd-Black"/>
          <w:b/>
          <w:bCs/>
          <w:szCs w:val="24"/>
        </w:rPr>
        <w:t xml:space="preserve"> horas</w:t>
      </w:r>
      <w:r w:rsidR="001056B7" w:rsidRPr="001056B7">
        <w:rPr>
          <w:rFonts w:asciiTheme="minorHAnsi" w:hAnsiTheme="minorHAnsi" w:cs="BellGothicStd-Black"/>
          <w:b/>
          <w:bCs/>
          <w:szCs w:val="24"/>
        </w:rPr>
        <w:tab/>
        <w:t>Sesión SE.2 — Sala G</w:t>
      </w:r>
    </w:p>
    <w:p w:rsidR="001056B7" w:rsidRPr="001056B7" w:rsidRDefault="001056B7" w:rsidP="001056B7">
      <w:pPr>
        <w:pBdr>
          <w:bottom w:val="single" w:sz="12" w:space="1" w:color="auto"/>
        </w:pBdr>
        <w:tabs>
          <w:tab w:val="clear" w:pos="1701"/>
          <w:tab w:val="clear" w:pos="2268"/>
          <w:tab w:val="clear" w:pos="2835"/>
          <w:tab w:val="left" w:pos="6237"/>
        </w:tabs>
        <w:spacing w:after="120"/>
        <w:rPr>
          <w:rFonts w:asciiTheme="minorHAnsi" w:hAnsiTheme="minorHAnsi" w:cs="BellGothicStd-Black"/>
        </w:rPr>
      </w:pPr>
    </w:p>
    <w:p w:rsidR="001056B7" w:rsidRDefault="001056B7" w:rsidP="009F2D52">
      <w:pPr>
        <w:spacing w:after="120"/>
        <w:rPr>
          <w:rFonts w:asciiTheme="minorHAnsi" w:hAnsiTheme="minorHAnsi" w:cs="Verdana"/>
          <w:szCs w:val="24"/>
        </w:rPr>
      </w:pPr>
    </w:p>
    <w:p w:rsidR="009F2D52" w:rsidRPr="001056B7" w:rsidRDefault="009F2D52" w:rsidP="001056B7">
      <w:r w:rsidRPr="001056B7">
        <w:t>En esta sesión se examinará la reacción del sector de las TIC ante el cambio climático y cómo integrar plenamente las iniciativas de este sector en el proceso de la Convención Marco de las Naciones Unidas sobre el Cambio Climático (UNFCCC). También se resumirán los principales asuntos y las distintas respuestas innovadoras que está adoptando el sector de las TIC para afrontar los desafíos del cambio climático. Además, se presentarán las muy diversas iniciativas que ha adoptado la UIT, los progresos logrados hasta la fecha, las estrategias de futuro y las posibles situaciones que pueden producirse en la Decimosexta Conferencia de las Partes (COP16) y después de ésta.</w:t>
      </w:r>
    </w:p>
    <w:p w:rsidR="009F2D52" w:rsidRPr="001056B7" w:rsidRDefault="009F2D52" w:rsidP="009F2D52">
      <w:pPr>
        <w:spacing w:after="120"/>
        <w:rPr>
          <w:rFonts w:asciiTheme="minorHAnsi" w:hAnsiTheme="minorHAnsi" w:cs="Verdana"/>
          <w:szCs w:val="24"/>
        </w:rPr>
      </w:pPr>
      <w:r w:rsidRPr="001056B7">
        <w:rPr>
          <w:rFonts w:asciiTheme="minorHAnsi" w:hAnsiTheme="minorHAnsi" w:cs="Verdana"/>
          <w:szCs w:val="24"/>
        </w:rPr>
        <w:t>Los asuntos/cuestiones principales son los siguientes:</w:t>
      </w:r>
    </w:p>
    <w:p w:rsidR="009F2D52" w:rsidRPr="00BD07B7" w:rsidRDefault="009F2D52" w:rsidP="001056B7">
      <w:pPr>
        <w:pStyle w:val="enumlev1"/>
      </w:pPr>
      <w:r w:rsidRPr="00BD07B7">
        <w:rPr>
          <w:color w:val="007676"/>
        </w:rPr>
        <w:t>•</w:t>
      </w:r>
      <w:r w:rsidR="001056B7">
        <w:rPr>
          <w:color w:val="007676"/>
        </w:rPr>
        <w:tab/>
      </w:r>
      <w:r>
        <w:t xml:space="preserve">La función del sector de las TIC y las formas en que las diferentes iniciativas </w:t>
      </w:r>
      <w:r w:rsidRPr="00BD07B7">
        <w:t>(</w:t>
      </w:r>
      <w:r>
        <w:t>tales como redes inteligentes, redes de transporte inteligentes, computación en nubes, tecnologías propicias fundamentales</w:t>
      </w:r>
      <w:r w:rsidRPr="00BD07B7">
        <w:t xml:space="preserve">) </w:t>
      </w:r>
      <w:r>
        <w:t>crean y resuelven problemas relacionados con el cambio climático</w:t>
      </w:r>
      <w:r w:rsidR="001056B7">
        <w:t>.</w:t>
      </w:r>
    </w:p>
    <w:p w:rsidR="009F2D52" w:rsidRPr="00BD07B7" w:rsidRDefault="009F2D52" w:rsidP="001056B7">
      <w:pPr>
        <w:pStyle w:val="enumlev1"/>
      </w:pPr>
      <w:r w:rsidRPr="00F954F1">
        <w:t>•</w:t>
      </w:r>
      <w:r w:rsidR="001056B7">
        <w:tab/>
      </w:r>
      <w:r w:rsidRPr="00F954F1">
        <w:t>La necesidad de parámetros y metodologías para cuantificar</w:t>
      </w:r>
      <w:r>
        <w:t xml:space="preserve"> y evaluar</w:t>
      </w:r>
      <w:r w:rsidRPr="00F954F1">
        <w:t xml:space="preserve"> la incidencia de las TIC en el debate sobre el cambio climático</w:t>
      </w:r>
      <w:r w:rsidR="001056B7">
        <w:t>.</w:t>
      </w:r>
    </w:p>
    <w:p w:rsidR="009F2D52" w:rsidRPr="00BD07B7" w:rsidRDefault="009F2D52" w:rsidP="001056B7">
      <w:pPr>
        <w:pStyle w:val="enumlev1"/>
      </w:pPr>
      <w:r w:rsidRPr="00BD07B7">
        <w:rPr>
          <w:color w:val="007676"/>
        </w:rPr>
        <w:t>•</w:t>
      </w:r>
      <w:r w:rsidR="001056B7">
        <w:rPr>
          <w:color w:val="007676"/>
        </w:rPr>
        <w:tab/>
      </w:r>
      <w:r>
        <w:t>La función dirigente de la UIT en el sector de las T</w:t>
      </w:r>
      <w:r w:rsidRPr="00BD07B7">
        <w:t xml:space="preserve">IC </w:t>
      </w:r>
      <w:r>
        <w:t>para responder a los desafíos que plantea el cambio climático</w:t>
      </w:r>
      <w:r w:rsidR="001056B7">
        <w:t>.</w:t>
      </w:r>
    </w:p>
    <w:p w:rsidR="009F2D52" w:rsidRPr="00BD07B7" w:rsidRDefault="009F2D52" w:rsidP="001056B7">
      <w:pPr>
        <w:pStyle w:val="enumlev1"/>
      </w:pPr>
      <w:r w:rsidRPr="00F954F1">
        <w:t>•</w:t>
      </w:r>
      <w:r w:rsidR="001056B7">
        <w:tab/>
      </w:r>
      <w:r>
        <w:t>La inversión futura en T</w:t>
      </w:r>
      <w:r w:rsidRPr="00BD07B7">
        <w:t>IC</w:t>
      </w:r>
      <w:r>
        <w:t xml:space="preserve"> ecológicas y cómo la UIT colabora con el sector privado para desarrollar </w:t>
      </w:r>
      <w:r w:rsidR="001056B7">
        <w:t>nuevas tecnologías y soluciones.</w:t>
      </w:r>
    </w:p>
    <w:p w:rsidR="009F2D52" w:rsidRPr="00BD07B7" w:rsidRDefault="009F2D52" w:rsidP="001056B7">
      <w:pPr>
        <w:pStyle w:val="enumlev1"/>
      </w:pPr>
      <w:r w:rsidRPr="00F954F1">
        <w:t>•</w:t>
      </w:r>
      <w:r w:rsidR="001056B7">
        <w:tab/>
      </w:r>
      <w:r>
        <w:t>Cómo relacionan los gobiernos las iniciativas en el sector de las TIC con la labor sobre el cambio climático</w:t>
      </w:r>
      <w:r w:rsidR="001056B7">
        <w:t>.</w:t>
      </w:r>
    </w:p>
    <w:p w:rsidR="009F2D52" w:rsidRPr="00BD07B7" w:rsidRDefault="009F2D52" w:rsidP="001056B7">
      <w:pPr>
        <w:pStyle w:val="enumlev1"/>
      </w:pPr>
      <w:r w:rsidRPr="00F954F1">
        <w:t>•</w:t>
      </w:r>
      <w:r w:rsidR="001056B7">
        <w:tab/>
      </w:r>
      <w:r>
        <w:t>Cómo utilizan los gobiernos las TIC para atender y cumplir sus propios objetivos y compromisos en materia de cambio climático</w:t>
      </w:r>
      <w:r w:rsidR="001056B7">
        <w:t>.</w:t>
      </w:r>
    </w:p>
    <w:p w:rsidR="009F2D52" w:rsidRPr="00BD07B7" w:rsidRDefault="009F2D52" w:rsidP="001056B7">
      <w:pPr>
        <w:pStyle w:val="enumlev1"/>
      </w:pPr>
      <w:r w:rsidRPr="00F954F1">
        <w:t>•</w:t>
      </w:r>
      <w:r w:rsidR="001056B7">
        <w:tab/>
      </w:r>
      <w:r>
        <w:t>Qué se ha de hacer para aumentar la sostenibilidad de las transacciones TIC en organismos gubernamentales</w:t>
      </w:r>
      <w:r w:rsidR="001056B7">
        <w:t>.</w:t>
      </w:r>
    </w:p>
    <w:p w:rsidR="009F2D52" w:rsidRPr="00BD07B7" w:rsidRDefault="009F2D52" w:rsidP="001056B7">
      <w:pPr>
        <w:pStyle w:val="enumlev1"/>
      </w:pPr>
      <w:r w:rsidRPr="00F954F1">
        <w:t>•</w:t>
      </w:r>
      <w:r w:rsidR="001056B7">
        <w:tab/>
      </w:r>
      <w:r>
        <w:t>Cómo está respondiendo el sector de las TIC al problema del cambio climático</w:t>
      </w:r>
      <w:r w:rsidR="001056B7">
        <w:t>.</w:t>
      </w:r>
    </w:p>
    <w:p w:rsidR="009F2D52" w:rsidRPr="00BD07B7" w:rsidRDefault="009F2D52" w:rsidP="001056B7">
      <w:pPr>
        <w:pStyle w:val="enumlev1"/>
      </w:pPr>
      <w:r w:rsidRPr="00F954F1">
        <w:t>•</w:t>
      </w:r>
      <w:r w:rsidR="001056B7">
        <w:tab/>
      </w:r>
      <w:r>
        <w:t>Cuáles son las iniciativas más importantes y las prácticas idóneas</w:t>
      </w:r>
      <w:r w:rsidR="001056B7">
        <w:t>.</w:t>
      </w:r>
    </w:p>
    <w:p w:rsidR="009F2D52" w:rsidRPr="00BD07B7" w:rsidRDefault="009F2D52" w:rsidP="001056B7">
      <w:pPr>
        <w:pStyle w:val="enumlev1"/>
      </w:pPr>
      <w:r w:rsidRPr="00F954F1">
        <w:t>•</w:t>
      </w:r>
      <w:r w:rsidR="001056B7">
        <w:tab/>
      </w:r>
      <w:r>
        <w:t>Cómo están volviendo a aplicar estrategias sostenibles las principales empresas de TIC</w:t>
      </w:r>
      <w:r w:rsidR="001056B7">
        <w:t>.</w:t>
      </w:r>
    </w:p>
    <w:p w:rsidR="009F2D52" w:rsidRPr="00BD07B7" w:rsidRDefault="009F2D52" w:rsidP="001056B7">
      <w:pPr>
        <w:pStyle w:val="enumlev1"/>
      </w:pPr>
      <w:r w:rsidRPr="00F954F1">
        <w:t>•</w:t>
      </w:r>
      <w:r w:rsidR="001056B7">
        <w:tab/>
      </w:r>
      <w:r>
        <w:t>De qué resultados se dispone que se puedan compartir</w:t>
      </w:r>
      <w:r w:rsidR="001056B7">
        <w:t>.</w:t>
      </w:r>
    </w:p>
    <w:p w:rsidR="009F2D52" w:rsidRPr="00BD07B7" w:rsidRDefault="009F2D52" w:rsidP="001056B7">
      <w:pPr>
        <w:pStyle w:val="enumlev1"/>
      </w:pPr>
      <w:r w:rsidRPr="0015071E">
        <w:t>•</w:t>
      </w:r>
      <w:r w:rsidR="001056B7">
        <w:tab/>
      </w:r>
      <w:r w:rsidRPr="0015071E">
        <w:t>Qué resultados cabe esperar de estas actividades</w:t>
      </w:r>
      <w:r w:rsidR="001056B7">
        <w:t>.</w:t>
      </w:r>
    </w:p>
    <w:p w:rsidR="009F2D52" w:rsidRPr="00BD07B7" w:rsidRDefault="009F2D52" w:rsidP="001056B7">
      <w:pPr>
        <w:pStyle w:val="enumlev1"/>
      </w:pPr>
      <w:r w:rsidRPr="001056B7">
        <w:t>•</w:t>
      </w:r>
      <w:r w:rsidR="001056B7">
        <w:rPr>
          <w:color w:val="007676"/>
        </w:rPr>
        <w:tab/>
      </w:r>
      <w:r>
        <w:t>Estudios de caso de proveedores de servicios de telecomunicaciones</w:t>
      </w:r>
      <w:r w:rsidR="001056B7">
        <w:t>.</w:t>
      </w:r>
    </w:p>
    <w:p w:rsidR="009F2D52" w:rsidRPr="00164473" w:rsidRDefault="009F2D52" w:rsidP="00164473">
      <w:pPr>
        <w:spacing w:after="120"/>
        <w:rPr>
          <w:b/>
          <w:bCs/>
          <w:sz w:val="36"/>
          <w:szCs w:val="36"/>
        </w:rPr>
      </w:pPr>
      <w:r w:rsidRPr="001056B7">
        <w:rPr>
          <w:rFonts w:asciiTheme="minorHAnsi" w:hAnsiTheme="minorHAnsi" w:cs="Verdana"/>
          <w:szCs w:val="24"/>
        </w:rPr>
        <w:t>El programa íntegro de la sesión, con la lista de oradores que han confirmado su participación, está disponible en la siguiente dirección:</w:t>
      </w:r>
      <w:r w:rsidR="004D5296">
        <w:rPr>
          <w:rFonts w:asciiTheme="minorHAnsi" w:hAnsiTheme="minorHAnsi" w:cs="Verdana"/>
          <w:szCs w:val="24"/>
        </w:rPr>
        <w:br/>
      </w:r>
      <w:hyperlink r:id="rId8" w:history="1">
        <w:r w:rsidRPr="00BD07B7">
          <w:rPr>
            <w:rStyle w:val="Hyperlink"/>
            <w:rFonts w:asciiTheme="minorHAnsi" w:hAnsiTheme="minorHAnsi" w:cs="Verdana-Bold"/>
            <w:b/>
            <w:bCs/>
            <w:szCs w:val="24"/>
          </w:rPr>
          <w:t>www.itu.int/plenipotentiary/2010/index.html</w:t>
        </w:r>
      </w:hyperlink>
    </w:p>
    <w:sectPr w:rsidR="009F2D52" w:rsidRPr="00164473" w:rsidSect="00F371E7">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FD" w:rsidRDefault="000E4AFD">
      <w:r>
        <w:separator/>
      </w:r>
    </w:p>
  </w:endnote>
  <w:endnote w:type="continuationSeparator" w:id="0">
    <w:p w:rsidR="000E4AFD" w:rsidRDefault="000E4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llGothicStd-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7" w:rsidRPr="009220DE" w:rsidRDefault="00151D35">
    <w:pPr>
      <w:pStyle w:val="Footer"/>
      <w:rPr>
        <w:lang w:val="en-US"/>
      </w:rPr>
    </w:pPr>
    <w:fldSimple w:instr=" FILENAME \p \* MERGEFORMAT ">
      <w:r w:rsidR="00AA76D1" w:rsidRPr="00AA76D1">
        <w:rPr>
          <w:lang w:val="en-US"/>
        </w:rPr>
        <w:t>P</w:t>
      </w:r>
      <w:r w:rsidR="00AA76D1">
        <w:t>:\ESP\SG\CONF-SG\PP10\DIV\110S.docx</w:t>
      </w:r>
    </w:fldSimple>
    <w:r w:rsidR="00D54CB0">
      <w:t xml:space="preserve"> (296187)</w:t>
    </w:r>
    <w:r w:rsidR="001056B7" w:rsidRPr="009220DE">
      <w:rPr>
        <w:lang w:val="en-US"/>
      </w:rPr>
      <w:tab/>
    </w:r>
    <w:r>
      <w:fldChar w:fldCharType="begin"/>
    </w:r>
    <w:r w:rsidR="001056B7">
      <w:instrText xml:space="preserve"> savedate \@ dd.MM.yy </w:instrText>
    </w:r>
    <w:r>
      <w:fldChar w:fldCharType="separate"/>
    </w:r>
    <w:r w:rsidR="00877AFD">
      <w:t>07.10.10</w:t>
    </w:r>
    <w:r>
      <w:fldChar w:fldCharType="end"/>
    </w:r>
    <w:r w:rsidR="001056B7" w:rsidRPr="009220DE">
      <w:rPr>
        <w:lang w:val="en-US"/>
      </w:rPr>
      <w:tab/>
    </w:r>
    <w:r>
      <w:fldChar w:fldCharType="begin"/>
    </w:r>
    <w:r w:rsidR="001056B7">
      <w:instrText xml:space="preserve"> printdate \@ dd.MM.yy </w:instrText>
    </w:r>
    <w:r>
      <w:fldChar w:fldCharType="separate"/>
    </w:r>
    <w:r w:rsidR="00AA76D1">
      <w:t>08.10.10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7" w:rsidRDefault="001056B7" w:rsidP="00B73978">
    <w:pPr>
      <w:pStyle w:val="FirstFooter"/>
      <w:jc w:val="cen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p w:rsidR="001056B7" w:rsidRPr="0001275E" w:rsidRDefault="001056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FD" w:rsidRDefault="000E4AFD">
      <w:r>
        <w:t>____________________</w:t>
      </w:r>
    </w:p>
  </w:footnote>
  <w:footnote w:type="continuationSeparator" w:id="0">
    <w:p w:rsidR="000E4AFD" w:rsidRDefault="000E4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7" w:rsidRDefault="00151D35" w:rsidP="00601280">
    <w:pPr>
      <w:pStyle w:val="Header"/>
      <w:rPr>
        <w:rStyle w:val="PageNumber"/>
      </w:rPr>
    </w:pPr>
    <w:r>
      <w:rPr>
        <w:rStyle w:val="PageNumber"/>
      </w:rPr>
      <w:fldChar w:fldCharType="begin"/>
    </w:r>
    <w:r w:rsidR="001056B7">
      <w:rPr>
        <w:rStyle w:val="PageNumber"/>
      </w:rPr>
      <w:instrText xml:space="preserve"> PAGE </w:instrText>
    </w:r>
    <w:r>
      <w:rPr>
        <w:rStyle w:val="PageNumber"/>
      </w:rPr>
      <w:fldChar w:fldCharType="separate"/>
    </w:r>
    <w:r w:rsidR="00164473">
      <w:rPr>
        <w:rStyle w:val="PageNumber"/>
        <w:noProof/>
      </w:rPr>
      <w:t>2</w:t>
    </w:r>
    <w:r>
      <w:rPr>
        <w:rStyle w:val="PageNumber"/>
      </w:rPr>
      <w:fldChar w:fldCharType="end"/>
    </w:r>
    <w:r w:rsidR="001056B7">
      <w:rPr>
        <w:rStyle w:val="PageNumber"/>
      </w:rPr>
      <w:t>/</w:t>
    </w:r>
    <w:r>
      <w:rPr>
        <w:rStyle w:val="PageNumber"/>
      </w:rPr>
      <w:fldChar w:fldCharType="begin"/>
    </w:r>
    <w:r w:rsidR="001056B7">
      <w:rPr>
        <w:rStyle w:val="PageNumber"/>
      </w:rPr>
      <w:instrText xml:space="preserve"> NUMPAGES </w:instrText>
    </w:r>
    <w:r>
      <w:rPr>
        <w:rStyle w:val="PageNumber"/>
      </w:rPr>
      <w:fldChar w:fldCharType="separate"/>
    </w:r>
    <w:r w:rsidR="00164473">
      <w:rPr>
        <w:rStyle w:val="PageNumber"/>
        <w:noProof/>
      </w:rPr>
      <w:t>2</w:t>
    </w:r>
    <w:r>
      <w:rPr>
        <w:rStyle w:val="PageNumber"/>
      </w:rPr>
      <w:fldChar w:fldCharType="end"/>
    </w:r>
  </w:p>
  <w:p w:rsidR="001056B7" w:rsidRDefault="0001275E" w:rsidP="004E08E0">
    <w:pPr>
      <w:pStyle w:val="Header"/>
    </w:pPr>
    <w:r>
      <w:t>PP-10/110-S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D60A0"/>
    <w:multiLevelType w:val="hybridMultilevel"/>
    <w:tmpl w:val="2F182B78"/>
    <w:lvl w:ilvl="0" w:tplc="E4183172">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compat>
  <w:rsids>
    <w:rsidRoot w:val="009F2D52"/>
    <w:rsid w:val="0000188C"/>
    <w:rsid w:val="0001275E"/>
    <w:rsid w:val="000863AB"/>
    <w:rsid w:val="000A1523"/>
    <w:rsid w:val="000B1752"/>
    <w:rsid w:val="000B51FC"/>
    <w:rsid w:val="000E4AFD"/>
    <w:rsid w:val="0010546D"/>
    <w:rsid w:val="001056B7"/>
    <w:rsid w:val="00124F5C"/>
    <w:rsid w:val="00151D35"/>
    <w:rsid w:val="00164473"/>
    <w:rsid w:val="001D6EC3"/>
    <w:rsid w:val="001D787B"/>
    <w:rsid w:val="001E3D06"/>
    <w:rsid w:val="00237C17"/>
    <w:rsid w:val="002C6527"/>
    <w:rsid w:val="002E44FC"/>
    <w:rsid w:val="003707E5"/>
    <w:rsid w:val="00421980"/>
    <w:rsid w:val="00484B72"/>
    <w:rsid w:val="004A346E"/>
    <w:rsid w:val="004A63A9"/>
    <w:rsid w:val="004B0BCB"/>
    <w:rsid w:val="004C39C6"/>
    <w:rsid w:val="004D23BA"/>
    <w:rsid w:val="004D5296"/>
    <w:rsid w:val="004E08E0"/>
    <w:rsid w:val="00523448"/>
    <w:rsid w:val="005359B6"/>
    <w:rsid w:val="00550FCF"/>
    <w:rsid w:val="00567ED5"/>
    <w:rsid w:val="005D6488"/>
    <w:rsid w:val="005F6278"/>
    <w:rsid w:val="00601280"/>
    <w:rsid w:val="00641D69"/>
    <w:rsid w:val="006455D2"/>
    <w:rsid w:val="006B5512"/>
    <w:rsid w:val="00720686"/>
    <w:rsid w:val="00737EFF"/>
    <w:rsid w:val="00750806"/>
    <w:rsid w:val="007C7BF3"/>
    <w:rsid w:val="00877AFD"/>
    <w:rsid w:val="00882773"/>
    <w:rsid w:val="008B4706"/>
    <w:rsid w:val="008B6676"/>
    <w:rsid w:val="008E51C5"/>
    <w:rsid w:val="008F7109"/>
    <w:rsid w:val="009220DE"/>
    <w:rsid w:val="0099270D"/>
    <w:rsid w:val="009D3C85"/>
    <w:rsid w:val="009E0C42"/>
    <w:rsid w:val="009F2D52"/>
    <w:rsid w:val="00A70E95"/>
    <w:rsid w:val="00A97815"/>
    <w:rsid w:val="00AA1F73"/>
    <w:rsid w:val="00AA76D1"/>
    <w:rsid w:val="00AF0DC5"/>
    <w:rsid w:val="00B73978"/>
    <w:rsid w:val="00B77C4D"/>
    <w:rsid w:val="00BB13FE"/>
    <w:rsid w:val="00BC7EE2"/>
    <w:rsid w:val="00C42D2D"/>
    <w:rsid w:val="00C560B1"/>
    <w:rsid w:val="00C61A48"/>
    <w:rsid w:val="00C7498C"/>
    <w:rsid w:val="00C80F8F"/>
    <w:rsid w:val="00C84355"/>
    <w:rsid w:val="00CA6B91"/>
    <w:rsid w:val="00CD701A"/>
    <w:rsid w:val="00D05E6B"/>
    <w:rsid w:val="00D254A6"/>
    <w:rsid w:val="00D42B55"/>
    <w:rsid w:val="00D54CB0"/>
    <w:rsid w:val="00D57D70"/>
    <w:rsid w:val="00E66FC3"/>
    <w:rsid w:val="00E677DD"/>
    <w:rsid w:val="00E77F17"/>
    <w:rsid w:val="00E921EC"/>
    <w:rsid w:val="00EC395A"/>
    <w:rsid w:val="00F371E7"/>
    <w:rsid w:val="00F43D44"/>
    <w:rsid w:val="00F80E6E"/>
    <w:rsid w:val="00FD7A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styleId="ListParagraph">
    <w:name w:val="List Paragraph"/>
    <w:basedOn w:val="Normal"/>
    <w:uiPriority w:val="34"/>
    <w:qFormat/>
    <w:rsid w:val="009F2D5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lenipotentiary/2010/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e\Application%20Data\Microsoft\Templates\POOL%20S%20-%20ITU\PS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CC9F-C7FA-4388-8DF5-7052AC0F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PS_PP10.dotm</Template>
  <TotalTime>1</TotalTime>
  <Pages>1</Pages>
  <Words>383</Words>
  <Characters>2188</Characters>
  <Application>Microsoft Office Word</Application>
  <DocSecurity>0</DocSecurity>
  <Lines>18</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2566</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luiscast</dc:creator>
  <cp:keywords/>
  <dc:description/>
  <cp:lastModifiedBy>luiscast</cp:lastModifiedBy>
  <cp:revision>2</cp:revision>
  <cp:lastPrinted>2010-10-07T22:43:00Z</cp:lastPrinted>
  <dcterms:created xsi:type="dcterms:W3CDTF">2010-10-11T17:15:00Z</dcterms:created>
  <dcterms:modified xsi:type="dcterms:W3CDTF">2010-10-11T17:15:00Z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110S.docx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