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538C" w14:textId="77777777" w:rsidR="001372F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8"/>
          <w:szCs w:val="28"/>
          <w:lang w:val="fr-FR"/>
        </w:rPr>
      </w:pPr>
      <w:r w:rsidRPr="00C62BA9">
        <w:rPr>
          <w:rFonts w:ascii="Tenorite" w:hAnsi="Tenorite"/>
          <w:noProof/>
        </w:rPr>
        <w:drawing>
          <wp:anchor distT="0" distB="0" distL="114300" distR="114300" simplePos="0" relativeHeight="251659264" behindDoc="1" locked="0" layoutInCell="1" allowOverlap="1" wp14:anchorId="370F2803" wp14:editId="7E5F1C4D">
            <wp:simplePos x="0" y="0"/>
            <wp:positionH relativeFrom="margin">
              <wp:posOffset>777240</wp:posOffset>
            </wp:positionH>
            <wp:positionV relativeFrom="margin">
              <wp:posOffset>-577901</wp:posOffset>
            </wp:positionV>
            <wp:extent cx="4176395" cy="1149350"/>
            <wp:effectExtent l="0" t="0" r="0" b="0"/>
            <wp:wrapSquare wrapText="bothSides"/>
            <wp:docPr id="13943533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1DD80" w14:textId="77777777" w:rsidR="001372F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8"/>
          <w:szCs w:val="28"/>
          <w:lang w:val="fr-FR"/>
        </w:rPr>
      </w:pPr>
    </w:p>
    <w:p w14:paraId="6FDB67D1" w14:textId="77777777" w:rsidR="001372F9" w:rsidRPr="001372F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8"/>
          <w:szCs w:val="28"/>
          <w:lang w:val="fr-FR"/>
        </w:rPr>
      </w:pPr>
      <w:r w:rsidRPr="001372F9">
        <w:rPr>
          <w:rFonts w:ascii="Tenorite" w:eastAsia="Calibri" w:hAnsi="Tenorite" w:cs="Calibri"/>
          <w:b/>
          <w:bCs/>
          <w:sz w:val="28"/>
          <w:szCs w:val="28"/>
          <w:lang w:val="fr-FR"/>
        </w:rPr>
        <w:t xml:space="preserve">Session Outcome Document </w:t>
      </w:r>
    </w:p>
    <w:p w14:paraId="6E9CB64A" w14:textId="77777777" w:rsidR="00732EEC" w:rsidRPr="00732EEC" w:rsidRDefault="00732EEC" w:rsidP="00732EEC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4"/>
          <w:szCs w:val="24"/>
          <w:lang w:val="pl-PL"/>
        </w:rPr>
      </w:pP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Poland’s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Model for Digital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Resilience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: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Secure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Schools,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Skilled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Citizens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,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Strong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Society</w:t>
      </w:r>
      <w:proofErr w:type="spellEnd"/>
    </w:p>
    <w:p w14:paraId="5EACD011" w14:textId="77777777" w:rsidR="00732EEC" w:rsidRPr="00732EEC" w:rsidRDefault="00732EEC" w:rsidP="00732EEC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4"/>
          <w:szCs w:val="24"/>
          <w:lang w:val="pl-PL"/>
        </w:rPr>
      </w:pP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Organizer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: NASK –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National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Research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Institute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(NASK-PIB)</w:t>
      </w:r>
    </w:p>
    <w:p w14:paraId="313886D9" w14:textId="77777777" w:rsidR="00732EEC" w:rsidRPr="00732EEC" w:rsidRDefault="00732EEC" w:rsidP="00732EEC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4"/>
          <w:szCs w:val="24"/>
          <w:lang w:val="pl-PL"/>
        </w:rPr>
      </w:pP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Date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and Time: 6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July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2026, 17:00–17:45 (UTC+02:00)</w:t>
      </w:r>
    </w:p>
    <w:p w14:paraId="11A3DC64" w14:textId="77777777" w:rsidR="00732EEC" w:rsidRPr="00732EEC" w:rsidRDefault="00732EEC" w:rsidP="00732EEC">
      <w:pPr>
        <w:spacing w:before="240" w:after="0" w:line="257" w:lineRule="auto"/>
        <w:rPr>
          <w:rFonts w:ascii="Tenorite" w:eastAsia="Calibri" w:hAnsi="Tenorite" w:cs="Calibri"/>
          <w:b/>
          <w:bCs/>
          <w:sz w:val="24"/>
          <w:szCs w:val="24"/>
          <w:lang w:val="pl-PL"/>
        </w:rPr>
      </w:pP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Session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Page</w:t>
      </w:r>
      <w:proofErr w:type="spellEnd"/>
      <w:r w:rsidRPr="00732EEC">
        <w:rPr>
          <w:rFonts w:ascii="Tenorite" w:eastAsia="Calibri" w:hAnsi="Tenorite" w:cs="Calibri"/>
          <w:b/>
          <w:bCs/>
          <w:sz w:val="24"/>
          <w:szCs w:val="24"/>
          <w:lang w:val="pl-PL"/>
        </w:rPr>
        <w:t>: https://www.itu.int/net4/wsis/forum/2026/Agenda/Session/176</w:t>
      </w:r>
    </w:p>
    <w:p w14:paraId="6BDFF25A" w14:textId="77777777" w:rsidR="001372F9" w:rsidRPr="00C62BA9" w:rsidRDefault="001372F9" w:rsidP="001372F9">
      <w:pPr>
        <w:spacing w:before="240" w:after="0" w:line="257" w:lineRule="auto"/>
        <w:rPr>
          <w:rFonts w:ascii="Tenorite" w:hAnsi="Tenorite"/>
          <w:sz w:val="22"/>
          <w:szCs w:val="22"/>
        </w:rPr>
      </w:pPr>
    </w:p>
    <w:p w14:paraId="09615A8A" w14:textId="260B6EC3" w:rsidR="001372F9" w:rsidRPr="00C62BA9" w:rsidRDefault="001372F9" w:rsidP="001372F9">
      <w:pPr>
        <w:spacing w:after="0"/>
        <w:rPr>
          <w:rFonts w:ascii="Tenorite" w:eastAsia="Calibri" w:hAnsi="Tenorite" w:cs="Calibri"/>
          <w:b/>
          <w:bCs/>
          <w:sz w:val="22"/>
          <w:szCs w:val="22"/>
        </w:rPr>
      </w:pPr>
      <w:r w:rsidRPr="00C62BA9">
        <w:rPr>
          <w:rFonts w:ascii="Tenorite" w:eastAsia="Calibri" w:hAnsi="Tenorite" w:cs="Calibri"/>
          <w:b/>
          <w:bCs/>
          <w:sz w:val="22"/>
          <w:szCs w:val="22"/>
        </w:rPr>
        <w:t xml:space="preserve">Key Issues discussed: </w:t>
      </w:r>
    </w:p>
    <w:p w14:paraId="1B42A252" w14:textId="606D052C" w:rsid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Building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digital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resilience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requires</w:t>
      </w:r>
      <w:proofErr w:type="spellEnd"/>
      <w:r>
        <w:rPr>
          <w:rFonts w:ascii="Segoe UI" w:hAnsi="Segoe UI" w:cs="Segoe UI"/>
          <w:sz w:val="21"/>
          <w:szCs w:val="21"/>
        </w:rPr>
        <w:t xml:space="preserve"> a </w:t>
      </w:r>
      <w:proofErr w:type="spellStart"/>
      <w:r>
        <w:rPr>
          <w:rFonts w:ascii="Segoe UI" w:hAnsi="Segoe UI" w:cs="Segoe UI"/>
          <w:sz w:val="21"/>
          <w:szCs w:val="21"/>
        </w:rPr>
        <w:t>comprehensive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approach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that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combines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secure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digital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infrastructure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cybersecurity</w:t>
      </w:r>
      <w:proofErr w:type="spellEnd"/>
      <w:r>
        <w:rPr>
          <w:rFonts w:ascii="Segoe UI" w:hAnsi="Segoe UI" w:cs="Segoe UI"/>
          <w:sz w:val="21"/>
          <w:szCs w:val="21"/>
        </w:rPr>
        <w:t xml:space="preserve"> services, and </w:t>
      </w:r>
      <w:proofErr w:type="spellStart"/>
      <w:r>
        <w:rPr>
          <w:rFonts w:ascii="Segoe UI" w:hAnsi="Segoe UI" w:cs="Segoe UI"/>
          <w:sz w:val="21"/>
          <w:szCs w:val="21"/>
        </w:rPr>
        <w:t>digital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skills</w:t>
      </w:r>
      <w:proofErr w:type="spellEnd"/>
      <w:r>
        <w:rPr>
          <w:rFonts w:ascii="Segoe UI" w:hAnsi="Segoe UI" w:cs="Segoe UI"/>
          <w:sz w:val="21"/>
          <w:szCs w:val="21"/>
        </w:rPr>
        <w:t xml:space="preserve"> development </w:t>
      </w:r>
      <w:proofErr w:type="spellStart"/>
      <w:r>
        <w:rPr>
          <w:rFonts w:ascii="Segoe UI" w:hAnsi="Segoe UI" w:cs="Segoe UI"/>
          <w:sz w:val="21"/>
          <w:szCs w:val="21"/>
        </w:rPr>
        <w:t>rather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than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focusing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solely</w:t>
      </w:r>
      <w:proofErr w:type="spellEnd"/>
      <w:r>
        <w:rPr>
          <w:rFonts w:ascii="Segoe UI" w:hAnsi="Segoe UI" w:cs="Segoe UI"/>
          <w:sz w:val="21"/>
          <w:szCs w:val="21"/>
        </w:rPr>
        <w:t xml:space="preserve"> on </w:t>
      </w:r>
      <w:proofErr w:type="spellStart"/>
      <w:r>
        <w:rPr>
          <w:rFonts w:ascii="Segoe UI" w:hAnsi="Segoe UI" w:cs="Segoe UI"/>
          <w:sz w:val="21"/>
          <w:szCs w:val="21"/>
        </w:rPr>
        <w:t>connectivity</w:t>
      </w:r>
      <w:proofErr w:type="spellEnd"/>
      <w:r>
        <w:rPr>
          <w:rFonts w:ascii="Segoe UI" w:hAnsi="Segoe UI" w:cs="Segoe UI"/>
          <w:sz w:val="21"/>
          <w:szCs w:val="21"/>
        </w:rPr>
        <w:t xml:space="preserve">. </w:t>
      </w:r>
    </w:p>
    <w:p w14:paraId="6659DC48" w14:textId="15805268" w:rsid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Poland’s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Nationwide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Education</w:t>
      </w:r>
      <w:proofErr w:type="spellEnd"/>
      <w:r>
        <w:rPr>
          <w:rFonts w:ascii="Segoe UI" w:hAnsi="Segoe UI" w:cs="Segoe UI"/>
          <w:sz w:val="21"/>
          <w:szCs w:val="21"/>
        </w:rPr>
        <w:t xml:space="preserve"> Network (OSE) </w:t>
      </w:r>
      <w:proofErr w:type="spellStart"/>
      <w:r>
        <w:rPr>
          <w:rFonts w:ascii="Segoe UI" w:hAnsi="Segoe UI" w:cs="Segoe UI"/>
          <w:sz w:val="21"/>
          <w:szCs w:val="21"/>
        </w:rPr>
        <w:t>demonstrates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how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universal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state-funded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school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connectivity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can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evolve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into</w:t>
      </w:r>
      <w:proofErr w:type="spellEnd"/>
      <w:r>
        <w:rPr>
          <w:rFonts w:ascii="Segoe UI" w:hAnsi="Segoe UI" w:cs="Segoe UI"/>
          <w:sz w:val="21"/>
          <w:szCs w:val="21"/>
        </w:rPr>
        <w:t xml:space="preserve"> a </w:t>
      </w:r>
      <w:proofErr w:type="spellStart"/>
      <w:r>
        <w:rPr>
          <w:rFonts w:ascii="Segoe UI" w:hAnsi="Segoe UI" w:cs="Segoe UI"/>
          <w:sz w:val="21"/>
          <w:szCs w:val="21"/>
        </w:rPr>
        <w:t>national</w:t>
      </w:r>
      <w:proofErr w:type="spellEnd"/>
      <w:r>
        <w:rPr>
          <w:rFonts w:ascii="Segoe UI" w:hAnsi="Segoe UI" w:cs="Segoe UI"/>
          <w:sz w:val="21"/>
          <w:szCs w:val="21"/>
        </w:rPr>
        <w:t xml:space="preserve"> platform </w:t>
      </w:r>
      <w:proofErr w:type="spellStart"/>
      <w:r>
        <w:rPr>
          <w:rFonts w:ascii="Segoe UI" w:hAnsi="Segoe UI" w:cs="Segoe UI"/>
          <w:sz w:val="21"/>
          <w:szCs w:val="21"/>
        </w:rPr>
        <w:t>providing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internet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access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cybersecurity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protection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educational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resources</w:t>
      </w:r>
      <w:proofErr w:type="spellEnd"/>
      <w:r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>
        <w:rPr>
          <w:rFonts w:ascii="Segoe UI" w:hAnsi="Segoe UI" w:cs="Segoe UI"/>
          <w:sz w:val="21"/>
          <w:szCs w:val="21"/>
        </w:rPr>
        <w:t>digital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competence</w:t>
      </w:r>
      <w:proofErr w:type="spellEnd"/>
      <w:r>
        <w:rPr>
          <w:rFonts w:ascii="Segoe UI" w:hAnsi="Segoe UI" w:cs="Segoe UI"/>
          <w:sz w:val="21"/>
          <w:szCs w:val="21"/>
        </w:rPr>
        <w:t xml:space="preserve"> development. </w:t>
      </w:r>
    </w:p>
    <w:p w14:paraId="2064B4B6" w14:textId="2D7C2022" w:rsid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Long</w:t>
      </w:r>
      <w:proofErr w:type="spellEnd"/>
      <w:r>
        <w:rPr>
          <w:rFonts w:ascii="Segoe UI" w:hAnsi="Segoe UI" w:cs="Segoe UI"/>
          <w:sz w:val="21"/>
          <w:szCs w:val="21"/>
        </w:rPr>
        <w:t xml:space="preserve">-term </w:t>
      </w:r>
      <w:proofErr w:type="spellStart"/>
      <w:r>
        <w:rPr>
          <w:rFonts w:ascii="Segoe UI" w:hAnsi="Segoe UI" w:cs="Segoe UI"/>
          <w:sz w:val="21"/>
          <w:szCs w:val="21"/>
        </w:rPr>
        <w:t>sustainability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is</w:t>
      </w:r>
      <w:proofErr w:type="spellEnd"/>
      <w:r>
        <w:rPr>
          <w:rFonts w:ascii="Segoe UI" w:hAnsi="Segoe UI" w:cs="Segoe UI"/>
          <w:sz w:val="21"/>
          <w:szCs w:val="21"/>
        </w:rPr>
        <w:t xml:space="preserve"> a </w:t>
      </w:r>
      <w:proofErr w:type="spellStart"/>
      <w:r>
        <w:rPr>
          <w:rFonts w:ascii="Segoe UI" w:hAnsi="Segoe UI" w:cs="Segoe UI"/>
          <w:sz w:val="21"/>
          <w:szCs w:val="21"/>
        </w:rPr>
        <w:t>critical</w:t>
      </w:r>
      <w:proofErr w:type="spellEnd"/>
      <w:r>
        <w:rPr>
          <w:rFonts w:ascii="Segoe UI" w:hAnsi="Segoe UI" w:cs="Segoe UI"/>
          <w:sz w:val="21"/>
          <w:szCs w:val="21"/>
        </w:rPr>
        <w:t xml:space="preserve"> challenge for </w:t>
      </w:r>
      <w:proofErr w:type="spellStart"/>
      <w:r>
        <w:rPr>
          <w:rFonts w:ascii="Segoe UI" w:hAnsi="Segoe UI" w:cs="Segoe UI"/>
          <w:sz w:val="21"/>
          <w:szCs w:val="21"/>
        </w:rPr>
        <w:t>national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connectivity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programs</w:t>
      </w:r>
      <w:proofErr w:type="spellEnd"/>
      <w:r>
        <w:rPr>
          <w:rFonts w:ascii="Segoe UI" w:hAnsi="Segoe UI" w:cs="Segoe UI"/>
          <w:sz w:val="21"/>
          <w:szCs w:val="21"/>
        </w:rPr>
        <w:t xml:space="preserve">. Beyond </w:t>
      </w:r>
      <w:proofErr w:type="spellStart"/>
      <w:r>
        <w:rPr>
          <w:rFonts w:ascii="Segoe UI" w:hAnsi="Segoe UI" w:cs="Segoe UI"/>
          <w:sz w:val="21"/>
          <w:szCs w:val="21"/>
        </w:rPr>
        <w:t>deployment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significant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attention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must</w:t>
      </w:r>
      <w:proofErr w:type="spellEnd"/>
      <w:r>
        <w:rPr>
          <w:rFonts w:ascii="Segoe UI" w:hAnsi="Segoe UI" w:cs="Segoe UI"/>
          <w:sz w:val="21"/>
          <w:szCs w:val="21"/>
        </w:rPr>
        <w:t xml:space="preserve"> be </w:t>
      </w:r>
      <w:proofErr w:type="spellStart"/>
      <w:r>
        <w:rPr>
          <w:rFonts w:ascii="Segoe UI" w:hAnsi="Segoe UI" w:cs="Segoe UI"/>
          <w:sz w:val="21"/>
          <w:szCs w:val="21"/>
        </w:rPr>
        <w:t>devoted</w:t>
      </w:r>
      <w:proofErr w:type="spellEnd"/>
      <w:r>
        <w:rPr>
          <w:rFonts w:ascii="Segoe UI" w:hAnsi="Segoe UI" w:cs="Segoe UI"/>
          <w:sz w:val="21"/>
          <w:szCs w:val="21"/>
        </w:rPr>
        <w:t xml:space="preserve"> to </w:t>
      </w:r>
      <w:proofErr w:type="spellStart"/>
      <w:r>
        <w:rPr>
          <w:rFonts w:ascii="Segoe UI" w:hAnsi="Segoe UI" w:cs="Segoe UI"/>
          <w:sz w:val="21"/>
          <w:szCs w:val="21"/>
        </w:rPr>
        <w:t>maintenance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modernization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operational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resilience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equipment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replacement</w:t>
      </w:r>
      <w:proofErr w:type="spellEnd"/>
      <w:r>
        <w:rPr>
          <w:rFonts w:ascii="Segoe UI" w:hAnsi="Segoe UI" w:cs="Segoe UI"/>
          <w:sz w:val="21"/>
          <w:szCs w:val="21"/>
        </w:rPr>
        <w:t>, and service-</w:t>
      </w:r>
      <w:proofErr w:type="spellStart"/>
      <w:r>
        <w:rPr>
          <w:rFonts w:ascii="Segoe UI" w:hAnsi="Segoe UI" w:cs="Segoe UI"/>
          <w:sz w:val="21"/>
          <w:szCs w:val="21"/>
        </w:rPr>
        <w:t>quality</w:t>
      </w:r>
      <w:proofErr w:type="spellEnd"/>
      <w:r>
        <w:rPr>
          <w:rFonts w:ascii="Segoe UI" w:hAnsi="Segoe UI" w:cs="Segoe UI"/>
          <w:sz w:val="21"/>
          <w:szCs w:val="21"/>
        </w:rPr>
        <w:t xml:space="preserve"> management. </w:t>
      </w:r>
    </w:p>
    <w:p w14:paraId="52757BF0" w14:textId="18BE2355" w:rsid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Cybersecurity</w:t>
      </w:r>
      <w:proofErr w:type="spellEnd"/>
      <w:r>
        <w:rPr>
          <w:rFonts w:ascii="Segoe UI" w:hAnsi="Segoe UI" w:cs="Segoe UI"/>
          <w:sz w:val="21"/>
          <w:szCs w:val="21"/>
        </w:rPr>
        <w:t xml:space="preserve"> in </w:t>
      </w:r>
      <w:proofErr w:type="spellStart"/>
      <w:r>
        <w:rPr>
          <w:rFonts w:ascii="Segoe UI" w:hAnsi="Segoe UI" w:cs="Segoe UI"/>
          <w:sz w:val="21"/>
          <w:szCs w:val="21"/>
        </w:rPr>
        <w:t>education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must</w:t>
      </w:r>
      <w:proofErr w:type="spellEnd"/>
      <w:r>
        <w:rPr>
          <w:rFonts w:ascii="Segoe UI" w:hAnsi="Segoe UI" w:cs="Segoe UI"/>
          <w:sz w:val="21"/>
          <w:szCs w:val="21"/>
        </w:rPr>
        <w:t xml:space="preserve"> be </w:t>
      </w:r>
      <w:proofErr w:type="spellStart"/>
      <w:r>
        <w:rPr>
          <w:rFonts w:ascii="Segoe UI" w:hAnsi="Segoe UI" w:cs="Segoe UI"/>
          <w:sz w:val="21"/>
          <w:szCs w:val="21"/>
        </w:rPr>
        <w:t>integrated</w:t>
      </w:r>
      <w:proofErr w:type="spellEnd"/>
      <w:r>
        <w:rPr>
          <w:rFonts w:ascii="Segoe UI" w:hAnsi="Segoe UI" w:cs="Segoe UI"/>
          <w:sz w:val="21"/>
          <w:szCs w:val="21"/>
        </w:rPr>
        <w:t xml:space="preserve"> from the </w:t>
      </w:r>
      <w:proofErr w:type="spellStart"/>
      <w:r>
        <w:rPr>
          <w:rFonts w:ascii="Segoe UI" w:hAnsi="Segoe UI" w:cs="Segoe UI"/>
          <w:sz w:val="21"/>
          <w:szCs w:val="21"/>
        </w:rPr>
        <w:t>outset</w:t>
      </w:r>
      <w:proofErr w:type="spellEnd"/>
      <w:r>
        <w:rPr>
          <w:rFonts w:ascii="Segoe UI" w:hAnsi="Segoe UI" w:cs="Segoe UI"/>
          <w:sz w:val="21"/>
          <w:szCs w:val="21"/>
        </w:rPr>
        <w:t xml:space="preserve">. Schools </w:t>
      </w:r>
      <w:proofErr w:type="spellStart"/>
      <w:r>
        <w:rPr>
          <w:rFonts w:ascii="Segoe UI" w:hAnsi="Segoe UI" w:cs="Segoe UI"/>
          <w:sz w:val="21"/>
          <w:szCs w:val="21"/>
        </w:rPr>
        <w:t>require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multilayer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protection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including</w:t>
      </w:r>
      <w:proofErr w:type="spellEnd"/>
      <w:r>
        <w:rPr>
          <w:rFonts w:ascii="Segoe UI" w:hAnsi="Segoe UI" w:cs="Segoe UI"/>
          <w:sz w:val="21"/>
          <w:szCs w:val="21"/>
        </w:rPr>
        <w:t xml:space="preserve"> network </w:t>
      </w:r>
      <w:proofErr w:type="spellStart"/>
      <w:r>
        <w:rPr>
          <w:rFonts w:ascii="Segoe UI" w:hAnsi="Segoe UI" w:cs="Segoe UI"/>
          <w:sz w:val="21"/>
          <w:szCs w:val="21"/>
        </w:rPr>
        <w:t>security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content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filtering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threat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detection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protection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against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harmful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content</w:t>
      </w:r>
      <w:proofErr w:type="spellEnd"/>
      <w:r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>
        <w:rPr>
          <w:rFonts w:ascii="Segoe UI" w:hAnsi="Segoe UI" w:cs="Segoe UI"/>
          <w:sz w:val="21"/>
          <w:szCs w:val="21"/>
        </w:rPr>
        <w:t>support</w:t>
      </w:r>
      <w:proofErr w:type="spellEnd"/>
      <w:r>
        <w:rPr>
          <w:rFonts w:ascii="Segoe UI" w:hAnsi="Segoe UI" w:cs="Segoe UI"/>
          <w:sz w:val="21"/>
          <w:szCs w:val="21"/>
        </w:rPr>
        <w:t xml:space="preserve"> in </w:t>
      </w:r>
      <w:proofErr w:type="spellStart"/>
      <w:r>
        <w:rPr>
          <w:rFonts w:ascii="Segoe UI" w:hAnsi="Segoe UI" w:cs="Segoe UI"/>
          <w:sz w:val="21"/>
          <w:szCs w:val="21"/>
        </w:rPr>
        <w:t>addressing</w:t>
      </w:r>
      <w:proofErr w:type="spellEnd"/>
      <w:r>
        <w:rPr>
          <w:rFonts w:ascii="Segoe UI" w:hAnsi="Segoe UI" w:cs="Segoe UI"/>
          <w:sz w:val="21"/>
          <w:szCs w:val="21"/>
        </w:rPr>
        <w:t xml:space="preserve"> cyberbullying and online </w:t>
      </w:r>
      <w:proofErr w:type="spellStart"/>
      <w:r>
        <w:rPr>
          <w:rFonts w:ascii="Segoe UI" w:hAnsi="Segoe UI" w:cs="Segoe UI"/>
          <w:sz w:val="21"/>
          <w:szCs w:val="21"/>
        </w:rPr>
        <w:t>risks</w:t>
      </w:r>
      <w:proofErr w:type="spellEnd"/>
      <w:r>
        <w:rPr>
          <w:rFonts w:ascii="Segoe UI" w:hAnsi="Segoe UI" w:cs="Segoe UI"/>
          <w:sz w:val="21"/>
          <w:szCs w:val="21"/>
        </w:rPr>
        <w:t xml:space="preserve">. </w:t>
      </w:r>
    </w:p>
    <w:p w14:paraId="00208D85" w14:textId="01F2ABD8" w:rsid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Digital </w:t>
      </w:r>
      <w:proofErr w:type="spellStart"/>
      <w:r>
        <w:rPr>
          <w:rFonts w:ascii="Segoe UI" w:hAnsi="Segoe UI" w:cs="Segoe UI"/>
          <w:sz w:val="21"/>
          <w:szCs w:val="21"/>
        </w:rPr>
        <w:t>resilience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depends</w:t>
      </w:r>
      <w:proofErr w:type="spellEnd"/>
      <w:r>
        <w:rPr>
          <w:rFonts w:ascii="Segoe UI" w:hAnsi="Segoe UI" w:cs="Segoe UI"/>
          <w:sz w:val="21"/>
          <w:szCs w:val="21"/>
        </w:rPr>
        <w:t xml:space="preserve"> on </w:t>
      </w:r>
      <w:proofErr w:type="spellStart"/>
      <w:r>
        <w:rPr>
          <w:rFonts w:ascii="Segoe UI" w:hAnsi="Segoe UI" w:cs="Segoe UI"/>
          <w:sz w:val="21"/>
          <w:szCs w:val="21"/>
        </w:rPr>
        <w:t>people</w:t>
      </w:r>
      <w:proofErr w:type="spellEnd"/>
      <w:r>
        <w:rPr>
          <w:rFonts w:ascii="Segoe UI" w:hAnsi="Segoe UI" w:cs="Segoe UI"/>
          <w:sz w:val="21"/>
          <w:szCs w:val="21"/>
        </w:rPr>
        <w:t xml:space="preserve"> as much as </w:t>
      </w:r>
      <w:proofErr w:type="spellStart"/>
      <w:r>
        <w:rPr>
          <w:rFonts w:ascii="Segoe UI" w:hAnsi="Segoe UI" w:cs="Segoe UI"/>
          <w:sz w:val="21"/>
          <w:szCs w:val="21"/>
        </w:rPr>
        <w:t>technology</w:t>
      </w:r>
      <w:proofErr w:type="spellEnd"/>
      <w:r>
        <w:rPr>
          <w:rFonts w:ascii="Segoe UI" w:hAnsi="Segoe UI" w:cs="Segoe UI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sz w:val="21"/>
          <w:szCs w:val="21"/>
        </w:rPr>
        <w:t>Teachers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students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parents</w:t>
      </w:r>
      <w:proofErr w:type="spellEnd"/>
      <w:r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>
        <w:rPr>
          <w:rFonts w:ascii="Segoe UI" w:hAnsi="Segoe UI" w:cs="Segoe UI"/>
          <w:sz w:val="21"/>
          <w:szCs w:val="21"/>
        </w:rPr>
        <w:t>seniors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all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require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continuous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access</w:t>
      </w:r>
      <w:proofErr w:type="spellEnd"/>
      <w:r>
        <w:rPr>
          <w:rFonts w:ascii="Segoe UI" w:hAnsi="Segoe UI" w:cs="Segoe UI"/>
          <w:sz w:val="21"/>
          <w:szCs w:val="21"/>
        </w:rPr>
        <w:t xml:space="preserve"> to </w:t>
      </w:r>
      <w:proofErr w:type="spellStart"/>
      <w:r>
        <w:rPr>
          <w:rFonts w:ascii="Segoe UI" w:hAnsi="Segoe UI" w:cs="Segoe UI"/>
          <w:sz w:val="21"/>
          <w:szCs w:val="21"/>
        </w:rPr>
        <w:t>digital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literacy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cybersecurity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awareness</w:t>
      </w:r>
      <w:proofErr w:type="spellEnd"/>
      <w:r>
        <w:rPr>
          <w:rFonts w:ascii="Segoe UI" w:hAnsi="Segoe UI" w:cs="Segoe UI"/>
          <w:sz w:val="21"/>
          <w:szCs w:val="21"/>
        </w:rPr>
        <w:t xml:space="preserve">, media </w:t>
      </w:r>
      <w:proofErr w:type="spellStart"/>
      <w:r>
        <w:rPr>
          <w:rFonts w:ascii="Segoe UI" w:hAnsi="Segoe UI" w:cs="Segoe UI"/>
          <w:sz w:val="21"/>
          <w:szCs w:val="21"/>
        </w:rPr>
        <w:t>literacy</w:t>
      </w:r>
      <w:proofErr w:type="spellEnd"/>
      <w:r>
        <w:rPr>
          <w:rFonts w:ascii="Segoe UI" w:hAnsi="Segoe UI" w:cs="Segoe UI"/>
          <w:sz w:val="21"/>
          <w:szCs w:val="21"/>
        </w:rPr>
        <w:t>, AI-</w:t>
      </w:r>
      <w:proofErr w:type="spellStart"/>
      <w:r>
        <w:rPr>
          <w:rFonts w:ascii="Segoe UI" w:hAnsi="Segoe UI" w:cs="Segoe UI"/>
          <w:sz w:val="21"/>
          <w:szCs w:val="21"/>
        </w:rPr>
        <w:t>related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competencies</w:t>
      </w:r>
      <w:proofErr w:type="spellEnd"/>
      <w:r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>
        <w:rPr>
          <w:rFonts w:ascii="Segoe UI" w:hAnsi="Segoe UI" w:cs="Segoe UI"/>
          <w:sz w:val="21"/>
          <w:szCs w:val="21"/>
        </w:rPr>
        <w:t>critical-thinking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skills</w:t>
      </w:r>
      <w:proofErr w:type="spellEnd"/>
      <w:r>
        <w:rPr>
          <w:rFonts w:ascii="Segoe UI" w:hAnsi="Segoe UI" w:cs="Segoe UI"/>
          <w:sz w:val="21"/>
          <w:szCs w:val="21"/>
        </w:rPr>
        <w:t xml:space="preserve">. </w:t>
      </w:r>
    </w:p>
    <w:p w14:paraId="7BE1C6EF" w14:textId="72C4609D" w:rsid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Growing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digitalization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increased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use</w:t>
      </w:r>
      <w:proofErr w:type="spellEnd"/>
      <w:r>
        <w:rPr>
          <w:rFonts w:ascii="Segoe UI" w:hAnsi="Segoe UI" w:cs="Segoe UI"/>
          <w:sz w:val="21"/>
          <w:szCs w:val="21"/>
        </w:rPr>
        <w:t xml:space="preserve"> of </w:t>
      </w:r>
      <w:proofErr w:type="spellStart"/>
      <w:r>
        <w:rPr>
          <w:rFonts w:ascii="Segoe UI" w:hAnsi="Segoe UI" w:cs="Segoe UI"/>
          <w:sz w:val="21"/>
          <w:szCs w:val="21"/>
        </w:rPr>
        <w:t>cloud</w:t>
      </w:r>
      <w:proofErr w:type="spellEnd"/>
      <w:r>
        <w:rPr>
          <w:rFonts w:ascii="Segoe UI" w:hAnsi="Segoe UI" w:cs="Segoe UI"/>
          <w:sz w:val="21"/>
          <w:szCs w:val="21"/>
        </w:rPr>
        <w:t xml:space="preserve"> services, AI </w:t>
      </w:r>
      <w:proofErr w:type="spellStart"/>
      <w:r>
        <w:rPr>
          <w:rFonts w:ascii="Segoe UI" w:hAnsi="Segoe UI" w:cs="Segoe UI"/>
          <w:sz w:val="21"/>
          <w:szCs w:val="21"/>
        </w:rPr>
        <w:t>tools</w:t>
      </w:r>
      <w:proofErr w:type="spellEnd"/>
      <w:r>
        <w:rPr>
          <w:rFonts w:ascii="Segoe UI" w:hAnsi="Segoe UI" w:cs="Segoe UI"/>
          <w:sz w:val="21"/>
          <w:szCs w:val="21"/>
        </w:rPr>
        <w:t xml:space="preserve">, online learning </w:t>
      </w:r>
      <w:proofErr w:type="spellStart"/>
      <w:r>
        <w:rPr>
          <w:rFonts w:ascii="Segoe UI" w:hAnsi="Segoe UI" w:cs="Segoe UI"/>
          <w:sz w:val="21"/>
          <w:szCs w:val="21"/>
        </w:rPr>
        <w:t>platforms</w:t>
      </w:r>
      <w:proofErr w:type="spellEnd"/>
      <w:r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>
        <w:rPr>
          <w:rFonts w:ascii="Segoe UI" w:hAnsi="Segoe UI" w:cs="Segoe UI"/>
          <w:sz w:val="21"/>
          <w:szCs w:val="21"/>
        </w:rPr>
        <w:t>exposure</w:t>
      </w:r>
      <w:proofErr w:type="spellEnd"/>
      <w:r>
        <w:rPr>
          <w:rFonts w:ascii="Segoe UI" w:hAnsi="Segoe UI" w:cs="Segoe UI"/>
          <w:sz w:val="21"/>
          <w:szCs w:val="21"/>
        </w:rPr>
        <w:t xml:space="preserve"> to </w:t>
      </w:r>
      <w:proofErr w:type="spellStart"/>
      <w:r>
        <w:rPr>
          <w:rFonts w:ascii="Segoe UI" w:hAnsi="Segoe UI" w:cs="Segoe UI"/>
          <w:sz w:val="21"/>
          <w:szCs w:val="21"/>
        </w:rPr>
        <w:t>misinformation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create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new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demands</w:t>
      </w:r>
      <w:proofErr w:type="spellEnd"/>
      <w:r>
        <w:rPr>
          <w:rFonts w:ascii="Segoe UI" w:hAnsi="Segoe UI" w:cs="Segoe UI"/>
          <w:sz w:val="21"/>
          <w:szCs w:val="21"/>
        </w:rPr>
        <w:t xml:space="preserve"> for </w:t>
      </w:r>
      <w:proofErr w:type="spellStart"/>
      <w:r>
        <w:rPr>
          <w:rFonts w:ascii="Segoe UI" w:hAnsi="Segoe UI" w:cs="Segoe UI"/>
          <w:sz w:val="21"/>
          <w:szCs w:val="21"/>
        </w:rPr>
        <w:t>both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infrastructure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capacity</w:t>
      </w:r>
      <w:proofErr w:type="spellEnd"/>
      <w:r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>
        <w:rPr>
          <w:rFonts w:ascii="Segoe UI" w:hAnsi="Segoe UI" w:cs="Segoe UI"/>
          <w:sz w:val="21"/>
          <w:szCs w:val="21"/>
        </w:rPr>
        <w:t>digital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competencies</w:t>
      </w:r>
      <w:proofErr w:type="spellEnd"/>
      <w:r>
        <w:rPr>
          <w:rFonts w:ascii="Segoe UI" w:hAnsi="Segoe UI" w:cs="Segoe UI"/>
          <w:sz w:val="21"/>
          <w:szCs w:val="21"/>
        </w:rPr>
        <w:t xml:space="preserve">. </w:t>
      </w:r>
    </w:p>
    <w:p w14:paraId="1F99B1B1" w14:textId="54F4B184" w:rsid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Collaboration </w:t>
      </w:r>
      <w:proofErr w:type="spellStart"/>
      <w:r>
        <w:rPr>
          <w:rFonts w:ascii="Segoe UI" w:hAnsi="Segoe UI" w:cs="Segoe UI"/>
          <w:sz w:val="21"/>
          <w:szCs w:val="21"/>
        </w:rPr>
        <w:t>between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government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academia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telecommunications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operators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schools</w:t>
      </w:r>
      <w:proofErr w:type="spellEnd"/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civil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society</w:t>
      </w:r>
      <w:proofErr w:type="spellEnd"/>
      <w:r>
        <w:rPr>
          <w:rFonts w:ascii="Segoe UI" w:hAnsi="Segoe UI" w:cs="Segoe UI"/>
          <w:sz w:val="21"/>
          <w:szCs w:val="21"/>
        </w:rPr>
        <w:t xml:space="preserve">, and the </w:t>
      </w:r>
      <w:proofErr w:type="spellStart"/>
      <w:r>
        <w:rPr>
          <w:rFonts w:ascii="Segoe UI" w:hAnsi="Segoe UI" w:cs="Segoe UI"/>
          <w:sz w:val="21"/>
          <w:szCs w:val="21"/>
        </w:rPr>
        <w:t>private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sector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essential</w:t>
      </w:r>
      <w:proofErr w:type="spellEnd"/>
      <w:r>
        <w:rPr>
          <w:rFonts w:ascii="Segoe UI" w:hAnsi="Segoe UI" w:cs="Segoe UI"/>
          <w:sz w:val="21"/>
          <w:szCs w:val="21"/>
        </w:rPr>
        <w:t xml:space="preserve"> for </w:t>
      </w:r>
      <w:proofErr w:type="spellStart"/>
      <w:r>
        <w:rPr>
          <w:rFonts w:ascii="Segoe UI" w:hAnsi="Segoe UI" w:cs="Segoe UI"/>
          <w:sz w:val="21"/>
          <w:szCs w:val="21"/>
        </w:rPr>
        <w:t>achieving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nationwide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impact</w:t>
      </w:r>
      <w:proofErr w:type="spellEnd"/>
      <w:r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>
        <w:rPr>
          <w:rFonts w:ascii="Segoe UI" w:hAnsi="Segoe UI" w:cs="Segoe UI"/>
          <w:sz w:val="21"/>
          <w:szCs w:val="21"/>
        </w:rPr>
        <w:t>ensuring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resilience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against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cyber</w:t>
      </w:r>
      <w:proofErr w:type="spellEnd"/>
      <w:r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>
        <w:rPr>
          <w:rFonts w:ascii="Segoe UI" w:hAnsi="Segoe UI" w:cs="Segoe UI"/>
          <w:sz w:val="21"/>
          <w:szCs w:val="21"/>
        </w:rPr>
        <w:t>hybrid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threats</w:t>
      </w:r>
      <w:proofErr w:type="spellEnd"/>
      <w:r>
        <w:rPr>
          <w:rFonts w:ascii="Segoe UI" w:hAnsi="Segoe UI" w:cs="Segoe UI"/>
          <w:sz w:val="21"/>
          <w:szCs w:val="21"/>
        </w:rPr>
        <w:t xml:space="preserve">. </w:t>
      </w:r>
    </w:p>
    <w:p w14:paraId="4C83A53E" w14:textId="77777777" w:rsidR="001372F9" w:rsidRPr="00C62BA9" w:rsidRDefault="001372F9" w:rsidP="001372F9">
      <w:pPr>
        <w:spacing w:before="240" w:after="0"/>
        <w:rPr>
          <w:rFonts w:ascii="Tenorite" w:eastAsia="Calibri" w:hAnsi="Tenorite" w:cs="Calibri"/>
          <w:color w:val="000000" w:themeColor="text1"/>
          <w:sz w:val="22"/>
          <w:szCs w:val="22"/>
        </w:rPr>
      </w:pPr>
      <w:r>
        <w:rPr>
          <w:rFonts w:ascii="Tenorite" w:eastAsia="Calibri" w:hAnsi="Tenorite" w:cs="Calibri"/>
          <w:b/>
          <w:bCs/>
          <w:color w:val="000000" w:themeColor="text1"/>
          <w:sz w:val="22"/>
          <w:szCs w:val="22"/>
        </w:rPr>
        <w:t>Key</w:t>
      </w:r>
      <w:r w:rsidRPr="00C62BA9">
        <w:rPr>
          <w:rFonts w:ascii="Tenorite" w:eastAsia="Calibri" w:hAnsi="Tenorite" w:cs="Calibri"/>
          <w:b/>
          <w:bCs/>
          <w:color w:val="000000" w:themeColor="text1"/>
          <w:sz w:val="22"/>
          <w:szCs w:val="22"/>
        </w:rPr>
        <w:t xml:space="preserve"> Outcomes of the session</w:t>
      </w:r>
      <w:r w:rsidRPr="00C62BA9">
        <w:rPr>
          <w:rFonts w:ascii="Tenorite" w:eastAsia="Calibri" w:hAnsi="Tenorite" w:cs="Calibri"/>
          <w:color w:val="000000" w:themeColor="text1"/>
          <w:sz w:val="22"/>
          <w:szCs w:val="22"/>
        </w:rPr>
        <w:t xml:space="preserve"> </w:t>
      </w:r>
      <w:r>
        <w:rPr>
          <w:rFonts w:ascii="Tenorite" w:eastAsia="Calibri" w:hAnsi="Tenorite" w:cs="Calibri"/>
          <w:color w:val="000000" w:themeColor="text1"/>
          <w:sz w:val="22"/>
          <w:szCs w:val="22"/>
        </w:rPr>
        <w:t>(concise billet points capturing the concrete results of the session)</w:t>
      </w:r>
    </w:p>
    <w:p w14:paraId="161D56F1" w14:textId="77777777" w:rsidR="00732EEC" w:rsidRPr="00732EEC" w:rsidRDefault="00732EEC" w:rsidP="00732EEC">
      <w:pPr>
        <w:spacing w:before="240" w:after="0"/>
        <w:rPr>
          <w:rFonts w:ascii="Tenorite" w:eastAsia="Calibri" w:hAnsi="Tenorite" w:cs="Calibri"/>
          <w:b/>
          <w:bCs/>
          <w:sz w:val="22"/>
          <w:szCs w:val="22"/>
          <w:lang w:val="pl-PL"/>
        </w:rPr>
      </w:pP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Key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insights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 and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findings</w:t>
      </w:r>
      <w:proofErr w:type="spellEnd"/>
    </w:p>
    <w:p w14:paraId="7E9D0F19" w14:textId="2B5537FC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732EEC">
        <w:rPr>
          <w:rFonts w:ascii="Segoe UI" w:hAnsi="Segoe UI" w:cs="Segoe UI"/>
          <w:sz w:val="21"/>
          <w:szCs w:val="21"/>
        </w:rPr>
        <w:t xml:space="preserve">The </w:t>
      </w:r>
      <w:proofErr w:type="spellStart"/>
      <w:r w:rsidRPr="00732EEC">
        <w:rPr>
          <w:rFonts w:ascii="Segoe UI" w:hAnsi="Segoe UI" w:cs="Segoe UI"/>
          <w:sz w:val="21"/>
          <w:szCs w:val="21"/>
        </w:rPr>
        <w:t>Polish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OSE model </w:t>
      </w:r>
      <w:proofErr w:type="spellStart"/>
      <w:r w:rsidRPr="00732EEC">
        <w:rPr>
          <w:rFonts w:ascii="Segoe UI" w:hAnsi="Segoe UI" w:cs="Segoe UI"/>
          <w:sz w:val="21"/>
          <w:szCs w:val="21"/>
        </w:rPr>
        <w:t>demonstrates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that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sustainable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digital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resilience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requires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integration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of </w:t>
      </w:r>
      <w:proofErr w:type="spellStart"/>
      <w:r w:rsidRPr="00732EEC">
        <w:rPr>
          <w:rFonts w:ascii="Segoe UI" w:hAnsi="Segoe UI" w:cs="Segoe UI"/>
          <w:sz w:val="21"/>
          <w:szCs w:val="21"/>
        </w:rPr>
        <w:t>connectivity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cybersecurity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digital-skills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development. </w:t>
      </w:r>
    </w:p>
    <w:p w14:paraId="6A593115" w14:textId="4440318F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 w:rsidRPr="00732EEC">
        <w:rPr>
          <w:rFonts w:ascii="Segoe UI" w:hAnsi="Segoe UI" w:cs="Segoe UI"/>
          <w:sz w:val="21"/>
          <w:szCs w:val="21"/>
        </w:rPr>
        <w:lastRenderedPageBreak/>
        <w:t>Strong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interest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was </w:t>
      </w:r>
      <w:proofErr w:type="spellStart"/>
      <w:r w:rsidRPr="00732EEC">
        <w:rPr>
          <w:rFonts w:ascii="Segoe UI" w:hAnsi="Segoe UI" w:cs="Segoe UI"/>
          <w:sz w:val="21"/>
          <w:szCs w:val="21"/>
        </w:rPr>
        <w:t>expressed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by </w:t>
      </w:r>
      <w:proofErr w:type="spellStart"/>
      <w:r w:rsidRPr="00732EEC">
        <w:rPr>
          <w:rFonts w:ascii="Segoe UI" w:hAnsi="Segoe UI" w:cs="Segoe UI"/>
          <w:sz w:val="21"/>
          <w:szCs w:val="21"/>
        </w:rPr>
        <w:t>participants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in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Polish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approach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particularly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regarding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operational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model, </w:t>
      </w:r>
      <w:proofErr w:type="spellStart"/>
      <w:r w:rsidRPr="00732EEC">
        <w:rPr>
          <w:rFonts w:ascii="Segoe UI" w:hAnsi="Segoe UI" w:cs="Segoe UI"/>
          <w:sz w:val="21"/>
          <w:szCs w:val="21"/>
        </w:rPr>
        <w:t>cybersecurity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services for </w:t>
      </w:r>
      <w:proofErr w:type="spellStart"/>
      <w:r w:rsidRPr="00732EEC">
        <w:rPr>
          <w:rFonts w:ascii="Segoe UI" w:hAnsi="Segoe UI" w:cs="Segoe UI"/>
          <w:sz w:val="21"/>
          <w:szCs w:val="21"/>
        </w:rPr>
        <w:t>schools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long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-term </w:t>
      </w:r>
      <w:proofErr w:type="spellStart"/>
      <w:r w:rsidRPr="00732EEC">
        <w:rPr>
          <w:rFonts w:ascii="Segoe UI" w:hAnsi="Segoe UI" w:cs="Segoe UI"/>
          <w:sz w:val="21"/>
          <w:szCs w:val="21"/>
        </w:rPr>
        <w:t>sustainability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of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programme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. </w:t>
      </w:r>
    </w:p>
    <w:p w14:paraId="7ABCEE55" w14:textId="668AC1A7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732EEC">
        <w:rPr>
          <w:rFonts w:ascii="Segoe UI" w:hAnsi="Segoe UI" w:cs="Segoe UI"/>
          <w:sz w:val="21"/>
          <w:szCs w:val="21"/>
        </w:rPr>
        <w:t xml:space="preserve">The </w:t>
      </w:r>
      <w:proofErr w:type="spellStart"/>
      <w:r w:rsidRPr="00732EEC">
        <w:rPr>
          <w:rFonts w:ascii="Segoe UI" w:hAnsi="Segoe UI" w:cs="Segoe UI"/>
          <w:sz w:val="21"/>
          <w:szCs w:val="21"/>
        </w:rPr>
        <w:t>session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confirmed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that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digital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resilience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depends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not </w:t>
      </w:r>
      <w:proofErr w:type="spellStart"/>
      <w:r w:rsidRPr="00732EEC">
        <w:rPr>
          <w:rFonts w:ascii="Segoe UI" w:hAnsi="Segoe UI" w:cs="Segoe UI"/>
          <w:sz w:val="21"/>
          <w:szCs w:val="21"/>
        </w:rPr>
        <w:t>only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on </w:t>
      </w:r>
      <w:proofErr w:type="spellStart"/>
      <w:r w:rsidRPr="00732EEC">
        <w:rPr>
          <w:rFonts w:ascii="Segoe UI" w:hAnsi="Segoe UI" w:cs="Segoe UI"/>
          <w:sz w:val="21"/>
          <w:szCs w:val="21"/>
        </w:rPr>
        <w:t>infrastructure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but </w:t>
      </w:r>
      <w:proofErr w:type="spellStart"/>
      <w:r w:rsidRPr="00732EEC">
        <w:rPr>
          <w:rFonts w:ascii="Segoe UI" w:hAnsi="Segoe UI" w:cs="Segoe UI"/>
          <w:sz w:val="21"/>
          <w:szCs w:val="21"/>
        </w:rPr>
        <w:t>also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on </w:t>
      </w:r>
      <w:proofErr w:type="spellStart"/>
      <w:r w:rsidRPr="00732EEC">
        <w:rPr>
          <w:rFonts w:ascii="Segoe UI" w:hAnsi="Segoe UI" w:cs="Segoe UI"/>
          <w:sz w:val="21"/>
          <w:szCs w:val="21"/>
        </w:rPr>
        <w:t>citizens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’ </w:t>
      </w:r>
      <w:proofErr w:type="spellStart"/>
      <w:r w:rsidRPr="00732EEC">
        <w:rPr>
          <w:rFonts w:ascii="Segoe UI" w:hAnsi="Segoe UI" w:cs="Segoe UI"/>
          <w:sz w:val="21"/>
          <w:szCs w:val="21"/>
        </w:rPr>
        <w:t>ability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to </w:t>
      </w:r>
      <w:proofErr w:type="spellStart"/>
      <w:r w:rsidRPr="00732EEC">
        <w:rPr>
          <w:rFonts w:ascii="Segoe UI" w:hAnsi="Segoe UI" w:cs="Segoe UI"/>
          <w:sz w:val="21"/>
          <w:szCs w:val="21"/>
        </w:rPr>
        <w:t>recognize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misinformation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cyber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threats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and online </w:t>
      </w:r>
      <w:proofErr w:type="spellStart"/>
      <w:r w:rsidRPr="00732EEC">
        <w:rPr>
          <w:rFonts w:ascii="Segoe UI" w:hAnsi="Segoe UI" w:cs="Segoe UI"/>
          <w:sz w:val="21"/>
          <w:szCs w:val="21"/>
        </w:rPr>
        <w:t>manipulation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. </w:t>
      </w:r>
    </w:p>
    <w:p w14:paraId="3D102ED0" w14:textId="77777777" w:rsidR="00732EEC" w:rsidRPr="00732EEC" w:rsidRDefault="00732EEC" w:rsidP="00732EEC">
      <w:pPr>
        <w:spacing w:before="240" w:after="0"/>
        <w:rPr>
          <w:rFonts w:ascii="Tenorite" w:eastAsia="Calibri" w:hAnsi="Tenorite" w:cs="Calibri"/>
          <w:b/>
          <w:bCs/>
          <w:sz w:val="22"/>
          <w:szCs w:val="22"/>
          <w:lang w:val="pl-PL"/>
        </w:rPr>
      </w:pP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Announcements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,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launches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,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or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new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initiatives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presented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during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 the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session</w:t>
      </w:r>
      <w:proofErr w:type="spellEnd"/>
    </w:p>
    <w:p w14:paraId="30E0A5D3" w14:textId="6BCE45D7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732EEC">
        <w:rPr>
          <w:rFonts w:ascii="Segoe UI" w:hAnsi="Segoe UI" w:cs="Segoe UI"/>
          <w:sz w:val="21"/>
          <w:szCs w:val="21"/>
        </w:rPr>
        <w:t xml:space="preserve">NASK </w:t>
      </w:r>
      <w:proofErr w:type="spellStart"/>
      <w:r w:rsidRPr="00732EEC">
        <w:rPr>
          <w:rFonts w:ascii="Segoe UI" w:hAnsi="Segoe UI" w:cs="Segoe UI"/>
          <w:sz w:val="21"/>
          <w:szCs w:val="21"/>
        </w:rPr>
        <w:t>presented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ongoing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recently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launched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educational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initiatives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including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the Digital </w:t>
      </w:r>
      <w:proofErr w:type="spellStart"/>
      <w:r w:rsidRPr="00732EEC">
        <w:rPr>
          <w:rFonts w:ascii="Segoe UI" w:hAnsi="Segoe UI" w:cs="Segoe UI"/>
          <w:sz w:val="21"/>
          <w:szCs w:val="21"/>
        </w:rPr>
        <w:t>Opportunities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Club (2025–2029), </w:t>
      </w:r>
      <w:proofErr w:type="spellStart"/>
      <w:r w:rsidRPr="00732EEC">
        <w:rPr>
          <w:rFonts w:ascii="Segoe UI" w:hAnsi="Segoe UI" w:cs="Segoe UI"/>
          <w:sz w:val="21"/>
          <w:szCs w:val="21"/>
        </w:rPr>
        <w:t>Defend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Yourself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Online, </w:t>
      </w:r>
      <w:proofErr w:type="spellStart"/>
      <w:r w:rsidRPr="00732EEC">
        <w:rPr>
          <w:rFonts w:ascii="Segoe UI" w:hAnsi="Segoe UI" w:cs="Segoe UI"/>
          <w:sz w:val="21"/>
          <w:szCs w:val="21"/>
        </w:rPr>
        <w:t>OSEhero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Safe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Online, Digital </w:t>
      </w:r>
      <w:proofErr w:type="spellStart"/>
      <w:r w:rsidRPr="00732EEC">
        <w:rPr>
          <w:rFonts w:ascii="Segoe UI" w:hAnsi="Segoe UI" w:cs="Segoe UI"/>
          <w:sz w:val="21"/>
          <w:szCs w:val="21"/>
        </w:rPr>
        <w:t>Well-being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Intergenerational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School. </w:t>
      </w:r>
    </w:p>
    <w:p w14:paraId="35465556" w14:textId="635A3CDE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 w:rsidRPr="00732EEC">
        <w:rPr>
          <w:rFonts w:ascii="Segoe UI" w:hAnsi="Segoe UI" w:cs="Segoe UI"/>
          <w:sz w:val="21"/>
          <w:szCs w:val="21"/>
        </w:rPr>
        <w:t>Participants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were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informed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about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continued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modernization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of OSE </w:t>
      </w:r>
      <w:proofErr w:type="spellStart"/>
      <w:r w:rsidRPr="00732EEC">
        <w:rPr>
          <w:rFonts w:ascii="Segoe UI" w:hAnsi="Segoe UI" w:cs="Segoe UI"/>
          <w:sz w:val="21"/>
          <w:szCs w:val="21"/>
        </w:rPr>
        <w:t>infrastructure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and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further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development of </w:t>
      </w:r>
      <w:proofErr w:type="spellStart"/>
      <w:r w:rsidRPr="00732EEC">
        <w:rPr>
          <w:rFonts w:ascii="Segoe UI" w:hAnsi="Segoe UI" w:cs="Segoe UI"/>
          <w:sz w:val="21"/>
          <w:szCs w:val="21"/>
        </w:rPr>
        <w:t>cybersecurity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educational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services </w:t>
      </w:r>
      <w:proofErr w:type="spellStart"/>
      <w:r w:rsidRPr="00732EEC">
        <w:rPr>
          <w:rFonts w:ascii="Segoe UI" w:hAnsi="Segoe UI" w:cs="Segoe UI"/>
          <w:sz w:val="21"/>
          <w:szCs w:val="21"/>
        </w:rPr>
        <w:t>supporting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more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than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20,000 </w:t>
      </w:r>
      <w:proofErr w:type="spellStart"/>
      <w:r w:rsidRPr="00732EEC">
        <w:rPr>
          <w:rFonts w:ascii="Segoe UI" w:hAnsi="Segoe UI" w:cs="Segoe UI"/>
          <w:sz w:val="21"/>
          <w:szCs w:val="21"/>
        </w:rPr>
        <w:t>schools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across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Poland. </w:t>
      </w:r>
    </w:p>
    <w:p w14:paraId="66449B3B" w14:textId="77777777" w:rsidR="00732EEC" w:rsidRPr="00732EEC" w:rsidRDefault="00732EEC" w:rsidP="00732EEC">
      <w:pPr>
        <w:spacing w:before="240" w:after="0"/>
        <w:rPr>
          <w:rFonts w:ascii="Tenorite" w:eastAsia="Calibri" w:hAnsi="Tenorite" w:cs="Calibri"/>
          <w:b/>
          <w:bCs/>
          <w:sz w:val="22"/>
          <w:szCs w:val="22"/>
          <w:lang w:val="pl-PL"/>
        </w:rPr>
      </w:pP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Agreements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,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collaborations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,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or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commitments</w:t>
      </w:r>
      <w:proofErr w:type="spellEnd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732EEC">
        <w:rPr>
          <w:rFonts w:ascii="Tenorite" w:eastAsia="Calibri" w:hAnsi="Tenorite" w:cs="Calibri"/>
          <w:b/>
          <w:bCs/>
          <w:sz w:val="22"/>
          <w:szCs w:val="22"/>
          <w:lang w:val="pl-PL"/>
        </w:rPr>
        <w:t>made</w:t>
      </w:r>
      <w:proofErr w:type="spellEnd"/>
    </w:p>
    <w:p w14:paraId="71042236" w14:textId="78C3D0A8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732EEC">
        <w:rPr>
          <w:rFonts w:ascii="Segoe UI" w:hAnsi="Segoe UI" w:cs="Segoe UI"/>
          <w:sz w:val="21"/>
          <w:szCs w:val="21"/>
        </w:rPr>
        <w:t xml:space="preserve">The </w:t>
      </w:r>
      <w:proofErr w:type="spellStart"/>
      <w:r w:rsidRPr="00732EEC">
        <w:rPr>
          <w:rFonts w:ascii="Segoe UI" w:hAnsi="Segoe UI" w:cs="Segoe UI"/>
          <w:sz w:val="21"/>
          <w:szCs w:val="21"/>
        </w:rPr>
        <w:t>session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highlighted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importance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of </w:t>
      </w:r>
      <w:proofErr w:type="spellStart"/>
      <w:r w:rsidRPr="00732EEC">
        <w:rPr>
          <w:rFonts w:ascii="Segoe UI" w:hAnsi="Segoe UI" w:cs="Segoe UI"/>
          <w:sz w:val="21"/>
          <w:szCs w:val="21"/>
        </w:rPr>
        <w:t>cooperation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between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governments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educational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institutions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research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organizations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telecommunications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operators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civil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society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in </w:t>
      </w:r>
      <w:proofErr w:type="spellStart"/>
      <w:r w:rsidRPr="00732EEC">
        <w:rPr>
          <w:rFonts w:ascii="Segoe UI" w:hAnsi="Segoe UI" w:cs="Segoe UI"/>
          <w:sz w:val="21"/>
          <w:szCs w:val="21"/>
        </w:rPr>
        <w:t>building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digital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resilience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. </w:t>
      </w:r>
    </w:p>
    <w:p w14:paraId="46A17484" w14:textId="77777777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 w:rsidRPr="00732EEC">
        <w:rPr>
          <w:rFonts w:ascii="Segoe UI" w:hAnsi="Segoe UI" w:cs="Segoe UI"/>
          <w:sz w:val="21"/>
          <w:szCs w:val="21"/>
        </w:rPr>
        <w:t>Following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presentation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participants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requested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contact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details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for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Polish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representative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presentation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materials to </w:t>
      </w:r>
      <w:proofErr w:type="spellStart"/>
      <w:r w:rsidRPr="00732EEC">
        <w:rPr>
          <w:rFonts w:ascii="Segoe UI" w:hAnsi="Segoe UI" w:cs="Segoe UI"/>
          <w:sz w:val="21"/>
          <w:szCs w:val="21"/>
        </w:rPr>
        <w:t>continue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exchanges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on the OSE model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explore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possible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knowledge-sharing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cooperation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opportunities</w:t>
      </w:r>
      <w:proofErr w:type="spellEnd"/>
      <w:r w:rsidRPr="00732EEC">
        <w:rPr>
          <w:rFonts w:ascii="Segoe UI" w:hAnsi="Segoe UI" w:cs="Segoe UI"/>
          <w:sz w:val="21"/>
          <w:szCs w:val="21"/>
        </w:rPr>
        <w:t>.</w:t>
      </w:r>
    </w:p>
    <w:p w14:paraId="3AFFD261" w14:textId="77777777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 w:rsidRPr="00732EEC">
        <w:rPr>
          <w:rFonts w:ascii="Segoe UI" w:hAnsi="Segoe UI" w:cs="Segoe UI"/>
          <w:sz w:val="21"/>
          <w:szCs w:val="21"/>
        </w:rPr>
        <w:t>Several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follow-up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questions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were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submitted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by e-mail </w:t>
      </w:r>
      <w:proofErr w:type="spellStart"/>
      <w:r w:rsidRPr="00732EEC">
        <w:rPr>
          <w:rFonts w:ascii="Segoe UI" w:hAnsi="Segoe UI" w:cs="Segoe UI"/>
          <w:sz w:val="21"/>
          <w:szCs w:val="21"/>
        </w:rPr>
        <w:t>after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session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demonstrating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continued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international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interest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in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Polish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experience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its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applicability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in </w:t>
      </w:r>
      <w:proofErr w:type="spellStart"/>
      <w:r w:rsidRPr="00732EEC">
        <w:rPr>
          <w:rFonts w:ascii="Segoe UI" w:hAnsi="Segoe UI" w:cs="Segoe UI"/>
          <w:sz w:val="21"/>
          <w:szCs w:val="21"/>
        </w:rPr>
        <w:t>other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countries</w:t>
      </w:r>
      <w:proofErr w:type="spellEnd"/>
      <w:r w:rsidRPr="00732EEC">
        <w:rPr>
          <w:rFonts w:ascii="Segoe UI" w:hAnsi="Segoe UI" w:cs="Segoe UI"/>
          <w:sz w:val="21"/>
          <w:szCs w:val="21"/>
        </w:rPr>
        <w:t>.</w:t>
      </w:r>
    </w:p>
    <w:p w14:paraId="655835E4" w14:textId="77777777" w:rsidR="00732EEC" w:rsidRPr="00E34C99" w:rsidRDefault="00732EEC" w:rsidP="00E34C99">
      <w:pPr>
        <w:spacing w:after="0"/>
        <w:rPr>
          <w:rFonts w:ascii="Tenorite" w:eastAsia="Calibri" w:hAnsi="Tenorite" w:cs="Calibri"/>
          <w:b/>
          <w:bCs/>
          <w:sz w:val="22"/>
          <w:szCs w:val="22"/>
        </w:rPr>
      </w:pPr>
      <w:proofErr w:type="spellStart"/>
      <w:r w:rsidRPr="00E34C99">
        <w:rPr>
          <w:rFonts w:ascii="Tenorite" w:eastAsia="Calibri" w:hAnsi="Tenorite" w:cs="Calibri"/>
          <w:b/>
          <w:bCs/>
          <w:sz w:val="22"/>
          <w:szCs w:val="22"/>
        </w:rPr>
        <w:t>Key</w:t>
      </w:r>
      <w:proofErr w:type="spellEnd"/>
      <w:r w:rsidRPr="00E34C99">
        <w:rPr>
          <w:rFonts w:ascii="Tenorite" w:eastAsia="Calibri" w:hAnsi="Tenorite" w:cs="Calibri"/>
          <w:b/>
          <w:bCs/>
          <w:sz w:val="22"/>
          <w:szCs w:val="22"/>
        </w:rPr>
        <w:t xml:space="preserve"> </w:t>
      </w:r>
      <w:proofErr w:type="spellStart"/>
      <w:r w:rsidRPr="00E34C99">
        <w:rPr>
          <w:rFonts w:ascii="Tenorite" w:eastAsia="Calibri" w:hAnsi="Tenorite" w:cs="Calibri"/>
          <w:b/>
          <w:bCs/>
          <w:sz w:val="22"/>
          <w:szCs w:val="22"/>
        </w:rPr>
        <w:t>Recommendations</w:t>
      </w:r>
      <w:proofErr w:type="spellEnd"/>
      <w:r w:rsidRPr="00E34C99">
        <w:rPr>
          <w:rFonts w:ascii="Tenorite" w:eastAsia="Calibri" w:hAnsi="Tenorite" w:cs="Calibri"/>
          <w:b/>
          <w:bCs/>
          <w:sz w:val="22"/>
          <w:szCs w:val="22"/>
        </w:rPr>
        <w:t xml:space="preserve"> and </w:t>
      </w:r>
      <w:proofErr w:type="spellStart"/>
      <w:r w:rsidRPr="00E34C99">
        <w:rPr>
          <w:rFonts w:ascii="Tenorite" w:eastAsia="Calibri" w:hAnsi="Tenorite" w:cs="Calibri"/>
          <w:b/>
          <w:bCs/>
          <w:sz w:val="22"/>
          <w:szCs w:val="22"/>
        </w:rPr>
        <w:t>Forward-Looking</w:t>
      </w:r>
      <w:proofErr w:type="spellEnd"/>
      <w:r w:rsidRPr="00E34C99">
        <w:rPr>
          <w:rFonts w:ascii="Tenorite" w:eastAsia="Calibri" w:hAnsi="Tenorite" w:cs="Calibri"/>
          <w:b/>
          <w:bCs/>
          <w:sz w:val="22"/>
          <w:szCs w:val="22"/>
        </w:rPr>
        <w:t xml:space="preserve"> </w:t>
      </w:r>
      <w:proofErr w:type="spellStart"/>
      <w:r w:rsidRPr="00E34C99">
        <w:rPr>
          <w:rFonts w:ascii="Tenorite" w:eastAsia="Calibri" w:hAnsi="Tenorite" w:cs="Calibri"/>
          <w:b/>
          <w:bCs/>
          <w:sz w:val="22"/>
          <w:szCs w:val="22"/>
        </w:rPr>
        <w:t>Actions</w:t>
      </w:r>
      <w:proofErr w:type="spellEnd"/>
    </w:p>
    <w:p w14:paraId="041852A3" w14:textId="77777777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 w:rsidRPr="00732EEC">
        <w:rPr>
          <w:rFonts w:ascii="Segoe UI" w:hAnsi="Segoe UI" w:cs="Segoe UI"/>
          <w:sz w:val="21"/>
          <w:szCs w:val="21"/>
        </w:rPr>
        <w:t>Encourage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countries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to </w:t>
      </w:r>
      <w:proofErr w:type="spellStart"/>
      <w:r w:rsidRPr="00732EEC">
        <w:rPr>
          <w:rFonts w:ascii="Segoe UI" w:hAnsi="Segoe UI" w:cs="Segoe UI"/>
          <w:sz w:val="21"/>
          <w:szCs w:val="21"/>
        </w:rPr>
        <w:t>adopt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integrated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approaches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combining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connectivity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cybersecurity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digital-skills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development.</w:t>
      </w:r>
    </w:p>
    <w:p w14:paraId="3426E36C" w14:textId="77777777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 w:rsidRPr="00732EEC">
        <w:rPr>
          <w:rFonts w:ascii="Segoe UI" w:hAnsi="Segoe UI" w:cs="Segoe UI"/>
          <w:sz w:val="21"/>
          <w:szCs w:val="21"/>
        </w:rPr>
        <w:t>Ensure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that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school-connectivity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programmes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include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sustainable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operational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maintenance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cybersecurity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components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from the </w:t>
      </w:r>
      <w:proofErr w:type="spellStart"/>
      <w:r w:rsidRPr="00732EEC">
        <w:rPr>
          <w:rFonts w:ascii="Segoe UI" w:hAnsi="Segoe UI" w:cs="Segoe UI"/>
          <w:sz w:val="21"/>
          <w:szCs w:val="21"/>
        </w:rPr>
        <w:t>outset</w:t>
      </w:r>
      <w:proofErr w:type="spellEnd"/>
      <w:r w:rsidRPr="00732EEC">
        <w:rPr>
          <w:rFonts w:ascii="Segoe UI" w:hAnsi="Segoe UI" w:cs="Segoe UI"/>
          <w:sz w:val="21"/>
          <w:szCs w:val="21"/>
        </w:rPr>
        <w:t>.</w:t>
      </w:r>
    </w:p>
    <w:p w14:paraId="52EF8684" w14:textId="77777777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 w:rsidRPr="00732EEC">
        <w:rPr>
          <w:rFonts w:ascii="Segoe UI" w:hAnsi="Segoe UI" w:cs="Segoe UI"/>
          <w:sz w:val="21"/>
          <w:szCs w:val="21"/>
        </w:rPr>
        <w:t>Strengthen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digital-literacy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resilience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programmes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addressing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cybersecurity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Pr="00732EEC">
        <w:rPr>
          <w:rFonts w:ascii="Segoe UI" w:hAnsi="Segoe UI" w:cs="Segoe UI"/>
          <w:sz w:val="21"/>
          <w:szCs w:val="21"/>
        </w:rPr>
        <w:t>misinformation</w:t>
      </w:r>
      <w:proofErr w:type="spellEnd"/>
      <w:r w:rsidRPr="00732EEC">
        <w:rPr>
          <w:rFonts w:ascii="Segoe UI" w:hAnsi="Segoe UI" w:cs="Segoe UI"/>
          <w:sz w:val="21"/>
          <w:szCs w:val="21"/>
        </w:rPr>
        <w:t>, AI-</w:t>
      </w:r>
      <w:proofErr w:type="spellStart"/>
      <w:r w:rsidRPr="00732EEC">
        <w:rPr>
          <w:rFonts w:ascii="Segoe UI" w:hAnsi="Segoe UI" w:cs="Segoe UI"/>
          <w:sz w:val="21"/>
          <w:szCs w:val="21"/>
        </w:rPr>
        <w:t>related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risks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, and online </w:t>
      </w:r>
      <w:proofErr w:type="spellStart"/>
      <w:r w:rsidRPr="00732EEC">
        <w:rPr>
          <w:rFonts w:ascii="Segoe UI" w:hAnsi="Segoe UI" w:cs="Segoe UI"/>
          <w:sz w:val="21"/>
          <w:szCs w:val="21"/>
        </w:rPr>
        <w:t>safety</w:t>
      </w:r>
      <w:proofErr w:type="spellEnd"/>
      <w:r w:rsidRPr="00732EEC">
        <w:rPr>
          <w:rFonts w:ascii="Segoe UI" w:hAnsi="Segoe UI" w:cs="Segoe UI"/>
          <w:sz w:val="21"/>
          <w:szCs w:val="21"/>
        </w:rPr>
        <w:t>.</w:t>
      </w:r>
    </w:p>
    <w:p w14:paraId="4A085F74" w14:textId="77777777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 w:rsidRPr="00732EEC">
        <w:rPr>
          <w:rFonts w:ascii="Segoe UI" w:hAnsi="Segoe UI" w:cs="Segoe UI"/>
          <w:sz w:val="21"/>
          <w:szCs w:val="21"/>
        </w:rPr>
        <w:t>Promote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schools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as </w:t>
      </w:r>
      <w:proofErr w:type="spellStart"/>
      <w:r w:rsidRPr="00732EEC">
        <w:rPr>
          <w:rFonts w:ascii="Segoe UI" w:hAnsi="Segoe UI" w:cs="Segoe UI"/>
          <w:sz w:val="21"/>
          <w:szCs w:val="21"/>
        </w:rPr>
        <w:t>community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hubs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for </w:t>
      </w:r>
      <w:proofErr w:type="spellStart"/>
      <w:r w:rsidRPr="00732EEC">
        <w:rPr>
          <w:rFonts w:ascii="Segoe UI" w:hAnsi="Segoe UI" w:cs="Segoe UI"/>
          <w:sz w:val="21"/>
          <w:szCs w:val="21"/>
        </w:rPr>
        <w:t>digital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inclusion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intergenerational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learning.</w:t>
      </w:r>
    </w:p>
    <w:p w14:paraId="3E42B564" w14:textId="4AD0781C" w:rsidR="00732EEC" w:rsidRPr="00732EEC" w:rsidRDefault="00732EEC" w:rsidP="00732EEC">
      <w:pPr>
        <w:pStyle w:val="NormalnyWeb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732EEC">
        <w:rPr>
          <w:rFonts w:ascii="Segoe UI" w:hAnsi="Segoe UI" w:cs="Segoe UI"/>
          <w:sz w:val="21"/>
          <w:szCs w:val="21"/>
        </w:rPr>
        <w:t xml:space="preserve">Foster </w:t>
      </w:r>
      <w:proofErr w:type="spellStart"/>
      <w:r w:rsidRPr="00732EEC">
        <w:rPr>
          <w:rFonts w:ascii="Segoe UI" w:hAnsi="Segoe UI" w:cs="Segoe UI"/>
          <w:sz w:val="21"/>
          <w:szCs w:val="21"/>
        </w:rPr>
        <w:t>multi-stakeholder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cooperation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international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exchange of </w:t>
      </w:r>
      <w:proofErr w:type="spellStart"/>
      <w:r w:rsidRPr="00732EEC">
        <w:rPr>
          <w:rFonts w:ascii="Segoe UI" w:hAnsi="Segoe UI" w:cs="Segoe UI"/>
          <w:sz w:val="21"/>
          <w:szCs w:val="21"/>
        </w:rPr>
        <w:t>good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practices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to </w:t>
      </w:r>
      <w:proofErr w:type="spellStart"/>
      <w:r w:rsidRPr="00732EEC">
        <w:rPr>
          <w:rFonts w:ascii="Segoe UI" w:hAnsi="Segoe UI" w:cs="Segoe UI"/>
          <w:sz w:val="21"/>
          <w:szCs w:val="21"/>
        </w:rPr>
        <w:t>support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implementation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of WSIS Action Lines and </w:t>
      </w:r>
      <w:proofErr w:type="spellStart"/>
      <w:r w:rsidRPr="00732EEC">
        <w:rPr>
          <w:rFonts w:ascii="Segoe UI" w:hAnsi="Segoe UI" w:cs="Segoe UI"/>
          <w:sz w:val="21"/>
          <w:szCs w:val="21"/>
        </w:rPr>
        <w:t>build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resilient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digital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2EEC">
        <w:rPr>
          <w:rFonts w:ascii="Segoe UI" w:hAnsi="Segoe UI" w:cs="Segoe UI"/>
          <w:sz w:val="21"/>
          <w:szCs w:val="21"/>
        </w:rPr>
        <w:t>societies</w:t>
      </w:r>
      <w:proofErr w:type="spellEnd"/>
      <w:r w:rsidRPr="00732EEC">
        <w:rPr>
          <w:rFonts w:ascii="Segoe UI" w:hAnsi="Segoe UI" w:cs="Segoe UI"/>
          <w:sz w:val="21"/>
          <w:szCs w:val="21"/>
        </w:rPr>
        <w:t xml:space="preserve"> by 2035. </w:t>
      </w:r>
    </w:p>
    <w:p w14:paraId="758C26C9" w14:textId="77777777" w:rsidR="00C52D79" w:rsidRPr="00732EEC" w:rsidRDefault="00C52D79" w:rsidP="00E34C99">
      <w:pPr>
        <w:pStyle w:val="Normalny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</w:p>
    <w:sectPr w:rsidR="00C52D79" w:rsidRPr="00732EEC" w:rsidSect="001372F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B503" w14:textId="77777777" w:rsidR="00EC4292" w:rsidRDefault="00EC4292">
      <w:pPr>
        <w:spacing w:after="0" w:line="240" w:lineRule="auto"/>
      </w:pPr>
      <w:r>
        <w:separator/>
      </w:r>
    </w:p>
  </w:endnote>
  <w:endnote w:type="continuationSeparator" w:id="0">
    <w:p w14:paraId="52BD65D1" w14:textId="77777777" w:rsidR="00EC4292" w:rsidRDefault="00EC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3994" w14:textId="77777777" w:rsidR="001372F9" w:rsidRDefault="001372F9" w:rsidP="005762D0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720BD34" w14:textId="77777777" w:rsidR="001372F9" w:rsidRDefault="001372F9" w:rsidP="00CC2BD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51533163"/>
      <w:docPartObj>
        <w:docPartGallery w:val="Page Numbers (Bottom of Page)"/>
        <w:docPartUnique/>
      </w:docPartObj>
    </w:sdtPr>
    <w:sdtContent>
      <w:p w14:paraId="2A9F60B3" w14:textId="77777777" w:rsidR="001372F9" w:rsidRDefault="001372F9" w:rsidP="68922727">
        <w:pPr>
          <w:pStyle w:val="Stopka"/>
        </w:pPr>
        <w:r w:rsidRPr="68922727">
          <w:rPr>
            <w:rStyle w:val="Numerstrony"/>
            <w:noProof/>
          </w:rPr>
          <w:fldChar w:fldCharType="begin"/>
        </w:r>
        <w:r w:rsidRPr="68922727">
          <w:rPr>
            <w:rStyle w:val="Numerstrony"/>
          </w:rPr>
          <w:instrText xml:space="preserve"> PAGE </w:instrText>
        </w:r>
        <w:r w:rsidRPr="68922727">
          <w:rPr>
            <w:rStyle w:val="Numerstrony"/>
          </w:rPr>
          <w:fldChar w:fldCharType="separate"/>
        </w:r>
        <w:r w:rsidRPr="68922727">
          <w:rPr>
            <w:rStyle w:val="Numerstrony"/>
            <w:noProof/>
          </w:rPr>
          <w:t>8</w:t>
        </w:r>
        <w:r w:rsidRPr="68922727">
          <w:rPr>
            <w:rStyle w:val="Numerstrony"/>
            <w:noProof/>
          </w:rPr>
          <w:fldChar w:fldCharType="end"/>
        </w:r>
      </w:p>
    </w:sdtContent>
  </w:sdt>
  <w:p w14:paraId="3F4D8453" w14:textId="77777777" w:rsidR="001372F9" w:rsidRDefault="001372F9" w:rsidP="00CC2BDF">
    <w:pPr>
      <w:pStyle w:val="Stopka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4232" w14:textId="77777777" w:rsidR="00EC4292" w:rsidRDefault="00EC4292">
      <w:pPr>
        <w:spacing w:after="0" w:line="240" w:lineRule="auto"/>
      </w:pPr>
      <w:r>
        <w:separator/>
      </w:r>
    </w:p>
  </w:footnote>
  <w:footnote w:type="continuationSeparator" w:id="0">
    <w:p w14:paraId="36FD9A8D" w14:textId="77777777" w:rsidR="00EC4292" w:rsidRDefault="00EC4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15E7" w14:textId="77777777" w:rsidR="001372F9" w:rsidRPr="00CC2BDF" w:rsidRDefault="001372F9" w:rsidP="00E01D1A">
    <w:pPr>
      <w:pStyle w:val="Nagwek"/>
      <w:jc w:val="center"/>
    </w:pPr>
    <w:r w:rsidRPr="68922727">
      <w:rPr>
        <w:color w:val="000000" w:themeColor="text1"/>
      </w:rPr>
      <w:t xml:space="preserve">Guidelines for Session </w:t>
    </w:r>
    <w:proofErr w:type="spellStart"/>
    <w:r w:rsidRPr="68922727">
      <w:rPr>
        <w:color w:val="000000" w:themeColor="text1"/>
      </w:rPr>
      <w:t>Organisers</w:t>
    </w:r>
    <w:proofErr w:type="spellEnd"/>
    <w:r w:rsidRPr="68922727">
      <w:rPr>
        <w:color w:val="000000" w:themeColor="text1"/>
      </w:rPr>
      <w:t xml:space="preserve"> – </w:t>
    </w:r>
    <w:r>
      <w:rPr>
        <w:color w:val="000000" w:themeColor="text1"/>
      </w:rPr>
      <w:t>WSIS Forum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9AB"/>
    <w:multiLevelType w:val="multilevel"/>
    <w:tmpl w:val="D720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6519E"/>
    <w:multiLevelType w:val="multilevel"/>
    <w:tmpl w:val="D186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22B66"/>
    <w:multiLevelType w:val="hybridMultilevel"/>
    <w:tmpl w:val="D92A97CA"/>
    <w:lvl w:ilvl="0" w:tplc="BE7C15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535"/>
    <w:multiLevelType w:val="multilevel"/>
    <w:tmpl w:val="1FC6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42516"/>
    <w:multiLevelType w:val="multilevel"/>
    <w:tmpl w:val="E100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C1D9F"/>
    <w:multiLevelType w:val="hybridMultilevel"/>
    <w:tmpl w:val="0768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7934">
    <w:abstractNumId w:val="2"/>
  </w:num>
  <w:num w:numId="2" w16cid:durableId="1198007190">
    <w:abstractNumId w:val="5"/>
  </w:num>
  <w:num w:numId="3" w16cid:durableId="141239393">
    <w:abstractNumId w:val="1"/>
  </w:num>
  <w:num w:numId="4" w16cid:durableId="1134062040">
    <w:abstractNumId w:val="4"/>
  </w:num>
  <w:num w:numId="5" w16cid:durableId="1340429470">
    <w:abstractNumId w:val="3"/>
  </w:num>
  <w:num w:numId="6" w16cid:durableId="209219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EC"/>
    <w:rsid w:val="0003608B"/>
    <w:rsid w:val="001372F9"/>
    <w:rsid w:val="00196280"/>
    <w:rsid w:val="00316E31"/>
    <w:rsid w:val="003B2F04"/>
    <w:rsid w:val="00433B11"/>
    <w:rsid w:val="00493103"/>
    <w:rsid w:val="004B0AA6"/>
    <w:rsid w:val="007271FF"/>
    <w:rsid w:val="00732EEC"/>
    <w:rsid w:val="007A0152"/>
    <w:rsid w:val="009613E6"/>
    <w:rsid w:val="00972A1D"/>
    <w:rsid w:val="00B675AE"/>
    <w:rsid w:val="00B76C9C"/>
    <w:rsid w:val="00C52D79"/>
    <w:rsid w:val="00C72856"/>
    <w:rsid w:val="00E34C99"/>
    <w:rsid w:val="00EC429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B9DF"/>
  <w15:chartTrackingRefBased/>
  <w15:docId w15:val="{E51BFAC3-7B08-42D3-8536-D0CD6AED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2F9"/>
    <w:pPr>
      <w:spacing w:after="120" w:line="276" w:lineRule="auto"/>
      <w:jc w:val="both"/>
    </w:pPr>
    <w:rPr>
      <w:rFonts w:eastAsiaTheme="minorEastAsia"/>
      <w:sz w:val="20"/>
      <w:szCs w:val="20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2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2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2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2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2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2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2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2F9"/>
    <w:rPr>
      <w:rFonts w:eastAsiaTheme="minorEastAsia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2F9"/>
    <w:rPr>
      <w:rFonts w:eastAsiaTheme="minorEastAsia"/>
      <w:sz w:val="20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1372F9"/>
  </w:style>
  <w:style w:type="character" w:styleId="Hipercze">
    <w:name w:val="Hyperlink"/>
    <w:basedOn w:val="Domylnaczcionkaakapitu"/>
    <w:uiPriority w:val="99"/>
    <w:unhideWhenUsed/>
    <w:rsid w:val="00732EEC"/>
    <w:rPr>
      <w:strike w:val="0"/>
      <w:dstrike w:val="0"/>
      <w:color w:val="464FEB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732E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a\Downloads\WSISForum2026_SessionOutcomeDocumen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WSISForum2026_SessionOutcomeDocumentTemplate.dotx</Template>
  <TotalTime>1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OutcomeDocument-Session101-ABC</vt:lpstr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OutcomeDocumentSession</dc:title>
  <dc:subject/>
  <dc:creator/>
  <cp:keywords/>
  <dc:description/>
  <cp:lastModifiedBy>Joanna Antczak</cp:lastModifiedBy>
  <cp:revision>2</cp:revision>
  <dcterms:created xsi:type="dcterms:W3CDTF">2026-07-07T10:34:00Z</dcterms:created>
  <dcterms:modified xsi:type="dcterms:W3CDTF">2026-07-07T10:43:00Z</dcterms:modified>
</cp:coreProperties>
</file>