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before="240" w:after="0" w:line="257" w:lineRule="auto"/>
        <w:jc w:val="center"/>
        <w:rPr>
          <w:rFonts w:ascii="Tenorite" w:cs="Tenorite" w:hAnsi="Tenorite" w:eastAsia="Tenorite"/>
          <w:b w:val="1"/>
          <w:bCs w:val="1"/>
          <w:sz w:val="28"/>
          <w:szCs w:val="28"/>
        </w:rPr>
      </w:pPr>
      <w:r>
        <w:rPr>
          <w:rFonts w:ascii="Tenorite" w:cs="Tenorite" w:hAnsi="Tenorite" w:eastAsia="Tenorite"/>
        </w:rPr>
        <w:drawing xmlns:a="http://schemas.openxmlformats.org/drawingml/2006/main">
          <wp:anchor distT="0" distB="0" distL="0" distR="0" simplePos="0" relativeHeight="251659264" behindDoc="0" locked="0" layoutInCell="1" allowOverlap="1">
            <wp:simplePos x="0" y="0"/>
            <wp:positionH relativeFrom="page">
              <wp:posOffset>1692275</wp:posOffset>
            </wp:positionH>
            <wp:positionV relativeFrom="page">
              <wp:posOffset>268839</wp:posOffset>
            </wp:positionV>
            <wp:extent cx="4176396" cy="865506"/>
            <wp:effectExtent l="0" t="0" r="0" b="0"/>
            <wp:wrapTopAndBottom distT="0" distB="0"/>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4">
                      <a:extLst/>
                    </a:blip>
                    <a:srcRect l="0" t="11168" r="0" b="13462"/>
                    <a:stretch>
                      <a:fillRect/>
                    </a:stretch>
                  </pic:blipFill>
                  <pic:spPr>
                    <a:xfrm>
                      <a:off x="0" y="0"/>
                      <a:ext cx="4176396" cy="865506"/>
                    </a:xfrm>
                    <a:prstGeom prst="rect">
                      <a:avLst/>
                    </a:prstGeom>
                    <a:ln w="12700" cap="flat">
                      <a:noFill/>
                      <a:miter lim="400000"/>
                    </a:ln>
                    <a:effectLst/>
                  </pic:spPr>
                </pic:pic>
              </a:graphicData>
            </a:graphic>
          </wp:anchor>
        </w:drawing>
      </w:r>
      <w:r>
        <w:rPr>
          <w:rFonts w:ascii="Tenorite" w:cs="Tenorite" w:hAnsi="Tenorite" w:eastAsia="Tenorite"/>
          <w:b w:val="1"/>
          <w:bCs w:val="1"/>
          <w:sz w:val="28"/>
          <w:szCs w:val="28"/>
          <w:rtl w:val="0"/>
          <w:lang w:val="en-US"/>
        </w:rPr>
        <w:t>Session Outcome Document</w:t>
      </w:r>
    </w:p>
    <w:p>
      <w:pPr>
        <w:pStyle w:val="Body"/>
        <w:spacing w:before="240" w:after="0" w:line="257" w:lineRule="auto"/>
        <w:jc w:val="center"/>
        <w:rPr>
          <w:rFonts w:ascii="Tenorite" w:cs="Tenorite" w:hAnsi="Tenorite" w:eastAsia="Tenorite"/>
          <w:b w:val="1"/>
          <w:bCs w:val="1"/>
          <w:sz w:val="24"/>
          <w:szCs w:val="24"/>
        </w:rPr>
      </w:pPr>
      <w:r>
        <w:rPr>
          <w:rFonts w:ascii="Tenorite" w:cs="Tenorite" w:hAnsi="Tenorite" w:eastAsia="Tenorite"/>
          <w:b w:val="1"/>
          <w:bCs w:val="1"/>
          <w:sz w:val="24"/>
          <w:szCs w:val="24"/>
          <w:rtl w:val="0"/>
          <w:lang w:val="en-US"/>
        </w:rPr>
        <w:t>Public Trust and AI Procurement: From Principles to Practice</w:t>
      </w:r>
    </w:p>
    <w:p>
      <w:pPr>
        <w:pStyle w:val="Body"/>
        <w:spacing w:before="240" w:after="0" w:line="257" w:lineRule="auto"/>
        <w:jc w:val="center"/>
        <w:rPr>
          <w:rFonts w:ascii="Tenorite" w:cs="Tenorite" w:hAnsi="Tenorite" w:eastAsia="Tenorite"/>
          <w:b w:val="1"/>
          <w:bCs w:val="1"/>
          <w:sz w:val="24"/>
          <w:szCs w:val="24"/>
        </w:rPr>
      </w:pPr>
      <w:r>
        <w:rPr>
          <w:rFonts w:ascii="Tenorite" w:cs="Tenorite" w:hAnsi="Tenorite" w:eastAsia="Tenorite"/>
          <w:b w:val="1"/>
          <w:bCs w:val="1"/>
          <w:sz w:val="24"/>
          <w:szCs w:val="24"/>
        </w:rPr>
        <mc:AlternateContent>
          <mc:Choice Requires="wps">
            <w:drawing xmlns:a="http://schemas.openxmlformats.org/drawingml/2006/main">
              <wp:inline distT="0" distB="0" distL="0" distR="0">
                <wp:extent cx="5727573" cy="12239"/>
                <wp:effectExtent l="0" t="0" r="0" b="0"/>
                <wp:docPr id="1073741826" name="officeArt object" descr="Rectangle"/>
                <wp:cNvGraphicFramePr/>
                <a:graphic xmlns:a="http://schemas.openxmlformats.org/drawingml/2006/main">
                  <a:graphicData uri="http://schemas.microsoft.com/office/word/2010/wordprocessingShape">
                    <wps:wsp>
                      <wps:cNvSpPr/>
                      <wps:spPr>
                        <a:xfrm>
                          <a:off x="0" y="0"/>
                          <a:ext cx="5727573" cy="12239"/>
                        </a:xfrm>
                        <a:prstGeom prst="rect">
                          <a:avLst/>
                        </a:prstGeom>
                        <a:solidFill>
                          <a:srgbClr val="A0A0A0"/>
                        </a:solidFill>
                        <a:ln w="12700" cap="flat">
                          <a:noFill/>
                          <a:miter lim="400000"/>
                        </a:ln>
                        <a:effectLst/>
                      </wps:spPr>
                      <wps:bodyPr/>
                    </wps:wsp>
                  </a:graphicData>
                </a:graphic>
              </wp:inline>
            </w:drawing>
          </mc:Choice>
          <mc:Fallback>
            <w:pict>
              <v:rect id="_x0000_s1026" style="visibility:visible;width:451.0pt;height:1.0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spacing w:before="240" w:after="0" w:line="257" w:lineRule="auto"/>
        <w:jc w:val="center"/>
        <w:rPr>
          <w:rFonts w:ascii="Tenorite" w:cs="Tenorite" w:hAnsi="Tenorite" w:eastAsia="Tenorite"/>
          <w:b w:val="1"/>
          <w:bCs w:val="1"/>
          <w:sz w:val="24"/>
          <w:szCs w:val="24"/>
        </w:rPr>
      </w:pPr>
      <w:r>
        <w:rPr>
          <w:rFonts w:ascii="Tenorite" w:cs="Tenorite" w:hAnsi="Tenorite" w:eastAsia="Tenorite"/>
          <w:b w:val="1"/>
          <w:bCs w:val="1"/>
          <w:sz w:val="24"/>
          <w:szCs w:val="24"/>
          <w:rtl w:val="0"/>
          <w:lang w:val="en-US"/>
        </w:rPr>
        <w:t>AI &amp; Equality by Women at the Table; RC Trust, UA Ruhr, University of Duisburg-Essen; Council of Europe</w:t>
      </w:r>
    </w:p>
    <w:p>
      <w:pPr>
        <w:pStyle w:val="Body"/>
        <w:spacing w:before="240" w:after="0" w:line="257" w:lineRule="auto"/>
        <w:jc w:val="center"/>
        <w:rPr>
          <w:rFonts w:ascii="Tenorite" w:cs="Tenorite" w:hAnsi="Tenorite" w:eastAsia="Tenorite"/>
          <w:b w:val="1"/>
          <w:bCs w:val="1"/>
          <w:sz w:val="24"/>
          <w:szCs w:val="24"/>
        </w:rPr>
      </w:pPr>
      <w:r>
        <w:rPr>
          <w:rFonts w:ascii="Tenorite" w:cs="Tenorite" w:hAnsi="Tenorite" w:eastAsia="Tenorite"/>
          <w:b w:val="1"/>
          <w:bCs w:val="1"/>
          <w:sz w:val="24"/>
          <w:szCs w:val="24"/>
          <w:rtl w:val="0"/>
          <w:lang w:val="en-US"/>
        </w:rPr>
        <w:t>Monday, 6 July 2026 -- 09:00</w:t>
      </w:r>
      <w:r>
        <w:rPr>
          <w:rFonts w:ascii="Tenorite" w:cs="Tenorite" w:hAnsi="Tenorite" w:eastAsia="Tenorite"/>
          <w:b w:val="1"/>
          <w:bCs w:val="1"/>
          <w:sz w:val="24"/>
          <w:szCs w:val="24"/>
          <w:rtl w:val="0"/>
          <w:lang w:val="en-US"/>
        </w:rPr>
        <w:t>–</w:t>
      </w:r>
      <w:r>
        <w:rPr>
          <w:rFonts w:ascii="Tenorite" w:cs="Tenorite" w:hAnsi="Tenorite" w:eastAsia="Tenorite"/>
          <w:b w:val="1"/>
          <w:bCs w:val="1"/>
          <w:sz w:val="24"/>
          <w:szCs w:val="24"/>
          <w:rtl w:val="0"/>
        </w:rPr>
        <w:t xml:space="preserve">09:45 </w:t>
      </w:r>
    </w:p>
    <w:p>
      <w:pPr>
        <w:pStyle w:val="Body"/>
        <w:spacing w:before="240" w:after="0" w:line="257" w:lineRule="auto"/>
        <w:jc w:val="center"/>
        <w:rPr>
          <w:rFonts w:ascii="Tenorite" w:cs="Tenorite" w:hAnsi="Tenorite" w:eastAsia="Tenorite"/>
          <w:sz w:val="22"/>
          <w:szCs w:val="22"/>
        </w:rPr>
      </w:pPr>
      <w:r>
        <w:rPr>
          <w:rStyle w:val="Hyperlink.0"/>
        </w:rPr>
        <w:fldChar w:fldCharType="begin" w:fldLock="0"/>
      </w:r>
      <w:r>
        <w:rPr>
          <w:rStyle w:val="Hyperlink.0"/>
        </w:rPr>
        <w:instrText xml:space="preserve"> HYPERLINK "https://www.itu.int/net4/wsis/forum/2026/Agenda/Session/139"</w:instrText>
      </w:r>
      <w:r>
        <w:rPr>
          <w:rStyle w:val="Hyperlink.0"/>
        </w:rPr>
        <w:fldChar w:fldCharType="separate" w:fldLock="0"/>
      </w:r>
      <w:r>
        <w:rPr>
          <w:rStyle w:val="Hyperlink.0"/>
          <w:rtl w:val="0"/>
        </w:rPr>
        <w:t>https://www.itu.int/net4/wsis/forum/2026/Agenda/Session/139</w:t>
      </w:r>
      <w:r>
        <w:rPr/>
        <w:fldChar w:fldCharType="end" w:fldLock="0"/>
      </w:r>
    </w:p>
    <w:p>
      <w:pPr>
        <w:pStyle w:val="Body"/>
        <w:spacing w:before="240" w:after="0" w:line="257" w:lineRule="auto"/>
        <w:jc w:val="center"/>
        <w:rPr>
          <w:rStyle w:val="page number"/>
          <w:rFonts w:ascii="Tenorite" w:cs="Tenorite" w:hAnsi="Tenorite" w:eastAsia="Tenorite"/>
          <w:sz w:val="22"/>
          <w:szCs w:val="22"/>
        </w:rPr>
      </w:pPr>
    </w:p>
    <w:p>
      <w:pPr>
        <w:pStyle w:val="Body"/>
        <w:spacing w:after="0"/>
        <w:rPr>
          <w:rFonts w:ascii="Tenorite" w:cs="Tenorite" w:hAnsi="Tenorite" w:eastAsia="Tenorite"/>
          <w:b w:val="1"/>
          <w:bCs w:val="1"/>
          <w:sz w:val="22"/>
          <w:szCs w:val="22"/>
        </w:rPr>
      </w:pPr>
      <w:r>
        <w:rPr>
          <w:rFonts w:ascii="Tenorite" w:cs="Tenorite" w:hAnsi="Tenorite" w:eastAsia="Tenorite"/>
          <w:b w:val="1"/>
          <w:bCs w:val="1"/>
          <w:sz w:val="22"/>
          <w:szCs w:val="22"/>
          <w:rtl w:val="0"/>
          <w:lang w:val="en-US"/>
        </w:rPr>
        <w:t xml:space="preserve">Key Issues &amp; Insights discussed: </w:t>
      </w:r>
    </w:p>
    <w:p>
      <w:pPr>
        <w:pStyle w:val="List Paragraph"/>
        <w:numPr>
          <w:ilvl w:val="0"/>
          <w:numId w:val="2"/>
        </w:numPr>
        <w:bidi w:val="0"/>
        <w:spacing w:after="0" w:line="360" w:lineRule="auto"/>
        <w:ind w:right="0"/>
        <w:jc w:val="both"/>
        <w:rPr>
          <w:rFonts w:ascii="Tenorite" w:cs="Tenorite" w:hAnsi="Tenorite" w:eastAsia="Tenorite"/>
          <w:sz w:val="22"/>
          <w:szCs w:val="22"/>
          <w:rtl w:val="0"/>
          <w:lang w:val="en-US"/>
        </w:rPr>
      </w:pPr>
      <w:r>
        <w:rPr>
          <w:rFonts w:ascii="Tenorite" w:cs="Tenorite" w:hAnsi="Tenorite" w:eastAsia="Tenorite"/>
          <w:b w:val="1"/>
          <w:bCs w:val="1"/>
          <w:sz w:val="22"/>
          <w:szCs w:val="22"/>
          <w:rtl w:val="0"/>
          <w:lang w:val="en-US"/>
        </w:rPr>
        <w:t>Public procurement can be an effective AI governance mechanism</w:t>
      </w:r>
      <w:r>
        <w:rPr>
          <w:rFonts w:ascii="Tenorite" w:cs="Tenorite" w:hAnsi="Tenorite" w:eastAsia="Tenorite"/>
          <w:sz w:val="22"/>
          <w:szCs w:val="22"/>
          <w:rtl w:val="0"/>
          <w:lang w:val="en-US"/>
        </w:rPr>
        <w:t>, enabling the public sector to actively shape AI systems and markets in the public interest (vs passively selecting from offered off-the-shelf solutions from large AI vendors)</w:t>
      </w:r>
    </w:p>
    <w:p>
      <w:pPr>
        <w:pStyle w:val="List Paragraph"/>
        <w:numPr>
          <w:ilvl w:val="0"/>
          <w:numId w:val="2"/>
        </w:numPr>
        <w:bidi w:val="0"/>
        <w:spacing w:before="240" w:after="0" w:line="360" w:lineRule="auto"/>
        <w:ind w:right="0"/>
        <w:jc w:val="both"/>
        <w:rPr>
          <w:rFonts w:ascii="Tenorite" w:cs="Tenorite" w:hAnsi="Tenorite" w:eastAsia="Tenorite"/>
          <w:sz w:val="22"/>
          <w:szCs w:val="22"/>
          <w:rtl w:val="0"/>
          <w:lang w:val="en-US"/>
        </w:rPr>
      </w:pPr>
      <w:r>
        <w:rPr>
          <w:rFonts w:ascii="Tenorite" w:cs="Tenorite" w:hAnsi="Tenorite" w:eastAsia="Tenorite"/>
          <w:sz w:val="22"/>
          <w:szCs w:val="22"/>
          <w:rtl w:val="0"/>
          <w:lang w:val="en-US"/>
        </w:rPr>
        <w:t xml:space="preserve">However, currently AI enters the public sector without strategic, AI-specific checks which obstructs any strategic efforts to shape AI in the public interest </w:t>
      </w:r>
      <w:r>
        <w:rPr>
          <w:rFonts w:ascii="Wingdings" w:cs="Tenorite" w:hAnsi="Wingdings" w:eastAsia="Tenorite" w:hint="default"/>
          <w:sz w:val="20"/>
          <w:szCs w:val="20"/>
          <w:rtl w:val="0"/>
          <w:lang w:val="en-US"/>
        </w:rPr>
        <w:sym w:font="Wingdings" w:char="F0E0"/>
      </w:r>
      <w:r>
        <w:rPr>
          <w:rFonts w:ascii="Tenorite" w:cs="Tenorite" w:hAnsi="Tenorite" w:eastAsia="Tenorite"/>
          <w:sz w:val="22"/>
          <w:szCs w:val="22"/>
          <w:rtl w:val="0"/>
          <w:lang w:val="en-US"/>
        </w:rPr>
        <w:t xml:space="preserve"> </w:t>
      </w:r>
      <w:r>
        <w:rPr>
          <w:rFonts w:ascii="Tenorite" w:cs="Tenorite" w:hAnsi="Tenorite" w:eastAsia="Tenorite"/>
          <w:b w:val="1"/>
          <w:bCs w:val="1"/>
          <w:sz w:val="22"/>
          <w:szCs w:val="22"/>
          <w:rtl w:val="0"/>
          <w:lang w:val="en-US"/>
        </w:rPr>
        <w:t>potential is not used</w:t>
      </w:r>
      <w:r>
        <w:rPr>
          <w:rFonts w:ascii="Tenorite" w:cs="Tenorite" w:hAnsi="Tenorite" w:eastAsia="Tenorite"/>
          <w:sz w:val="22"/>
          <w:szCs w:val="22"/>
          <w:rtl w:val="0"/>
          <w:lang w:val="en-US"/>
        </w:rPr>
        <w:t xml:space="preserve"> </w:t>
      </w:r>
      <w:r>
        <w:rPr>
          <w:rFonts w:ascii="Wingdings" w:cs="Tenorite" w:hAnsi="Wingdings" w:eastAsia="Tenorite" w:hint="default"/>
          <w:sz w:val="22"/>
          <w:szCs w:val="22"/>
          <w:rtl w:val="0"/>
          <w:lang w:val="en-US"/>
        </w:rPr>
        <w:sym w:font="Wingdings" w:char="F0E0"/>
      </w:r>
      <w:r>
        <w:rPr>
          <w:rFonts w:ascii="Tenorite" w:cs="Tenorite" w:hAnsi="Tenorite" w:eastAsia="Tenorite"/>
          <w:sz w:val="22"/>
          <w:szCs w:val="22"/>
          <w:rtl w:val="0"/>
          <w:lang w:val="en-US"/>
        </w:rPr>
        <w:t xml:space="preserve"> urgent need to address this </w:t>
      </w:r>
    </w:p>
    <w:p>
      <w:pPr>
        <w:pStyle w:val="List Paragraph"/>
        <w:numPr>
          <w:ilvl w:val="0"/>
          <w:numId w:val="2"/>
        </w:numPr>
        <w:bidi w:val="0"/>
        <w:spacing w:before="240" w:after="0" w:line="360" w:lineRule="auto"/>
        <w:ind w:right="0"/>
        <w:jc w:val="both"/>
        <w:rPr>
          <w:rFonts w:ascii="Tenorite" w:cs="Tenorite" w:hAnsi="Tenorite" w:eastAsia="Tenorite"/>
          <w:sz w:val="22"/>
          <w:szCs w:val="22"/>
          <w:rtl w:val="0"/>
          <w:lang w:val="en-US"/>
        </w:rPr>
      </w:pPr>
      <w:r>
        <w:rPr>
          <w:rFonts w:ascii="Tenorite" w:cs="Tenorite" w:hAnsi="Tenorite" w:eastAsia="Tenorite"/>
          <w:sz w:val="22"/>
          <w:szCs w:val="22"/>
          <w:rtl w:val="0"/>
          <w:lang w:val="en-US"/>
        </w:rPr>
        <w:t xml:space="preserve">We discuss </w:t>
      </w:r>
      <w:r>
        <w:rPr>
          <w:rFonts w:ascii="Tenorite" w:cs="Tenorite" w:hAnsi="Tenorite" w:eastAsia="Tenorite"/>
          <w:b w:val="1"/>
          <w:bCs w:val="1"/>
          <w:sz w:val="22"/>
          <w:szCs w:val="22"/>
          <w:rtl w:val="0"/>
          <w:lang w:val="en-US"/>
        </w:rPr>
        <w:t>research and guidance</w:t>
      </w:r>
      <w:r>
        <w:rPr>
          <w:rFonts w:ascii="Tenorite" w:cs="Tenorite" w:hAnsi="Tenorite" w:eastAsia="Tenorite"/>
          <w:sz w:val="22"/>
          <w:szCs w:val="22"/>
          <w:rtl w:val="0"/>
          <w:lang w:val="en-US"/>
        </w:rPr>
        <w:t xml:space="preserve"> towards effective procurement</w:t>
      </w:r>
    </w:p>
    <w:p>
      <w:pPr>
        <w:pStyle w:val="Body"/>
        <w:spacing w:before="240" w:after="0" w:line="360" w:lineRule="auto"/>
        <w:rPr>
          <w:rFonts w:ascii="Tenorite" w:cs="Tenorite" w:hAnsi="Tenorite" w:eastAsia="Tenorite"/>
          <w:sz w:val="22"/>
          <w:szCs w:val="22"/>
        </w:rPr>
      </w:pPr>
      <w:r>
        <w:rPr>
          <w:rFonts w:ascii="Tenorite" w:cs="Tenorite" w:hAnsi="Tenorite" w:eastAsia="Tenorite"/>
          <w:sz w:val="22"/>
          <w:szCs w:val="22"/>
          <w:rtl w:val="0"/>
          <w:lang w:val="en-US"/>
        </w:rPr>
        <w:t xml:space="preserve">Various technical and non-technical </w:t>
      </w:r>
      <w:r>
        <w:rPr>
          <w:rFonts w:ascii="Tenorite" w:cs="Tenorite" w:hAnsi="Tenorite" w:eastAsia="Tenorite"/>
          <w:b w:val="1"/>
          <w:bCs w:val="1"/>
          <w:sz w:val="22"/>
          <w:szCs w:val="22"/>
          <w:rtl w:val="0"/>
          <w:lang w:val="en-US"/>
        </w:rPr>
        <w:t>challenges</w:t>
      </w:r>
      <w:r>
        <w:rPr>
          <w:rFonts w:ascii="Tenorite" w:cs="Tenorite" w:hAnsi="Tenorite" w:eastAsia="Tenorite"/>
          <w:sz w:val="22"/>
          <w:szCs w:val="22"/>
          <w:rtl w:val="0"/>
          <w:lang w:val="en-US"/>
        </w:rPr>
        <w:t xml:space="preserve"> obstruct effective AI procurement (for details see </w:t>
      </w:r>
      <w:r>
        <w:rPr>
          <w:rStyle w:val="Hyperlink.0"/>
        </w:rPr>
        <w:fldChar w:fldCharType="begin" w:fldLock="0"/>
      </w:r>
      <w:r>
        <w:rPr>
          <w:rStyle w:val="Hyperlink.0"/>
        </w:rPr>
        <w:instrText xml:space="preserve"> HYPERLINK "https://www.compacctsys.net/procurement"</w:instrText>
      </w:r>
      <w:r>
        <w:rPr>
          <w:rStyle w:val="Hyperlink.0"/>
        </w:rPr>
        <w:fldChar w:fldCharType="separate" w:fldLock="0"/>
      </w:r>
      <w:r>
        <w:rPr>
          <w:rStyle w:val="Hyperlink.0"/>
          <w:rtl w:val="0"/>
          <w:lang w:val="en-US"/>
        </w:rPr>
        <w:t>Women at the Table</w:t>
      </w:r>
      <w:r>
        <w:rPr>
          <w:rStyle w:val="Link"/>
          <w:rFonts w:ascii="Tenorite" w:cs="Tenorite" w:hAnsi="Tenorite" w:eastAsia="Tenorite"/>
          <w:sz w:val="22"/>
          <w:szCs w:val="22"/>
          <w:rtl w:val="0"/>
          <w:lang w:val="en-US"/>
        </w:rPr>
        <w:t>’</w:t>
      </w:r>
      <w:r>
        <w:rPr>
          <w:rStyle w:val="Hyperlink.0"/>
          <w:rtl w:val="0"/>
          <w:lang w:val="en-US"/>
        </w:rPr>
        <w:t>s procurement research</w:t>
      </w:r>
      <w:r>
        <w:rPr/>
        <w:fldChar w:fldCharType="end" w:fldLock="0"/>
      </w:r>
      <w:r>
        <w:rPr>
          <w:rFonts w:ascii="Tenorite" w:cs="Tenorite" w:hAnsi="Tenorite" w:eastAsia="Tenorite"/>
          <w:outline w:val="0"/>
          <w:color w:val="000000"/>
          <w:sz w:val="22"/>
          <w:szCs w:val="22"/>
          <w:u w:color="000000"/>
          <w:rtl w:val="0"/>
          <w:lang w:val="en-US"/>
          <w14:textFill>
            <w14:solidFill>
              <w14:srgbClr w14:val="000000"/>
            </w14:solidFill>
          </w14:textFill>
        </w:rPr>
        <w:t xml:space="preserve"> with researchers from the University of Cambridge &amp; RC-Trust)</w:t>
      </w:r>
      <w:r>
        <w:rPr>
          <w:rFonts w:ascii="Tenorite" w:cs="Tenorite" w:hAnsi="Tenorite" w:eastAsia="Tenorite"/>
          <w:sz w:val="22"/>
          <w:szCs w:val="22"/>
          <w:rtl w:val="0"/>
          <w:lang w:val="en-US"/>
        </w:rPr>
        <w:t xml:space="preserve">: </w:t>
      </w:r>
    </w:p>
    <w:p>
      <w:pPr>
        <w:pStyle w:val="List Paragraph"/>
        <w:numPr>
          <w:ilvl w:val="0"/>
          <w:numId w:val="2"/>
        </w:numPr>
        <w:bidi w:val="0"/>
        <w:spacing w:after="0" w:line="360" w:lineRule="auto"/>
        <w:ind w:right="0"/>
        <w:jc w:val="both"/>
        <w:rPr>
          <w:rFonts w:ascii="Tenorite" w:cs="Tenorite" w:hAnsi="Tenorite" w:eastAsia="Tenorite"/>
          <w:sz w:val="22"/>
          <w:szCs w:val="22"/>
          <w:rtl w:val="0"/>
          <w:lang w:val="en-US"/>
        </w:rPr>
      </w:pPr>
      <w:r>
        <w:rPr>
          <w:rFonts w:ascii="Tenorite" w:cs="Tenorite" w:hAnsi="Tenorite" w:eastAsia="Tenorite"/>
          <w:sz w:val="22"/>
          <w:szCs w:val="22"/>
          <w:rtl w:val="0"/>
          <w:lang w:val="en-US"/>
        </w:rPr>
        <w:t xml:space="preserve">Due to a </w:t>
      </w:r>
      <w:r>
        <w:rPr>
          <w:rFonts w:ascii="Tenorite" w:cs="Tenorite" w:hAnsi="Tenorite" w:eastAsia="Tenorite"/>
          <w:b w:val="1"/>
          <w:bCs w:val="1"/>
          <w:sz w:val="22"/>
          <w:szCs w:val="22"/>
          <w:rtl w:val="0"/>
          <w:lang w:val="en-US"/>
        </w:rPr>
        <w:t>lack of a clear vision</w:t>
      </w:r>
      <w:r>
        <w:rPr>
          <w:rFonts w:ascii="Tenorite" w:cs="Tenorite" w:hAnsi="Tenorite" w:eastAsia="Tenorite"/>
          <w:sz w:val="22"/>
          <w:szCs w:val="22"/>
          <w:rtl w:val="0"/>
          <w:lang w:val="en-US"/>
        </w:rPr>
        <w:t xml:space="preserve"> and guidance on AI use in the public sector (i.e. how and for what do we want to use AI?), </w:t>
      </w:r>
      <w:r>
        <w:rPr>
          <w:rFonts w:ascii="Tenorite" w:cs="Tenorite" w:hAnsi="Tenorite" w:eastAsia="Tenorite"/>
          <w:b w:val="1"/>
          <w:bCs w:val="1"/>
          <w:sz w:val="22"/>
          <w:szCs w:val="22"/>
          <w:rtl w:val="0"/>
          <w:lang w:val="en-US"/>
        </w:rPr>
        <w:t>large AI providers exert over-proportional influence</w:t>
      </w:r>
      <w:r>
        <w:rPr>
          <w:rFonts w:ascii="Tenorite" w:cs="Tenorite" w:hAnsi="Tenorite" w:eastAsia="Tenorite"/>
          <w:sz w:val="22"/>
          <w:szCs w:val="22"/>
          <w:rtl w:val="0"/>
          <w:lang w:val="en-US"/>
        </w:rPr>
        <w:t xml:space="preserve"> over what procurement teams are aware of, e.g. via shiny sales pitches. </w:t>
      </w:r>
      <w:r>
        <w:rPr>
          <w:rFonts w:ascii="Tenorite" w:cs="Tenorite" w:hAnsi="Tenorite" w:eastAsia="Tenorite"/>
          <w:b w:val="1"/>
          <w:bCs w:val="1"/>
          <w:sz w:val="22"/>
          <w:szCs w:val="22"/>
          <w:rtl w:val="0"/>
          <w:lang w:val="en-US"/>
        </w:rPr>
        <w:t>Procurement teams lack the skills and capacity</w:t>
      </w:r>
      <w:r>
        <w:rPr>
          <w:rFonts w:ascii="Tenorite" w:cs="Tenorite" w:hAnsi="Tenorite" w:eastAsia="Tenorite"/>
          <w:sz w:val="22"/>
          <w:szCs w:val="22"/>
          <w:rtl w:val="0"/>
          <w:lang w:val="en-US"/>
        </w:rPr>
        <w:t xml:space="preserve"> to scrutinise their offers, resulting in highly prescriptive tenders that orient themselves on off-the-shelf solutions (vs a problem that needs solving). </w:t>
      </w:r>
    </w:p>
    <w:p>
      <w:pPr>
        <w:pStyle w:val="List Paragraph"/>
        <w:numPr>
          <w:ilvl w:val="0"/>
          <w:numId w:val="2"/>
        </w:numPr>
        <w:bidi w:val="0"/>
        <w:spacing w:before="240" w:after="0" w:line="360" w:lineRule="auto"/>
        <w:ind w:right="0"/>
        <w:jc w:val="both"/>
        <w:rPr>
          <w:rFonts w:ascii="Tenorite" w:cs="Tenorite" w:hAnsi="Tenorite" w:eastAsia="Tenorite"/>
          <w:sz w:val="22"/>
          <w:szCs w:val="22"/>
          <w:rtl w:val="0"/>
          <w:lang w:val="en-US"/>
        </w:rPr>
      </w:pPr>
      <w:r>
        <w:rPr>
          <w:rFonts w:ascii="Tenorite" w:cs="Tenorite" w:hAnsi="Tenorite" w:eastAsia="Tenorite"/>
          <w:sz w:val="22"/>
          <w:szCs w:val="22"/>
          <w:rtl w:val="0"/>
          <w:lang w:val="en-US"/>
        </w:rPr>
        <w:t xml:space="preserve">Procurement is designed for static products, but AI is dynamic </w:t>
      </w:r>
      <w:r>
        <w:rPr>
          <w:rFonts w:ascii="Wingdings" w:cs="Tenorite" w:hAnsi="Wingdings" w:eastAsia="Tenorite" w:hint="default"/>
          <w:sz w:val="22"/>
          <w:szCs w:val="22"/>
          <w:rtl w:val="0"/>
          <w:lang w:val="en-US"/>
        </w:rPr>
        <w:sym w:font="Wingdings" w:char="F0E0"/>
      </w:r>
      <w:r>
        <w:rPr>
          <w:rFonts w:ascii="Tenorite" w:cs="Tenorite" w:hAnsi="Tenorite" w:eastAsia="Tenorite"/>
          <w:sz w:val="22"/>
          <w:szCs w:val="22"/>
          <w:rtl w:val="0"/>
          <w:lang w:val="en-US"/>
        </w:rPr>
        <w:t xml:space="preserve"> </w:t>
      </w:r>
      <w:r>
        <w:rPr>
          <w:rFonts w:ascii="Tenorite" w:cs="Tenorite" w:hAnsi="Tenorite" w:eastAsia="Tenorite"/>
          <w:b w:val="1"/>
          <w:bCs w:val="1"/>
          <w:sz w:val="22"/>
          <w:szCs w:val="22"/>
          <w:rtl w:val="0"/>
          <w:lang w:val="en-US"/>
        </w:rPr>
        <w:t>lack of leverage</w:t>
      </w:r>
      <w:r>
        <w:rPr>
          <w:rFonts w:ascii="Tenorite" w:cs="Tenorite" w:hAnsi="Tenorite" w:eastAsia="Tenorite"/>
          <w:sz w:val="22"/>
          <w:szCs w:val="22"/>
          <w:rtl w:val="0"/>
          <w:lang w:val="en-US"/>
        </w:rPr>
        <w:t xml:space="preserve"> after contracts have been awarded</w:t>
      </w:r>
    </w:p>
    <w:p>
      <w:pPr>
        <w:pStyle w:val="List Paragraph"/>
        <w:numPr>
          <w:ilvl w:val="0"/>
          <w:numId w:val="2"/>
        </w:numPr>
        <w:bidi w:val="0"/>
        <w:spacing w:before="240" w:after="0" w:line="360" w:lineRule="auto"/>
        <w:ind w:right="0"/>
        <w:jc w:val="both"/>
        <w:rPr>
          <w:rFonts w:ascii="Tenorite" w:cs="Tenorite" w:hAnsi="Tenorite" w:eastAsia="Tenorite"/>
          <w:sz w:val="22"/>
          <w:szCs w:val="22"/>
          <w:rtl w:val="0"/>
          <w:lang w:val="en-US"/>
        </w:rPr>
      </w:pPr>
      <w:r>
        <w:rPr>
          <w:rFonts w:ascii="Tenorite" w:cs="Tenorite" w:hAnsi="Tenorite" w:eastAsia="Tenorite"/>
          <w:sz w:val="22"/>
          <w:szCs w:val="22"/>
          <w:rtl w:val="0"/>
          <w:lang w:val="en-US"/>
        </w:rPr>
        <w:t xml:space="preserve">AI is not a standalone system but has to be </w:t>
      </w:r>
      <w:r>
        <w:rPr>
          <w:rFonts w:ascii="Tenorite" w:cs="Tenorite" w:hAnsi="Tenorite" w:eastAsia="Tenorite"/>
          <w:b w:val="1"/>
          <w:bCs w:val="1"/>
          <w:sz w:val="22"/>
          <w:szCs w:val="22"/>
          <w:rtl w:val="0"/>
          <w:lang w:val="en-US"/>
        </w:rPr>
        <w:t>integrated within existing IT systems</w:t>
      </w:r>
      <w:r>
        <w:rPr>
          <w:rFonts w:ascii="Tenorite" w:cs="Tenorite" w:hAnsi="Tenorite" w:eastAsia="Tenorite"/>
          <w:sz w:val="22"/>
          <w:szCs w:val="22"/>
          <w:rtl w:val="0"/>
          <w:lang w:val="en-US"/>
        </w:rPr>
        <w:t xml:space="preserve"> and data storage, creating dependencies, </w:t>
      </w:r>
      <w:r>
        <w:rPr>
          <w:rFonts w:ascii="Tenorite" w:cs="Tenorite" w:hAnsi="Tenorite" w:eastAsia="Tenorite"/>
          <w:b w:val="1"/>
          <w:bCs w:val="1"/>
          <w:sz w:val="22"/>
          <w:szCs w:val="22"/>
          <w:rtl w:val="0"/>
          <w:lang w:val="en-US"/>
        </w:rPr>
        <w:t>vendor lock-in</w:t>
      </w:r>
      <w:r>
        <w:rPr>
          <w:rFonts w:ascii="Tenorite" w:cs="Tenorite" w:hAnsi="Tenorite" w:eastAsia="Tenorite"/>
          <w:sz w:val="22"/>
          <w:szCs w:val="22"/>
          <w:rtl w:val="0"/>
          <w:lang w:val="en-US"/>
        </w:rPr>
        <w:t>, IP issues, and makes switching or exiting extremely hard</w:t>
      </w:r>
    </w:p>
    <w:p>
      <w:pPr>
        <w:pStyle w:val="Body"/>
        <w:spacing w:before="240" w:after="0" w:line="360" w:lineRule="auto"/>
        <w:rPr>
          <w:rFonts w:ascii="Tenorite" w:cs="Tenorite" w:hAnsi="Tenorite" w:eastAsia="Tenorite"/>
          <w:b w:val="1"/>
          <w:bCs w:val="1"/>
          <w:sz w:val="22"/>
          <w:szCs w:val="22"/>
        </w:rPr>
      </w:pPr>
      <w:r>
        <w:rPr>
          <w:rFonts w:ascii="Tenorite" w:cs="Tenorite" w:hAnsi="Tenorite" w:eastAsia="Tenorite"/>
          <w:b w:val="1"/>
          <w:bCs w:val="1"/>
          <w:sz w:val="22"/>
          <w:szCs w:val="22"/>
          <w:rtl w:val="0"/>
          <w:lang w:val="en-US"/>
        </w:rPr>
        <w:t>Towards Solutions:</w:t>
      </w:r>
    </w:p>
    <w:p>
      <w:pPr>
        <w:pStyle w:val="List Paragraph"/>
        <w:numPr>
          <w:ilvl w:val="0"/>
          <w:numId w:val="2"/>
        </w:numPr>
        <w:bidi w:val="0"/>
        <w:spacing w:line="360" w:lineRule="auto"/>
        <w:ind w:right="0"/>
        <w:jc w:val="both"/>
        <w:rPr>
          <w:rFonts w:ascii="Tenorite" w:cs="Tenorite" w:hAnsi="Tenorite" w:eastAsia="Tenorite"/>
          <w:sz w:val="22"/>
          <w:szCs w:val="22"/>
          <w:rtl w:val="0"/>
          <w:lang w:val="en-US"/>
        </w:rPr>
      </w:pPr>
      <w:r>
        <w:rPr>
          <w:rStyle w:val="page number"/>
          <w:rFonts w:ascii="Tenorite" w:cs="Tenorite" w:hAnsi="Tenorite" w:eastAsia="Tenorite"/>
          <w:sz w:val="22"/>
          <w:szCs w:val="22"/>
          <w:rtl w:val="0"/>
          <w:lang w:val="en-US"/>
        </w:rPr>
        <w:t xml:space="preserve">The Council of Europe is currently working on </w:t>
      </w:r>
      <w:r>
        <w:rPr>
          <w:rFonts w:ascii="Tenorite" w:cs="Tenorite" w:hAnsi="Tenorite" w:eastAsia="Tenorite"/>
          <w:b w:val="1"/>
          <w:bCs w:val="1"/>
          <w:sz w:val="22"/>
          <w:szCs w:val="22"/>
          <w:rtl w:val="0"/>
          <w:lang w:val="en-US"/>
        </w:rPr>
        <w:t>clear procurement guidance</w:t>
      </w:r>
      <w:r>
        <w:rPr>
          <w:rStyle w:val="page number"/>
          <w:rFonts w:ascii="Tenorite" w:cs="Tenorite" w:hAnsi="Tenorite" w:eastAsia="Tenorite"/>
          <w:sz w:val="22"/>
          <w:szCs w:val="22"/>
          <w:rtl w:val="0"/>
          <w:lang w:val="en-US"/>
        </w:rPr>
        <w:t xml:space="preserve"> with input from Women at the Table that will turn legal and human rights commitments into practical requirements. It will equip procurement teams with the capacity and confidence to demand AI that is in the public interest</w:t>
      </w:r>
    </w:p>
    <w:p>
      <w:pPr>
        <w:pStyle w:val="List Paragraph"/>
        <w:numPr>
          <w:ilvl w:val="0"/>
          <w:numId w:val="2"/>
        </w:numPr>
        <w:bidi w:val="0"/>
        <w:spacing w:line="360" w:lineRule="auto"/>
        <w:ind w:right="0"/>
        <w:jc w:val="both"/>
        <w:rPr>
          <w:rFonts w:ascii="Tenorite" w:cs="Tenorite" w:hAnsi="Tenorite" w:eastAsia="Tenorite"/>
          <w:sz w:val="22"/>
          <w:szCs w:val="22"/>
          <w:rtl w:val="0"/>
          <w:lang w:val="en-US"/>
        </w:rPr>
      </w:pPr>
      <w:r>
        <w:rPr>
          <w:rStyle w:val="page number"/>
          <w:rFonts w:ascii="Tenorite" w:cs="Tenorite" w:hAnsi="Tenorite" w:eastAsia="Tenorite"/>
          <w:sz w:val="22"/>
          <w:szCs w:val="22"/>
          <w:rtl w:val="0"/>
          <w:lang w:val="en-US"/>
        </w:rPr>
        <w:t xml:space="preserve">Tenders should require </w:t>
      </w:r>
      <w:r>
        <w:rPr>
          <w:rFonts w:ascii="Tenorite" w:cs="Tenorite" w:hAnsi="Tenorite" w:eastAsia="Tenorite"/>
          <w:b w:val="1"/>
          <w:bCs w:val="1"/>
          <w:sz w:val="22"/>
          <w:szCs w:val="22"/>
          <w:rtl w:val="0"/>
          <w:lang w:val="en-US"/>
        </w:rPr>
        <w:t>representativeness as a scientific standard</w:t>
      </w:r>
      <w:r>
        <w:rPr>
          <w:rStyle w:val="page number"/>
          <w:rFonts w:ascii="Tenorite" w:cs="Tenorite" w:hAnsi="Tenorite" w:eastAsia="Tenorite"/>
          <w:sz w:val="22"/>
          <w:szCs w:val="22"/>
          <w:rtl w:val="0"/>
          <w:lang w:val="en-US"/>
        </w:rPr>
        <w:t>, i.e. that models are trained on data that accurately reflects the population on which it will be used</w:t>
      </w:r>
    </w:p>
    <w:p>
      <w:pPr>
        <w:pStyle w:val="List Paragraph"/>
        <w:numPr>
          <w:ilvl w:val="0"/>
          <w:numId w:val="2"/>
        </w:numPr>
        <w:bidi w:val="0"/>
        <w:spacing w:before="240" w:after="0" w:line="360" w:lineRule="auto"/>
        <w:ind w:right="0"/>
        <w:jc w:val="both"/>
        <w:rPr>
          <w:rFonts w:ascii="Tenorite" w:cs="Tenorite" w:hAnsi="Tenorite" w:eastAsia="Tenorite"/>
          <w:sz w:val="22"/>
          <w:szCs w:val="22"/>
          <w:rtl w:val="0"/>
          <w:lang w:val="en-US"/>
        </w:rPr>
      </w:pPr>
      <w:r>
        <w:rPr>
          <w:rStyle w:val="page number"/>
          <w:rFonts w:ascii="Tenorite" w:cs="Tenorite" w:hAnsi="Tenorite" w:eastAsia="Tenorite"/>
          <w:sz w:val="22"/>
          <w:szCs w:val="22"/>
          <w:rtl w:val="0"/>
          <w:lang w:val="en-US"/>
        </w:rPr>
        <w:t xml:space="preserve">Connected by Data just launched </w:t>
      </w:r>
      <w:r>
        <w:rPr>
          <w:rFonts w:ascii="Tenorite" w:cs="Tenorite" w:hAnsi="Tenorite" w:eastAsia="Tenorite"/>
          <w:b w:val="1"/>
          <w:bCs w:val="1"/>
          <w:sz w:val="22"/>
          <w:szCs w:val="22"/>
          <w:rtl w:val="0"/>
          <w:lang w:val="en-US"/>
        </w:rPr>
        <w:t>guidance on public (and wider stakeholder) participation</w:t>
      </w:r>
      <w:r>
        <w:rPr>
          <w:rStyle w:val="page number"/>
          <w:rFonts w:ascii="Tenorite" w:cs="Tenorite" w:hAnsi="Tenorite" w:eastAsia="Tenorite"/>
          <w:sz w:val="22"/>
          <w:szCs w:val="22"/>
          <w:rtl w:val="0"/>
          <w:lang w:val="en-US"/>
        </w:rPr>
        <w:t xml:space="preserve"> to ensure that procurements are actually in the public interest: </w:t>
      </w:r>
      <w:r>
        <w:rPr>
          <w:rStyle w:val="Link"/>
          <w:rFonts w:ascii="Tenorite" w:cs="Tenorite" w:hAnsi="Tenorite" w:eastAsia="Tenorite"/>
          <w:sz w:val="22"/>
          <w:szCs w:val="22"/>
        </w:rPr>
        <w:fldChar w:fldCharType="begin" w:fldLock="0"/>
      </w:r>
      <w:r>
        <w:rPr>
          <w:rStyle w:val="Link"/>
          <w:rFonts w:ascii="Tenorite" w:cs="Tenorite" w:hAnsi="Tenorite" w:eastAsia="Tenorite"/>
          <w:sz w:val="22"/>
          <w:szCs w:val="22"/>
        </w:rPr>
        <w:instrText xml:space="preserve"> HYPERLINK "https://citizens-track.org/2026/report/"</w:instrText>
      </w:r>
      <w:r>
        <w:rPr>
          <w:rStyle w:val="Link"/>
          <w:rFonts w:ascii="Tenorite" w:cs="Tenorite" w:hAnsi="Tenorite" w:eastAsia="Tenorite"/>
          <w:sz w:val="22"/>
          <w:szCs w:val="22"/>
        </w:rPr>
        <w:fldChar w:fldCharType="separate" w:fldLock="0"/>
      </w:r>
      <w:r>
        <w:rPr>
          <w:rStyle w:val="Link"/>
          <w:rFonts w:ascii="Tenorite" w:cs="Tenorite" w:hAnsi="Tenorite" w:eastAsia="Tenorite"/>
          <w:sz w:val="22"/>
          <w:szCs w:val="22"/>
          <w:rtl w:val="0"/>
          <w:lang w:val="en-US"/>
        </w:rPr>
        <w:t>https://citizens-track.org/2026/report/</w:t>
      </w:r>
      <w:r>
        <w:rPr>
          <w:rFonts w:ascii="Tenorite" w:cs="Tenorite" w:hAnsi="Tenorite" w:eastAsia="Tenorite"/>
          <w:sz w:val="22"/>
          <w:szCs w:val="22"/>
        </w:rPr>
        <w:fldChar w:fldCharType="end" w:fldLock="0"/>
      </w:r>
      <w:r>
        <w:rPr>
          <w:rStyle w:val="page number"/>
          <w:rFonts w:ascii="Tenorite" w:cs="Tenorite" w:hAnsi="Tenorite" w:eastAsia="Tenorite"/>
          <w:sz w:val="22"/>
          <w:szCs w:val="22"/>
          <w:rtl w:val="0"/>
          <w:lang w:val="en-US"/>
        </w:rPr>
        <w:t xml:space="preserve">. Such participation must have consequences (vs be tokenistic </w:t>
      </w:r>
      <w:r>
        <w:rPr>
          <w:rFonts w:ascii="Wingdings" w:cs="Tenorite" w:hAnsi="Wingdings" w:eastAsia="Tenorite" w:hint="default"/>
          <w:sz w:val="22"/>
          <w:szCs w:val="22"/>
          <w:rtl w:val="0"/>
          <w:lang w:val="en-US"/>
        </w:rPr>
        <w:sym w:font="Wingdings" w:char="F0E0"/>
      </w:r>
      <w:r>
        <w:rPr>
          <w:rStyle w:val="page number"/>
          <w:rFonts w:ascii="Tenorite" w:cs="Tenorite" w:hAnsi="Tenorite" w:eastAsia="Tenorite"/>
          <w:sz w:val="22"/>
          <w:szCs w:val="22"/>
          <w:rtl w:val="0"/>
          <w:lang w:val="en-US"/>
        </w:rPr>
        <w:t xml:space="preserve"> crucial to build trust) and begin before a tender is written so that communities can help to define the problem, decide whether AI is appropriate at all, identify risks, and shape success criteria. </w:t>
      </w:r>
    </w:p>
    <w:p>
      <w:pPr>
        <w:pStyle w:val="List Paragraph"/>
        <w:numPr>
          <w:ilvl w:val="0"/>
          <w:numId w:val="2"/>
        </w:numPr>
        <w:bidi w:val="0"/>
        <w:spacing w:before="240" w:after="0" w:line="360" w:lineRule="auto"/>
        <w:ind w:right="0"/>
        <w:jc w:val="both"/>
        <w:rPr>
          <w:rFonts w:ascii="Tenorite" w:cs="Tenorite" w:hAnsi="Tenorite" w:eastAsia="Tenorite"/>
          <w:sz w:val="22"/>
          <w:szCs w:val="22"/>
          <w:rtl w:val="0"/>
          <w:lang w:val="en-US"/>
        </w:rPr>
      </w:pPr>
      <w:r>
        <w:rPr>
          <w:rStyle w:val="page number"/>
          <w:rFonts w:ascii="Tenorite" w:cs="Tenorite" w:hAnsi="Tenorite" w:eastAsia="Tenorite"/>
          <w:sz w:val="22"/>
          <w:szCs w:val="22"/>
          <w:rtl w:val="0"/>
          <w:lang w:val="en-US"/>
        </w:rPr>
        <w:t xml:space="preserve">Also after deployment, citizens are entitled to transparency, scrutiny, the ability to contest, and to remedy (where applicable) </w:t>
      </w:r>
    </w:p>
    <w:p>
      <w:pPr>
        <w:pStyle w:val="List Paragraph"/>
        <w:numPr>
          <w:ilvl w:val="0"/>
          <w:numId w:val="2"/>
        </w:numPr>
        <w:bidi w:val="0"/>
        <w:spacing w:before="240" w:after="0" w:line="360" w:lineRule="auto"/>
        <w:ind w:right="0"/>
        <w:jc w:val="both"/>
        <w:rPr>
          <w:rFonts w:ascii="Tenorite" w:cs="Tenorite" w:hAnsi="Tenorite" w:eastAsia="Tenorite"/>
          <w:sz w:val="22"/>
          <w:szCs w:val="22"/>
          <w:rtl w:val="0"/>
        </w:rPr>
      </w:pPr>
      <w:r>
        <w:rPr>
          <w:rStyle w:val="Link"/>
          <w:rFonts w:ascii="Tenorite" w:cs="Tenorite" w:hAnsi="Tenorite" w:eastAsia="Tenorite"/>
          <w:sz w:val="22"/>
          <w:szCs w:val="22"/>
        </w:rPr>
        <w:fldChar w:fldCharType="begin" w:fldLock="0"/>
      </w:r>
      <w:r>
        <w:rPr>
          <w:rStyle w:val="Link"/>
          <w:rFonts w:ascii="Tenorite" w:cs="Tenorite" w:hAnsi="Tenorite" w:eastAsia="Tenorite"/>
          <w:sz w:val="22"/>
          <w:szCs w:val="22"/>
        </w:rPr>
        <w:instrText xml:space="preserve"> HYPERLINK "https://www.compacctsys.net/procurement"</w:instrText>
      </w:r>
      <w:r>
        <w:rPr>
          <w:rStyle w:val="Link"/>
          <w:rFonts w:ascii="Tenorite" w:cs="Tenorite" w:hAnsi="Tenorite" w:eastAsia="Tenorite"/>
          <w:sz w:val="22"/>
          <w:szCs w:val="22"/>
        </w:rPr>
        <w:fldChar w:fldCharType="separate" w:fldLock="0"/>
      </w:r>
      <w:r>
        <w:rPr>
          <w:rStyle w:val="Link"/>
          <w:rFonts w:ascii="Tenorite" w:cs="Tenorite" w:hAnsi="Tenorite" w:eastAsia="Tenorite"/>
          <w:sz w:val="22"/>
          <w:szCs w:val="22"/>
          <w:rtl w:val="0"/>
          <w:lang w:val="en-US"/>
        </w:rPr>
        <w:t>Women at the Table</w:t>
      </w:r>
      <w:r>
        <w:rPr>
          <w:rStyle w:val="Link"/>
          <w:rFonts w:ascii="Tenorite" w:cs="Tenorite" w:hAnsi="Tenorite" w:eastAsia="Tenorite"/>
          <w:sz w:val="22"/>
          <w:szCs w:val="22"/>
          <w:rtl w:val="0"/>
          <w:lang w:val="en-US"/>
        </w:rPr>
        <w:t>’</w:t>
      </w:r>
      <w:r>
        <w:rPr>
          <w:rStyle w:val="Link"/>
          <w:rFonts w:ascii="Tenorite" w:cs="Tenorite" w:hAnsi="Tenorite" w:eastAsia="Tenorite"/>
          <w:sz w:val="22"/>
          <w:szCs w:val="22"/>
          <w:rtl w:val="0"/>
          <w:lang w:val="en-US"/>
        </w:rPr>
        <w:t>s research</w:t>
      </w:r>
      <w:r>
        <w:rPr>
          <w:rFonts w:ascii="Tenorite" w:cs="Tenorite" w:hAnsi="Tenorite" w:eastAsia="Tenorite"/>
          <w:sz w:val="22"/>
          <w:szCs w:val="22"/>
        </w:rPr>
        <w:fldChar w:fldCharType="end" w:fldLock="0"/>
      </w:r>
      <w:r>
        <w:rPr>
          <w:rFonts w:ascii="Tenorite" w:cs="Tenorite" w:hAnsi="Tenorite" w:eastAsia="Tenorite"/>
          <w:outline w:val="0"/>
          <w:color w:val="000000"/>
          <w:sz w:val="22"/>
          <w:szCs w:val="22"/>
          <w:u w:color="000000"/>
          <w:rtl w:val="0"/>
          <w:lang w:val="en-US"/>
          <w14:textFill>
            <w14:solidFill>
              <w14:srgbClr w14:val="000000"/>
            </w14:solidFill>
          </w14:textFill>
        </w:rPr>
        <w:t xml:space="preserve"> (with researchers from the University of Cambridge &amp; RC-Trust) identified </w:t>
      </w:r>
      <w:r>
        <w:rPr>
          <w:rFonts w:ascii="Tenorite" w:cs="Tenorite" w:hAnsi="Tenorite" w:eastAsia="Tenorite"/>
          <w:b w:val="1"/>
          <w:bCs w:val="1"/>
          <w:outline w:val="0"/>
          <w:color w:val="000000"/>
          <w:sz w:val="22"/>
          <w:szCs w:val="22"/>
          <w:u w:color="000000"/>
          <w:rtl w:val="0"/>
          <w:lang w:val="en-US"/>
          <w14:textFill>
            <w14:solidFill>
              <w14:srgbClr w14:val="000000"/>
            </w14:solidFill>
          </w14:textFill>
        </w:rPr>
        <w:t>promising procurement</w:t>
      </w:r>
      <w:r>
        <w:rPr>
          <w:rFonts w:ascii="Tenorite" w:cs="Tenorite" w:hAnsi="Tenorite" w:eastAsia="Tenorite"/>
          <w:outline w:val="0"/>
          <w:color w:val="000000"/>
          <w:sz w:val="22"/>
          <w:szCs w:val="22"/>
          <w:u w:color="000000"/>
          <w:rtl w:val="0"/>
          <w:lang w:val="en-US"/>
          <w14:textFill>
            <w14:solidFill>
              <w14:srgbClr w14:val="000000"/>
            </w14:solidFill>
          </w14:textFill>
        </w:rPr>
        <w:t xml:space="preserve"> </w:t>
      </w:r>
      <w:r>
        <w:rPr>
          <w:rFonts w:ascii="Tenorite" w:cs="Tenorite" w:hAnsi="Tenorite" w:eastAsia="Tenorite"/>
          <w:b w:val="1"/>
          <w:bCs w:val="1"/>
          <w:outline w:val="0"/>
          <w:color w:val="000000"/>
          <w:sz w:val="22"/>
          <w:szCs w:val="22"/>
          <w:u w:color="000000"/>
          <w:rtl w:val="0"/>
          <w:lang w:val="en-US"/>
          <w14:textFill>
            <w14:solidFill>
              <w14:srgbClr w14:val="000000"/>
            </w14:solidFill>
          </w14:textFill>
        </w:rPr>
        <w:t>practices</w:t>
      </w:r>
      <w:r>
        <w:rPr>
          <w:rFonts w:ascii="Tenorite" w:cs="Tenorite" w:hAnsi="Tenorite" w:eastAsia="Tenorite"/>
          <w:outline w:val="0"/>
          <w:color w:val="000000"/>
          <w:sz w:val="22"/>
          <w:szCs w:val="22"/>
          <w:u w:color="000000"/>
          <w:rtl w:val="0"/>
          <w:lang w:val="en-US"/>
          <w14:textFill>
            <w14:solidFill>
              <w14:srgbClr w14:val="000000"/>
            </w14:solidFill>
          </w14:textFill>
        </w:rPr>
        <w:t xml:space="preserve">, including </w:t>
      </w:r>
      <w:r>
        <w:rPr>
          <w:rFonts w:ascii="Tenorite" w:cs="Tenorite" w:hAnsi="Tenorite" w:eastAsia="Tenorite"/>
          <w:outline w:val="0"/>
          <w:color w:val="000000"/>
          <w:sz w:val="22"/>
          <w:szCs w:val="22"/>
          <w:u w:color="000000"/>
          <w:rtl w:val="0"/>
          <w:lang w:val="en-US"/>
          <w14:textFill>
            <w14:solidFill>
              <w14:srgbClr w14:val="000000"/>
            </w14:solidFill>
          </w14:textFill>
        </w:rPr>
        <w:t>“</w:t>
      </w:r>
      <w:r>
        <w:rPr>
          <w:rFonts w:ascii="Tenorite" w:cs="Tenorite" w:hAnsi="Tenorite" w:eastAsia="Tenorite"/>
          <w:outline w:val="0"/>
          <w:color w:val="000000"/>
          <w:sz w:val="22"/>
          <w:szCs w:val="22"/>
          <w:u w:color="000000"/>
          <w:rtl w:val="0"/>
          <w:lang w:val="en-US"/>
          <w14:textFill>
            <w14:solidFill>
              <w14:srgbClr w14:val="000000"/>
            </w14:solidFill>
          </w14:textFill>
        </w:rPr>
        <w:t>collaboration and knowledge sharing opportunities in the public sector</w:t>
      </w:r>
      <w:r>
        <w:rPr>
          <w:rFonts w:ascii="Tenorite" w:cs="Tenorite" w:hAnsi="Tenorite" w:eastAsia="Tenorite"/>
          <w:outline w:val="0"/>
          <w:color w:val="000000"/>
          <w:sz w:val="22"/>
          <w:szCs w:val="22"/>
          <w:u w:color="000000"/>
          <w:rtl w:val="0"/>
          <w:lang w:val="en-US"/>
          <w14:textFill>
            <w14:solidFill>
              <w14:srgbClr w14:val="000000"/>
            </w14:solidFill>
          </w14:textFill>
        </w:rPr>
        <w:t xml:space="preserve">” </w:t>
      </w:r>
      <w:r>
        <w:rPr>
          <w:rFonts w:ascii="Tenorite" w:cs="Tenorite" w:hAnsi="Tenorite" w:eastAsia="Tenorite"/>
          <w:outline w:val="0"/>
          <w:color w:val="000000"/>
          <w:sz w:val="22"/>
          <w:szCs w:val="22"/>
          <w:u w:color="000000"/>
          <w:rtl w:val="0"/>
          <w:lang w:val="en-US"/>
          <w14:textFill>
            <w14:solidFill>
              <w14:srgbClr w14:val="000000"/>
            </w14:solidFill>
          </w14:textFill>
        </w:rPr>
        <w:t xml:space="preserve">(public sector services are similar across agencies </w:t>
      </w:r>
      <w:r>
        <w:rPr>
          <w:rFonts w:ascii="Wingdings" w:cs="Tenorite" w:hAnsi="Wingdings" w:eastAsia="Tenorite" w:hint="default"/>
          <w:sz w:val="20"/>
          <w:szCs w:val="20"/>
          <w:rtl w:val="0"/>
          <w:lang w:val="en-US"/>
        </w:rPr>
        <w:sym w:font="Wingdings" w:char="F0E0"/>
      </w:r>
      <w:r>
        <w:rPr>
          <w:rFonts w:ascii="Tenorite" w:cs="Tenorite" w:hAnsi="Tenorite" w:eastAsia="Tenorite"/>
          <w:outline w:val="0"/>
          <w:color w:val="000000"/>
          <w:sz w:val="22"/>
          <w:szCs w:val="22"/>
          <w:u w:color="000000"/>
          <w:rtl w:val="0"/>
          <w:lang w:val="en-US"/>
          <w14:textFill>
            <w14:solidFill>
              <w14:srgbClr w14:val="000000"/>
            </w14:solidFill>
          </w14:textFill>
        </w:rPr>
        <w:t xml:space="preserve"> need for similar services)</w:t>
      </w:r>
    </w:p>
    <w:p>
      <w:pPr>
        <w:pStyle w:val="List Paragraph"/>
        <w:numPr>
          <w:ilvl w:val="1"/>
          <w:numId w:val="2"/>
        </w:numPr>
        <w:bidi w:val="0"/>
        <w:spacing w:before="240" w:after="0" w:line="360" w:lineRule="auto"/>
        <w:ind w:right="0"/>
        <w:jc w:val="both"/>
        <w:rPr>
          <w:rFonts w:ascii="Tenorite" w:cs="Tenorite" w:hAnsi="Tenorite" w:eastAsia="Tenorite"/>
          <w:sz w:val="22"/>
          <w:szCs w:val="22"/>
          <w:rtl w:val="0"/>
          <w:lang w:val="en-US"/>
        </w:rPr>
      </w:pPr>
      <w:r>
        <w:rPr>
          <w:rFonts w:ascii="Tenorite" w:cs="Tenorite" w:hAnsi="Tenorite" w:eastAsia="Tenorite"/>
          <w:outline w:val="0"/>
          <w:color w:val="000000"/>
          <w:sz w:val="22"/>
          <w:szCs w:val="22"/>
          <w:u w:color="000000"/>
          <w:rtl w:val="0"/>
          <w:lang w:val="en-US"/>
          <w14:textFill>
            <w14:solidFill>
              <w14:srgbClr w14:val="000000"/>
            </w14:solidFill>
          </w14:textFill>
        </w:rPr>
        <w:t>Key opportunities: (i) sharing positive and negative experiences with vendors, systems, or procurement processes (</w:t>
      </w:r>
      <w:r>
        <w:rPr>
          <w:rFonts w:ascii="Wingdings" w:cs="Tenorite" w:hAnsi="Wingdings" w:eastAsia="Tenorite" w:hint="default"/>
          <w:outline w:val="0"/>
          <w:color w:val="000000"/>
          <w:sz w:val="22"/>
          <w:szCs w:val="22"/>
          <w:u w:color="000000"/>
          <w:rtl w:val="0"/>
          <w:lang w:val="en-US"/>
          <w14:textFill>
            <w14:solidFill>
              <w14:srgbClr w14:val="000000"/>
            </w14:solidFill>
          </w14:textFill>
        </w:rPr>
        <w:sym w:font="Wingdings" w:char="F0E0"/>
      </w:r>
      <w:r>
        <w:rPr>
          <w:rFonts w:ascii="Tenorite" w:cs="Tenorite" w:hAnsi="Tenorite" w:eastAsia="Tenorite"/>
          <w:outline w:val="0"/>
          <w:color w:val="000000"/>
          <w:sz w:val="22"/>
          <w:szCs w:val="22"/>
          <w:u w:color="000000"/>
          <w:rtl w:val="0"/>
          <w:lang w:val="en-US"/>
          <w14:textFill>
            <w14:solidFill>
              <w14:srgbClr w14:val="000000"/>
            </w14:solidFill>
          </w14:textFill>
        </w:rPr>
        <w:t xml:space="preserve"> mutual learning, synergies), (ii) shared procurements (</w:t>
      </w:r>
      <w:r>
        <w:rPr>
          <w:rFonts w:ascii="Wingdings" w:cs="Tenorite" w:hAnsi="Wingdings" w:eastAsia="Tenorite" w:hint="default"/>
          <w:outline w:val="0"/>
          <w:color w:val="000000"/>
          <w:sz w:val="22"/>
          <w:szCs w:val="22"/>
          <w:u w:color="000000"/>
          <w:rtl w:val="0"/>
          <w:lang w:val="en-US"/>
          <w14:textFill>
            <w14:solidFill>
              <w14:srgbClr w14:val="000000"/>
            </w14:solidFill>
          </w14:textFill>
        </w:rPr>
        <w:sym w:font="Wingdings" w:char="F0E0"/>
      </w:r>
      <w:r>
        <w:rPr>
          <w:rFonts w:ascii="Tenorite" w:cs="Tenorite" w:hAnsi="Tenorite" w:eastAsia="Tenorite"/>
          <w:outline w:val="0"/>
          <w:color w:val="000000"/>
          <w:sz w:val="22"/>
          <w:szCs w:val="22"/>
          <w:u w:color="000000"/>
          <w:rtl w:val="0"/>
          <w:lang w:val="en-US"/>
          <w14:textFill>
            <w14:solidFill>
              <w14:srgbClr w14:val="000000"/>
            </w14:solidFill>
          </w14:textFill>
        </w:rPr>
        <w:t xml:space="preserve"> more efficiency and leverage towards vendors), and joint in-house developments (</w:t>
      </w:r>
      <w:r>
        <w:rPr>
          <w:rFonts w:ascii="Wingdings" w:cs="Tenorite" w:hAnsi="Wingdings" w:eastAsia="Tenorite" w:hint="default"/>
          <w:outline w:val="0"/>
          <w:color w:val="000000"/>
          <w:sz w:val="22"/>
          <w:szCs w:val="22"/>
          <w:u w:color="000000"/>
          <w:rtl w:val="0"/>
          <w:lang w:val="en-US"/>
          <w14:textFill>
            <w14:solidFill>
              <w14:srgbClr w14:val="000000"/>
            </w14:solidFill>
          </w14:textFill>
        </w:rPr>
        <w:sym w:font="Wingdings" w:char="F0E0"/>
      </w:r>
      <w:r>
        <w:rPr>
          <w:rFonts w:ascii="Tenorite" w:cs="Tenorite" w:hAnsi="Tenorite" w:eastAsia="Tenorite"/>
          <w:outline w:val="0"/>
          <w:color w:val="000000"/>
          <w:sz w:val="22"/>
          <w:szCs w:val="22"/>
          <w:u w:color="000000"/>
          <w:rtl w:val="0"/>
          <w:lang w:val="en-US"/>
          <w14:textFill>
            <w14:solidFill>
              <w14:srgbClr w14:val="000000"/>
            </w14:solidFill>
          </w14:textFill>
        </w:rPr>
        <w:t xml:space="preserve"> more control, supports digital sovereignty, can be cheaper than many small contracts) </w:t>
      </w:r>
    </w:p>
    <w:p>
      <w:pPr>
        <w:pStyle w:val="Body"/>
        <w:spacing w:before="240" w:after="0"/>
        <w:rPr>
          <w:rFonts w:ascii="Tenorite" w:cs="Tenorite" w:hAnsi="Tenorite" w:eastAsia="Tenorite"/>
          <w:sz w:val="22"/>
          <w:szCs w:val="22"/>
        </w:rPr>
      </w:pPr>
      <w:r>
        <w:rPr>
          <w:rFonts w:ascii="Tenorite" w:cs="Tenorite" w:hAnsi="Tenorite" w:eastAsia="Tenorite"/>
          <w:b w:val="1"/>
          <w:bCs w:val="1"/>
          <w:sz w:val="22"/>
          <w:szCs w:val="22"/>
          <w:rtl w:val="0"/>
          <w:lang w:val="en-US"/>
        </w:rPr>
        <w:t xml:space="preserve">Key Recommendations and Forward-Looking Actions </w:t>
      </w:r>
      <w:r>
        <w:rPr>
          <w:rFonts w:ascii="Tenorite" w:cs="Tenorite" w:hAnsi="Tenorite" w:eastAsia="Tenorite"/>
          <w:sz w:val="22"/>
          <w:szCs w:val="22"/>
          <w:rtl w:val="0"/>
        </w:rPr>
        <w:t>(2</w:t>
      </w:r>
      <w:r>
        <w:rPr>
          <w:rFonts w:ascii="Tenorite" w:cs="Tenorite" w:hAnsi="Tenorite" w:eastAsia="Tenorite"/>
          <w:sz w:val="22"/>
          <w:szCs w:val="22"/>
          <w:rtl w:val="0"/>
          <w:lang w:val="en-US"/>
        </w:rPr>
        <w:t>–</w:t>
      </w:r>
      <w:r>
        <w:rPr>
          <w:rFonts w:ascii="Tenorite" w:cs="Tenorite" w:hAnsi="Tenorite" w:eastAsia="Tenorite"/>
          <w:sz w:val="22"/>
          <w:szCs w:val="22"/>
          <w:rtl w:val="0"/>
          <w:lang w:val="en-US"/>
        </w:rPr>
        <w:t>5 bullet points outlining practical and actionable recommendations to support WSIS implementation towards 2035)</w:t>
      </w:r>
    </w:p>
    <w:p>
      <w:pPr>
        <w:pStyle w:val="Body"/>
        <w:spacing w:after="0"/>
        <w:rPr>
          <w:rStyle w:val="page number"/>
          <w:rFonts w:ascii="Tenorite" w:cs="Tenorite" w:hAnsi="Tenorite" w:eastAsia="Tenorite"/>
          <w:sz w:val="22"/>
          <w:szCs w:val="22"/>
        </w:rPr>
      </w:pPr>
    </w:p>
    <w:p>
      <w:pPr>
        <w:pStyle w:val="Body"/>
        <w:rPr>
          <w:rFonts w:ascii="Tenorite" w:cs="Tenorite" w:hAnsi="Tenorite" w:eastAsia="Tenorite"/>
          <w:sz w:val="22"/>
          <w:szCs w:val="22"/>
        </w:rPr>
      </w:pPr>
      <w:r>
        <w:rPr>
          <w:rFonts w:ascii="Tenorite" w:cs="Tenorite" w:hAnsi="Tenorite" w:eastAsia="Tenorite"/>
          <w:sz w:val="22"/>
          <w:szCs w:val="22"/>
          <w:rtl w:val="0"/>
          <w:lang w:val="en-US"/>
        </w:rPr>
        <w:t>Governments urgently need to harness the clear potential of public procurement to empower the public sector to demand AI that is in the public interest. If procurement continues to be treated as paperwork, their procurements will remain governed by the interests of large AI suppliers, defaults, and afterthoughts. However, if procurement is treated as governance, it becomes one of the most practical tools we have to protect rights, build trust, and ensure that public AI serves the public.</w:t>
      </w:r>
    </w:p>
    <w:p>
      <w:pPr>
        <w:pStyle w:val="Body"/>
      </w:pPr>
      <w:r>
        <w:rPr>
          <w:rFonts w:ascii="Tenorite" w:cs="Tenorite" w:hAnsi="Tenorite" w:eastAsia="Tenorite"/>
          <w:sz w:val="22"/>
          <w:szCs w:val="22"/>
          <w:rtl w:val="0"/>
          <w:lang w:val="en-US"/>
        </w:rPr>
        <w:t>The members of our panel provide clear recommendations and guidance on how to do so; now it is the governments</w:t>
      </w:r>
      <w:r>
        <w:rPr>
          <w:rFonts w:ascii="Tenorite" w:cs="Tenorite" w:hAnsi="Tenorite" w:eastAsia="Tenorite"/>
          <w:sz w:val="22"/>
          <w:szCs w:val="22"/>
          <w:rtl w:val="0"/>
          <w:lang w:val="en-US"/>
        </w:rPr>
        <w:t xml:space="preserve">’ </w:t>
      </w:r>
      <w:r>
        <w:rPr>
          <w:rFonts w:ascii="Tenorite" w:cs="Tenorite" w:hAnsi="Tenorite" w:eastAsia="Tenorite"/>
          <w:sz w:val="22"/>
          <w:szCs w:val="22"/>
          <w:rtl w:val="0"/>
          <w:lang w:val="en-US"/>
        </w:rPr>
        <w:t>choice whether they decide to govern.</w:t>
      </w:r>
    </w:p>
    <w:sectPr>
      <w:headerReference w:type="default" r:id="rId5"/>
      <w:headerReference w:type="first" r:id="rId6"/>
      <w:footerReference w:type="default" r:id="rId7"/>
      <w:footerReference w:type="first" r:id="rId8"/>
      <w:pgSz w:w="11900" w:h="16840" w:orient="portrait"/>
      <w:pgMar w:top="1440" w:right="1440" w:bottom="1440" w:left="1440" w:header="708" w:footer="708"/>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 w:name="Tenorite">
    <w:charset w:val="00"/>
    <w:family w:val="roman"/>
    <w:pitch w:val="default"/>
  </w:font>
  <w:font w:name="Wingdings">
    <w:charset w:val="00"/>
    <w:family w:val="roman"/>
    <w:pitch w:val="default"/>
  </w:font>
  <w:font w:name="Courier Ne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000"/>
        <w:tab w:val="clear" w:pos="9026"/>
      </w:tabs>
    </w:pPr>
    <w:r>
      <w:rPr>
        <w:rtl w:val="0"/>
      </w:rPr>
      <w:fldChar w:fldCharType="begin" w:fldLock="0"/>
    </w:r>
    <w:r>
      <w:rPr>
        <w:rtl w:val="0"/>
      </w:rPr>
      <w:instrText xml:space="preserve"> PAGE </w:instrText>
    </w:r>
    <w:r>
      <w:rPr>
        <w:rtl w:val="0"/>
      </w:rPr>
      <w:fldChar w:fldCharType="separate" w:fldLock="0"/>
    </w:r>
    <w:r>
      <w:rPr>
        <w:rtl w:val="0"/>
      </w:rPr>
      <w:fldChar w:fldCharType="end" w:fldLock="0"/>
    </w:r>
  </w:p>
  <w:p>
    <w:pPr>
      <w:pStyle w:val="footer"/>
      <w:tabs>
        <w:tab w:val="right" w:pos="9000"/>
        <w:tab w:val="clear" w:pos="9026"/>
      </w:tabs>
      <w:ind w:right="360"/>
    </w:pPr>
    <w:r>
      <w:rPr>
        <w:rStyle w:val="page number"/>
      </w:rPr>
      <w:tab/>
      <w:tab/>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000"/>
        <w:tab w:val="clear" w:pos="9026"/>
      </w:tabs>
      <w:jc w:val="center"/>
    </w:pPr>
    <w:r>
      <w:rPr>
        <w:outline w:val="0"/>
        <w:color w:val="000000"/>
        <w:u w:color="000000"/>
        <w:rtl w:val="0"/>
        <w:lang w:val="en-US"/>
        <w14:textFill>
          <w14:solidFill>
            <w14:srgbClr w14:val="000000"/>
          </w14:solidFill>
        </w14:textFill>
      </w:rPr>
      <w:t xml:space="preserve">Guidelines for Session Organisers </w:t>
    </w:r>
    <w:r>
      <w:rPr>
        <w:outline w:val="0"/>
        <w:color w:val="000000"/>
        <w:u w:color="000000"/>
        <w:rtl w:val="0"/>
        <w:lang w:val="en-US"/>
        <w14:textFill>
          <w14:solidFill>
            <w14:srgbClr w14:val="000000"/>
          </w14:solidFill>
        </w14:textFill>
      </w:rPr>
      <w:t xml:space="preserve">– </w:t>
    </w:r>
    <w:r>
      <w:rPr>
        <w:outline w:val="0"/>
        <w:color w:val="000000"/>
        <w:u w:color="000000"/>
        <w:rtl w:val="0"/>
        <w:lang w:val="en-US"/>
        <w14:textFill>
          <w14:solidFill>
            <w14:srgbClr w14:val="000000"/>
          </w14:solidFill>
        </w14:textFill>
      </w:rPr>
      <w:t>WSIS Forum 2026</w:t>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both"/>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both"/>
      <w:outlineLvl w:val="9"/>
    </w:pPr>
    <w:rPr>
      <w:rFonts w:ascii="Calibri" w:cs="Calibri" w:hAnsi="Calibri" w:eastAsia="Calibri"/>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character" w:styleId="page number">
    <w:name w:val="page numbe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20" w:line="276" w:lineRule="auto"/>
      <w:ind w:left="0" w:right="0" w:firstLine="0"/>
      <w:jc w:val="both"/>
      <w:outlineLvl w:val="9"/>
    </w:pPr>
    <w:rPr>
      <w:rFonts w:ascii="Calibri" w:cs="Calibri" w:hAnsi="Calibri" w:eastAsia="Calibri"/>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Outline>
        <w14:noFill/>
      </w14:textOutline>
      <w14:textFill>
        <w14:solidFill>
          <w14:srgbClr w14:val="000000"/>
        </w14:solidFill>
      </w14:textFill>
    </w:rPr>
  </w:style>
  <w:style w:type="character" w:styleId="Link">
    <w:name w:val="Link"/>
    <w:rPr>
      <w:outline w:val="0"/>
      <w:color w:val="0563c1"/>
      <w:u w:val="single" w:color="0563c1"/>
      <w14:textFill>
        <w14:solidFill>
          <w14:srgbClr w14:val="0563C1"/>
        </w14:solidFill>
      </w14:textFill>
    </w:rPr>
  </w:style>
  <w:style w:type="character" w:styleId="Hyperlink.0">
    <w:name w:val="Hyperlink.0"/>
    <w:basedOn w:val="Link"/>
    <w:next w:val="Hyperlink.0"/>
    <w:rPr>
      <w:rFonts w:ascii="Tenorite" w:cs="Tenorite" w:hAnsi="Tenorite" w:eastAsia="Tenorite"/>
      <w:sz w:val="22"/>
      <w:szCs w:val="22"/>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20" w:line="276" w:lineRule="auto"/>
      <w:ind w:left="720" w:right="0" w:firstLine="0"/>
      <w:jc w:val="both"/>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