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57" w:lineRule="auto"/>
        <w:jc w:val="center"/>
        <w:rPr>
          <w:rFonts w:ascii="Tenorite" w:cs="Tenorite" w:eastAsia="Tenorite" w:hAnsi="Tenorite"/>
          <w:b w:val="1"/>
          <w:bCs w:val="1"/>
          <w:sz w:val="28"/>
          <w:szCs w:val="28"/>
        </w:rPr>
      </w:pPr>
      <w:r w:rsidDel="00000000" w:rsidR="00000000" w:rsidRPr="00000000">
        <w:rPr>
          <w:rFonts w:ascii="Tenorite" w:cs="Tenorite" w:eastAsia="Tenorite" w:hAnsi="Tenorit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777240</wp:posOffset>
            </wp:positionH>
            <wp:positionV relativeFrom="margin">
              <wp:posOffset>-577900</wp:posOffset>
            </wp:positionV>
            <wp:extent cx="4176395" cy="11493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114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57" w:lineRule="auto"/>
        <w:jc w:val="center"/>
        <w:rPr>
          <w:rFonts w:ascii="Tenorite" w:cs="Tenorite" w:eastAsia="Tenorite" w:hAnsi="Tenorit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57" w:lineRule="auto"/>
        <w:jc w:val="center"/>
        <w:rPr>
          <w:rFonts w:ascii="Tenorite" w:cs="Tenorite" w:eastAsia="Tenorite" w:hAnsi="Tenorite"/>
          <w:b w:val="1"/>
          <w:bCs w:val="1"/>
          <w:sz w:val="28"/>
          <w:szCs w:val="28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8"/>
          <w:szCs w:val="28"/>
          <w:rtl w:val="0"/>
        </w:rPr>
        <w:t xml:space="preserve">Session Outcome Document </w:t>
      </w:r>
    </w:p>
    <w:p w:rsidR="00000000" w:rsidDel="00000000" w:rsidP="00000000" w:rsidRDefault="00000000" w:rsidRPr="00000000" w14:paraId="00000004">
      <w:pPr>
        <w:spacing w:after="0" w:line="257" w:lineRule="auto"/>
        <w:jc w:val="center"/>
        <w:rPr>
          <w:rFonts w:ascii="Tenorite" w:cs="Tenorite" w:eastAsia="Tenorite" w:hAnsi="Tenorite"/>
        </w:rPr>
      </w:pPr>
      <w:r w:rsidDel="00000000" w:rsidR="00000000" w:rsidRPr="00000000">
        <w:rPr>
          <w:rFonts w:ascii="Tenorite" w:cs="Tenorite" w:eastAsia="Tenorite" w:hAnsi="Tenorite"/>
          <w:rtl w:val="0"/>
        </w:rPr>
        <w:t xml:space="preserve">(</w:t>
      </w:r>
      <w:r w:rsidDel="00000000" w:rsidR="00000000" w:rsidRPr="00000000">
        <w:rPr>
          <w:rFonts w:ascii="Tenorite" w:cs="Tenorite" w:eastAsia="Tenorite" w:hAnsi="Tenorite"/>
          <w:i w:val="1"/>
          <w:iCs w:val="1"/>
          <w:rtl w:val="0"/>
        </w:rPr>
        <w:t xml:space="preserve">2 pages max</w:t>
      </w:r>
      <w:r w:rsidDel="00000000" w:rsidR="00000000" w:rsidRPr="00000000">
        <w:rPr>
          <w:rFonts w:ascii="Tenorite" w:cs="Tenorite" w:eastAsia="Tenorite" w:hAnsi="Tenorit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spacing w:after="0" w:before="240" w:line="257" w:lineRule="auto"/>
        <w:jc w:val="center"/>
        <w:rPr>
          <w:rFonts w:ascii="Tenorite" w:cs="Tenorite" w:eastAsia="Tenorite" w:hAnsi="Tenorite"/>
          <w:b w:val="1"/>
          <w:bCs w:val="1"/>
          <w:sz w:val="24"/>
          <w:szCs w:val="24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  <w:rtl w:val="0"/>
        </w:rPr>
        <w:t xml:space="preserve">Rising from the Margins: Co-Creating Inclusive Digital Learning for Every Child</w:t>
      </w:r>
      <w:r w:rsidDel="00000000" w:rsidR="00000000" w:rsidRPr="00000000">
        <w:rPr>
          <w:rFonts w:ascii="Tenorite" w:cs="Tenorite" w:eastAsia="Tenorite" w:hAnsi="Tenorite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240" w:line="257" w:lineRule="auto"/>
        <w:jc w:val="center"/>
        <w:rPr>
          <w:rFonts w:ascii="Tenorite" w:cs="Tenorite" w:eastAsia="Tenorite" w:hAnsi="Tenorite"/>
          <w:sz w:val="24"/>
          <w:szCs w:val="24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4"/>
          <w:szCs w:val="24"/>
          <w:rtl w:val="0"/>
        </w:rPr>
        <w:t xml:space="preserve">Center for Programming and Digital Creativity “KIBERone Banja Luka”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57" w:lineRule="auto"/>
        <w:jc w:val="center"/>
        <w:rPr>
          <w:rFonts w:ascii="Tenorite" w:cs="Tenorite" w:eastAsia="Tenorite" w:hAnsi="Tenorite"/>
          <w:sz w:val="24"/>
          <w:szCs w:val="24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4"/>
          <w:szCs w:val="24"/>
          <w:rtl w:val="0"/>
        </w:rPr>
        <w:t xml:space="preserve">06.07.2026   14.00-14.45h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57" w:lineRule="auto"/>
        <w:jc w:val="center"/>
        <w:rPr>
          <w:rFonts w:ascii="Tenorite" w:cs="Tenorite" w:eastAsia="Tenorite" w:hAnsi="Tenorite"/>
          <w:b w:val="1"/>
          <w:bCs w:val="1"/>
          <w:sz w:val="24"/>
          <w:szCs w:val="24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4"/>
          <w:szCs w:val="24"/>
          <w:rtl w:val="0"/>
        </w:rPr>
        <w:t xml:space="preserve">https://www.itu.int/net4/wsis/forum/2026/Agenda/Session/340</w:t>
      </w:r>
    </w:p>
    <w:p w:rsidR="00000000" w:rsidDel="00000000" w:rsidP="00000000" w:rsidRDefault="00000000" w:rsidRPr="00000000" w14:paraId="00000009">
      <w:pPr>
        <w:spacing w:after="0" w:before="240" w:line="257" w:lineRule="auto"/>
        <w:rPr>
          <w:rFonts w:ascii="Tenorite" w:cs="Tenorite" w:eastAsia="Tenorite" w:hAnsi="Tenorit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enorite" w:cs="Tenorite" w:eastAsia="Tenorite" w:hAnsi="Tenorite"/>
          <w:b w:val="1"/>
          <w:bCs w:val="1"/>
          <w:sz w:val="22"/>
          <w:szCs w:val="22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2"/>
          <w:szCs w:val="22"/>
          <w:rtl w:val="0"/>
        </w:rPr>
        <w:t xml:space="preserve">Key Issues discussed: </w:t>
      </w: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(5–8 bullet points summarizing the main discussion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The complexity of inclusive digital learning and the need to address it through interconnected practical, educational, psychological, media literacy and child-rights perspectives.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Persistent barriers to meaningful participation in digital learning for children with diverse learning needs, particularly in rural and under-resourced communities.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The importance of recognizing each child's individual needs, barriers, potential and progress before defining educational interventions and learning pathways.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Empowerment, confidence and a sense of belonging as essential foundations for children's meaningful participation in digital education.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The limitations of one-size-fits-all approaches and the need for flexible, child-centred and practice-based models of digital learning.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The importance of collaboration between families, educators, psychologists and other relevant actors in building sustainable support around the child.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The role of technology not only in developing digital skills, but also in enabling children's participation, self-expression and voice.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Rule="auto"/>
        <w:rPr>
          <w:rFonts w:ascii="Tenorite" w:cs="Tenorite" w:eastAsia="Tenorite" w:hAnsi="Tenorite"/>
          <w:color w:val="000000"/>
          <w:sz w:val="22"/>
          <w:szCs w:val="22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color w:val="000000"/>
          <w:sz w:val="22"/>
          <w:szCs w:val="22"/>
          <w:rtl w:val="0"/>
        </w:rPr>
        <w:t xml:space="preserve">Key Outcomes of the session</w:t>
      </w:r>
      <w:r w:rsidDel="00000000" w:rsidR="00000000" w:rsidRPr="00000000">
        <w:rPr>
          <w:rFonts w:ascii="Tenorite" w:cs="Tenorite" w:eastAsia="Tenorite" w:hAnsi="Tenorite"/>
          <w:color w:val="000000"/>
          <w:sz w:val="22"/>
          <w:szCs w:val="22"/>
          <w:rtl w:val="0"/>
        </w:rPr>
        <w:t xml:space="preserve"> (concise billet points capturing the concrete results of the session)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Empowerment, belonging and recognition of individual potential were identified as foundations for inclusive digital learning.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enorite" w:cs="Tenorite" w:eastAsia="Tenorite" w:hAnsi="Tenorit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Digital inclusion requires interconnected educational, psychological, practical, media literacy and child-rights perspectives.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A shift from deficit-based towards child-centred approaches focused on needs, barriers, potential and progress was identified as essential.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Mentora+ and the Mentora Recognition System (MRS)</w:t>
      </w: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 were presented as a practice-based model linking empowerment with meaningful digital participation. </w:t>
      </w:r>
    </w:p>
    <w:p w:rsidR="00000000" w:rsidDel="00000000" w:rsidP="00000000" w:rsidRDefault="00000000" w:rsidRPr="00000000" w14:paraId="00000018">
      <w:pPr>
        <w:spacing w:after="0" w:before="240" w:lineRule="auto"/>
        <w:rPr>
          <w:rFonts w:ascii="Tenorite" w:cs="Tenorite" w:eastAsia="Tenorite" w:hAnsi="Tenorite"/>
          <w:sz w:val="22"/>
          <w:szCs w:val="22"/>
        </w:rPr>
      </w:pPr>
      <w:r w:rsidDel="00000000" w:rsidR="00000000" w:rsidRPr="00000000">
        <w:rPr>
          <w:rFonts w:ascii="Tenorite" w:cs="Tenorite" w:eastAsia="Tenorite" w:hAnsi="Tenorite"/>
          <w:b w:val="1"/>
          <w:bCs w:val="1"/>
          <w:sz w:val="22"/>
          <w:szCs w:val="22"/>
          <w:rtl w:val="0"/>
        </w:rPr>
        <w:t xml:space="preserve">Key Recommendations and Forward-Looking Actions </w:t>
      </w: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(2–5 bullet points outlining practical and actionable recommendations to support WSIS implementation towards 2035)</w:t>
      </w:r>
    </w:p>
    <w:p w:rsidR="00000000" w:rsidDel="00000000" w:rsidP="00000000" w:rsidRDefault="00000000" w:rsidRPr="00000000" w14:paraId="00000019">
      <w:pPr>
        <w:spacing w:after="0" w:before="240" w:lineRule="auto"/>
        <w:rPr>
          <w:rFonts w:ascii="Tenorite" w:cs="Tenorite" w:eastAsia="Tenorite" w:hAnsi="Tenorit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Embed empowerment, belonging and recognition of individual potential into inclusive digital learning strategies.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Develop flexible, child-centred models that respond to individual needs, barriers and progress.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Strengthen multidisciplinary collaboration between families, educators, psychologists, media literacy and child-rights actors.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beforeAutospacing="0" w:line="360" w:lineRule="auto"/>
        <w:ind w:left="720" w:hanging="360"/>
        <w:rPr>
          <w:rFonts w:ascii="Tenorite" w:cs="Tenorite" w:eastAsia="Tenorite" w:hAnsi="Tenorite"/>
          <w:sz w:val="22"/>
          <w:szCs w:val="22"/>
          <w:u w:val="none"/>
        </w:rPr>
      </w:pPr>
      <w:r w:rsidDel="00000000" w:rsidR="00000000" w:rsidRPr="00000000">
        <w:rPr>
          <w:rFonts w:ascii="Tenorite" w:cs="Tenorite" w:eastAsia="Tenorite" w:hAnsi="Tenorite"/>
          <w:sz w:val="22"/>
          <w:szCs w:val="22"/>
          <w:rtl w:val="0"/>
        </w:rPr>
        <w:t xml:space="preserve">Scale and test practice-based inclusive digital learning models, particularly in rural and under-resourced communities. 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enorite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Guidelines for Session Organisers – WSIS Forum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