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Override PartName="/word/media/image1.jpeg" ContentType="image/jpe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spacing w:before="240" w:after="0" w:line="257" w:lineRule="auto"/>
        <w:rPr>
          <w:b w:val="1"/>
          <w:bCs w:val="1"/>
          <w:sz w:val="28"/>
          <w:szCs w:val="28"/>
          <w:lang w:val="en-US"/>
        </w:rPr>
      </w:pPr>
    </w:p>
    <w:p>
      <w:pPr>
        <w:pStyle w:val="Body"/>
        <w:spacing w:before="240" w:after="0" w:line="257" w:lineRule="auto"/>
        <w:jc w:val="center"/>
        <w:rPr>
          <w:b w:val="1"/>
          <w:bCs w:val="1"/>
          <w:sz w:val="28"/>
          <w:szCs w:val="28"/>
        </w:rPr>
      </w:pPr>
      <w:r>
        <w:rPr>
          <w:b w:val="1"/>
          <w:bCs w:val="1"/>
          <w:sz w:val="28"/>
          <w:szCs w:val="28"/>
          <w:rtl w:val="0"/>
          <w:lang w:val="en-US"/>
        </w:rPr>
        <w:t xml:space="preserve">Session Outcome Document </w:t>
      </w:r>
    </w:p>
    <w:p>
      <w:pPr>
        <w:pStyle w:val="Body"/>
        <w:spacing w:after="0" w:line="257" w:lineRule="auto"/>
        <w:jc w:val="center"/>
      </w:pPr>
    </w:p>
    <w:p>
      <w:pPr>
        <w:pStyle w:val="Body"/>
        <w:spacing w:before="240" w:after="0" w:line="257" w:lineRule="auto"/>
        <w:jc w:val="center"/>
        <w:rPr>
          <w:b w:val="1"/>
          <w:bCs w:val="1"/>
          <w:sz w:val="24"/>
          <w:szCs w:val="24"/>
        </w:rPr>
      </w:pPr>
      <w:r>
        <w:rPr>
          <w:b w:val="1"/>
          <w:bCs w:val="1"/>
          <w:sz w:val="24"/>
          <w:szCs w:val="24"/>
          <w:rtl w:val="0"/>
          <w:lang w:val="en-US"/>
        </w:rPr>
        <w:t>IO Antitrust</w:t>
      </w:r>
    </w:p>
    <w:p>
      <w:pPr>
        <w:pStyle w:val="Body"/>
        <w:spacing w:before="240" w:after="0" w:line="257" w:lineRule="auto"/>
        <w:jc w:val="center"/>
        <w:rPr>
          <w:sz w:val="24"/>
          <w:szCs w:val="24"/>
        </w:rPr>
      </w:pPr>
      <w:r>
        <w:rPr>
          <w:b w:val="1"/>
          <w:bCs w:val="1"/>
          <w:sz w:val="24"/>
          <w:szCs w:val="24"/>
          <w:rtl w:val="0"/>
          <w:lang w:val="en-US"/>
        </w:rPr>
        <w:t>OGI (The OneGoal Initiative for Governance)</w:t>
      </w:r>
    </w:p>
    <w:p>
      <w:pPr>
        <w:pStyle w:val="Body"/>
        <w:spacing w:before="240" w:after="0" w:line="257" w:lineRule="auto"/>
        <w:jc w:val="center"/>
        <w:rPr>
          <w:sz w:val="24"/>
          <w:szCs w:val="24"/>
        </w:rPr>
      </w:pPr>
      <w:r>
        <w:rPr>
          <w:b w:val="1"/>
          <w:bCs w:val="1"/>
          <w:sz w:val="24"/>
          <w:szCs w:val="24"/>
          <w:rtl w:val="0"/>
          <w:lang w:val="en-US"/>
        </w:rPr>
        <w:t xml:space="preserve">Friday 11 July 2025, 9-9:45, Open Space </w:t>
      </w:r>
    </w:p>
    <w:p>
      <w:pPr>
        <w:pStyle w:val="Body"/>
        <w:spacing w:before="240" w:after="0" w:line="257" w:lineRule="auto"/>
        <w:jc w:val="center"/>
        <w:rPr>
          <w:b w:val="1"/>
          <w:bCs w:val="1"/>
          <w:sz w:val="24"/>
          <w:szCs w:val="24"/>
        </w:rPr>
      </w:pPr>
      <w:r>
        <w:rPr>
          <w:b w:val="1"/>
          <w:bCs w:val="1"/>
          <w:sz w:val="24"/>
          <w:szCs w:val="24"/>
          <w:rtl w:val="0"/>
          <w:lang w:val="en-US"/>
        </w:rPr>
        <w:t>https://www.itu.int/net4/wsis/forum/2025/Agenda/Session/206</w:t>
      </w:r>
    </w:p>
    <w:p>
      <w:pPr>
        <w:pStyle w:val="Body"/>
        <w:spacing w:before="240" w:after="0" w:line="257" w:lineRule="auto"/>
        <w:jc w:val="center"/>
        <w:rPr>
          <w:rStyle w:val="page number"/>
          <w:sz w:val="22"/>
          <w:szCs w:val="22"/>
          <w:lang w:val="en-US"/>
        </w:rPr>
      </w:pPr>
    </w:p>
    <w:p>
      <w:pPr>
        <w:pStyle w:val="Body"/>
        <w:spacing w:before="240" w:after="0" w:line="257" w:lineRule="auto"/>
        <w:jc w:val="center"/>
        <w:rPr>
          <w:rStyle w:val="page number"/>
          <w:sz w:val="22"/>
          <w:szCs w:val="22"/>
          <w:lang w:val="en-US"/>
        </w:rPr>
      </w:pPr>
    </w:p>
    <w:p>
      <w:pPr>
        <w:pStyle w:val="Body"/>
        <w:spacing w:after="0"/>
        <w:jc w:val="both"/>
        <w:rPr>
          <w:b w:val="1"/>
          <w:bCs w:val="1"/>
          <w:sz w:val="22"/>
          <w:szCs w:val="22"/>
        </w:rPr>
      </w:pPr>
      <w:r>
        <w:rPr>
          <w:b w:val="1"/>
          <w:bCs w:val="1"/>
          <w:sz w:val="22"/>
          <w:szCs w:val="22"/>
          <w:rtl w:val="0"/>
          <w:lang w:val="en-US"/>
        </w:rPr>
        <w:t>Key Issues discussed: Looking Beyond 2025</w:t>
      </w:r>
      <w:r>
        <w:rPr>
          <w:sz w:val="22"/>
          <w:szCs w:val="22"/>
          <w:rtl w:val="0"/>
          <w:lang w:val="en-US"/>
        </w:rPr>
        <w:t>:</w:t>
      </w:r>
    </w:p>
    <w:p>
      <w:pPr>
        <w:pStyle w:val="List Paragraph"/>
        <w:numPr>
          <w:ilvl w:val="0"/>
          <w:numId w:val="2"/>
        </w:numPr>
        <w:spacing w:before="240" w:after="0"/>
        <w:jc w:val="both"/>
        <w:rPr>
          <w:sz w:val="22"/>
          <w:szCs w:val="22"/>
          <w:lang w:val="en-US"/>
        </w:rPr>
      </w:pPr>
      <w:r>
        <w:rPr>
          <w:rFonts w:ascii="Calibri" w:hAnsi="Calibri"/>
          <w:sz w:val="22"/>
          <w:szCs w:val="22"/>
          <w:rtl w:val="0"/>
          <w:lang w:val="en-US"/>
        </w:rPr>
        <w:t>The widening and rising operational capabilities in organisations;</w:t>
      </w:r>
    </w:p>
    <w:p>
      <w:pPr>
        <w:pStyle w:val="List Paragraph"/>
        <w:numPr>
          <w:ilvl w:val="0"/>
          <w:numId w:val="2"/>
        </w:numPr>
        <w:spacing w:before="240" w:after="0"/>
        <w:jc w:val="both"/>
        <w:rPr>
          <w:sz w:val="22"/>
          <w:szCs w:val="22"/>
          <w:lang w:val="en-US"/>
        </w:rPr>
      </w:pPr>
      <w:r>
        <w:rPr>
          <w:rFonts w:ascii="Calibri" w:hAnsi="Calibri"/>
          <w:sz w:val="22"/>
          <w:szCs w:val="22"/>
          <w:rtl w:val="0"/>
          <w:lang w:val="en-US"/>
        </w:rPr>
        <w:t>The o</w:t>
      </w:r>
      <w:r>
        <w:rPr>
          <w:rFonts w:ascii="Calibri" w:hAnsi="Calibri"/>
          <w:sz w:val="22"/>
          <w:szCs w:val="22"/>
          <w:rtl w:val="0"/>
          <w:lang w:val="en-US"/>
        </w:rPr>
        <w:t>pportunit</w:t>
      </w:r>
      <w:r>
        <w:rPr>
          <w:rFonts w:ascii="Calibri" w:hAnsi="Calibri"/>
          <w:sz w:val="22"/>
          <w:szCs w:val="22"/>
          <w:rtl w:val="0"/>
          <w:lang w:val="en-US"/>
        </w:rPr>
        <w:t xml:space="preserve">y to reassess our directionality and </w:t>
      </w:r>
      <w:r>
        <w:rPr>
          <w:rFonts w:ascii="Calibri" w:hAnsi="Calibri"/>
          <w:i w:val="1"/>
          <w:iCs w:val="1"/>
          <w:sz w:val="22"/>
          <w:szCs w:val="22"/>
          <w:rtl w:val="0"/>
          <w:lang w:val="en-US"/>
        </w:rPr>
        <w:t>relevantly</w:t>
      </w:r>
      <w:r>
        <w:rPr>
          <w:rFonts w:ascii="Calibri" w:hAnsi="Calibri"/>
          <w:sz w:val="22"/>
          <w:szCs w:val="22"/>
          <w:rtl w:val="0"/>
          <w:lang w:val="en-US"/>
        </w:rPr>
        <w:t xml:space="preserve"> innovate in global and international governance;</w:t>
      </w:r>
    </w:p>
    <w:p>
      <w:pPr>
        <w:pStyle w:val="List Paragraph"/>
        <w:numPr>
          <w:ilvl w:val="0"/>
          <w:numId w:val="2"/>
        </w:numPr>
        <w:spacing w:before="240" w:after="0"/>
        <w:jc w:val="both"/>
        <w:rPr>
          <w:sz w:val="22"/>
          <w:szCs w:val="22"/>
          <w:lang w:val="en-US"/>
        </w:rPr>
      </w:pPr>
      <w:r>
        <w:rPr>
          <w:rFonts w:ascii="Calibri" w:hAnsi="Calibri"/>
          <w:sz w:val="22"/>
          <w:szCs w:val="22"/>
          <w:rtl w:val="0"/>
          <w:lang w:val="en-US"/>
        </w:rPr>
        <w:t>The o</w:t>
      </w:r>
      <w:r>
        <w:rPr>
          <w:rFonts w:ascii="Calibri" w:hAnsi="Calibri"/>
          <w:sz w:val="22"/>
          <w:szCs w:val="22"/>
          <w:rtl w:val="0"/>
          <w:lang w:val="en-US"/>
        </w:rPr>
        <w:t>pportunit</w:t>
      </w:r>
      <w:r>
        <w:rPr>
          <w:rFonts w:ascii="Calibri" w:hAnsi="Calibri"/>
          <w:sz w:val="22"/>
          <w:szCs w:val="22"/>
          <w:rtl w:val="0"/>
          <w:lang w:val="en-US"/>
        </w:rPr>
        <w:t>y to make use of out-of-the-box accurate reasoning in such innovation;</w:t>
      </w:r>
    </w:p>
    <w:p>
      <w:pPr>
        <w:pStyle w:val="List Paragraph"/>
        <w:numPr>
          <w:ilvl w:val="0"/>
          <w:numId w:val="2"/>
        </w:numPr>
        <w:spacing w:before="240" w:after="0"/>
        <w:jc w:val="both"/>
        <w:rPr>
          <w:sz w:val="22"/>
          <w:szCs w:val="22"/>
          <w:lang w:val="en-US"/>
        </w:rPr>
      </w:pPr>
      <w:r>
        <w:rPr>
          <w:rFonts w:ascii="Calibri" w:hAnsi="Calibri"/>
          <w:sz w:val="22"/>
          <w:szCs w:val="22"/>
          <w:rtl w:val="0"/>
          <w:lang w:val="en-US"/>
        </w:rPr>
        <w:t>A conceptual view of organisations;</w:t>
      </w:r>
    </w:p>
    <w:p>
      <w:pPr>
        <w:pStyle w:val="List Paragraph"/>
        <w:numPr>
          <w:ilvl w:val="0"/>
          <w:numId w:val="2"/>
        </w:numPr>
        <w:spacing w:before="240" w:after="0"/>
        <w:jc w:val="both"/>
        <w:rPr>
          <w:sz w:val="22"/>
          <w:szCs w:val="22"/>
          <w:lang w:val="en-US"/>
        </w:rPr>
      </w:pPr>
      <w:r>
        <w:rPr>
          <w:rFonts w:ascii="Calibri" w:hAnsi="Calibri"/>
          <w:sz w:val="22"/>
          <w:szCs w:val="22"/>
          <w:rtl w:val="0"/>
          <w:lang w:val="en-US"/>
        </w:rPr>
        <w:t xml:space="preserve">A systemic view of risk management. </w:t>
      </w:r>
    </w:p>
    <w:p>
      <w:pPr>
        <w:pStyle w:val="Body"/>
        <w:spacing w:before="240" w:after="0"/>
        <w:jc w:val="both"/>
        <w:rPr>
          <w:outline w:val="0"/>
          <w:color w:val="000000"/>
          <w:sz w:val="22"/>
          <w:szCs w:val="22"/>
          <w:u w:color="000000"/>
          <w14:textFill>
            <w14:solidFill>
              <w14:srgbClr w14:val="000000"/>
            </w14:solidFill>
          </w14:textFill>
        </w:rPr>
      </w:pPr>
      <w:r>
        <w:rPr>
          <w:b w:val="1"/>
          <w:bCs w:val="1"/>
          <w:outline w:val="0"/>
          <w:color w:val="000000"/>
          <w:sz w:val="22"/>
          <w:szCs w:val="22"/>
          <w:u w:color="000000"/>
          <w:rtl w:val="0"/>
          <w:lang w:val="en-US"/>
          <w14:textFill>
            <w14:solidFill>
              <w14:srgbClr w14:val="000000"/>
            </w14:solidFill>
          </w14:textFill>
        </w:rPr>
        <w:t>Tangible Outcomes of the session</w:t>
      </w:r>
      <w:r>
        <w:rPr>
          <w:b w:val="1"/>
          <w:bCs w:val="1"/>
          <w:sz w:val="22"/>
          <w:szCs w:val="22"/>
          <w:rtl w:val="0"/>
          <w:lang w:val="en-US"/>
        </w:rPr>
        <w:t>:</w:t>
      </w:r>
    </w:p>
    <w:p>
      <w:pPr>
        <w:pStyle w:val="List Paragraph"/>
        <w:numPr>
          <w:ilvl w:val="0"/>
          <w:numId w:val="4"/>
        </w:numPr>
        <w:bidi w:val="0"/>
        <w:spacing w:before="240" w:after="0"/>
        <w:ind w:right="0"/>
        <w:jc w:val="both"/>
        <w:rPr>
          <w:rFonts w:ascii="Calibri" w:hAnsi="Calibri"/>
          <w:sz w:val="22"/>
          <w:szCs w:val="22"/>
          <w:rtl w:val="0"/>
          <w:lang w:val="en-US"/>
        </w:rPr>
      </w:pPr>
      <w:r>
        <w:rPr>
          <w:rFonts w:ascii="Calibri" w:hAnsi="Calibri"/>
          <w:sz w:val="22"/>
          <w:szCs w:val="22"/>
          <w:rtl w:val="0"/>
          <w:lang w:val="en-US"/>
        </w:rPr>
        <w:t>Expression of some basic institutional design questions;</w:t>
      </w:r>
    </w:p>
    <w:p>
      <w:pPr>
        <w:pStyle w:val="List Paragraph"/>
        <w:numPr>
          <w:ilvl w:val="0"/>
          <w:numId w:val="4"/>
        </w:numPr>
        <w:bidi w:val="0"/>
        <w:spacing w:before="240" w:after="0"/>
        <w:ind w:right="0"/>
        <w:jc w:val="both"/>
        <w:rPr>
          <w:rFonts w:ascii="Calibri" w:hAnsi="Calibri"/>
          <w:sz w:val="22"/>
          <w:szCs w:val="22"/>
          <w:rtl w:val="0"/>
          <w:lang w:val="en-US"/>
        </w:rPr>
      </w:pPr>
      <w:r>
        <w:rPr>
          <w:rFonts w:ascii="Calibri" w:hAnsi="Calibri"/>
          <w:sz w:val="22"/>
          <w:szCs w:val="22"/>
          <w:rtl w:val="0"/>
          <w:lang w:val="en-US"/>
        </w:rPr>
        <w:t>Audience reactions to those basic questions and to each other</w:t>
      </w:r>
      <w:r>
        <w:rPr>
          <w:rFonts w:ascii="Calibri" w:hAnsi="Calibri" w:hint="default"/>
          <w:sz w:val="22"/>
          <w:szCs w:val="22"/>
          <w:rtl w:val="0"/>
          <w:lang w:val="en-US"/>
        </w:rPr>
        <w:t>’</w:t>
      </w:r>
      <w:r>
        <w:rPr>
          <w:rFonts w:ascii="Calibri" w:hAnsi="Calibri"/>
          <w:sz w:val="22"/>
          <w:szCs w:val="22"/>
          <w:rtl w:val="0"/>
          <w:lang w:val="en-US"/>
        </w:rPr>
        <w:t>s reactions;</w:t>
      </w:r>
    </w:p>
    <w:p>
      <w:pPr>
        <w:pStyle w:val="List Paragraph"/>
        <w:numPr>
          <w:ilvl w:val="0"/>
          <w:numId w:val="4"/>
        </w:numPr>
        <w:bidi w:val="0"/>
        <w:spacing w:before="240" w:after="0"/>
        <w:ind w:right="0"/>
        <w:jc w:val="both"/>
        <w:rPr>
          <w:rFonts w:ascii="Calibri" w:hAnsi="Calibri"/>
          <w:sz w:val="22"/>
          <w:szCs w:val="22"/>
          <w:rtl w:val="0"/>
          <w:lang w:val="en-US"/>
        </w:rPr>
      </w:pPr>
      <w:r>
        <w:rPr>
          <w:rFonts w:ascii="Calibri" w:hAnsi="Calibri"/>
          <w:sz w:val="22"/>
          <w:szCs w:val="22"/>
          <w:rtl w:val="0"/>
          <w:lang w:val="en-US"/>
        </w:rPr>
        <w:t>Information to WSIS team, convening agencies and WSIS partners on those basic questions;</w:t>
      </w:r>
    </w:p>
    <w:p>
      <w:pPr>
        <w:pStyle w:val="List Paragraph"/>
        <w:numPr>
          <w:ilvl w:val="0"/>
          <w:numId w:val="4"/>
        </w:numPr>
        <w:bidi w:val="0"/>
        <w:spacing w:before="240" w:after="0"/>
        <w:ind w:right="0"/>
        <w:jc w:val="both"/>
        <w:rPr>
          <w:rFonts w:ascii="Calibri" w:hAnsi="Calibri"/>
          <w:sz w:val="22"/>
          <w:szCs w:val="22"/>
          <w:rtl w:val="0"/>
          <w:lang w:val="en-US"/>
        </w:rPr>
      </w:pPr>
      <w:r>
        <w:rPr>
          <w:rFonts w:ascii="Calibri" w:hAnsi="Calibri"/>
          <w:sz w:val="22"/>
          <w:szCs w:val="22"/>
          <w:rtl w:val="0"/>
          <w:lang w:val="en-US"/>
        </w:rPr>
        <w:t xml:space="preserve">Hopefully the start of a productive conversation. </w:t>
      </w:r>
    </w:p>
    <w:p>
      <w:pPr>
        <w:pStyle w:val="Body"/>
        <w:spacing w:before="240" w:after="0"/>
        <w:jc w:val="both"/>
        <w:rPr>
          <w:b w:val="1"/>
          <w:bCs w:val="1"/>
          <w:sz w:val="22"/>
          <w:szCs w:val="22"/>
        </w:rPr>
      </w:pPr>
      <w:r>
        <w:rPr>
          <w:b w:val="1"/>
          <w:bCs w:val="1"/>
          <w:sz w:val="22"/>
          <w:szCs w:val="22"/>
          <w:rtl w:val="0"/>
          <w:lang w:val="en-US"/>
        </w:rPr>
        <w:t>Key Recommendations and Forward-Looking Action Plan for the WSIS+20 Review and Beyond</w:t>
      </w:r>
      <w:r>
        <w:rPr>
          <w:b w:val="1"/>
          <w:bCs w:val="1"/>
          <w:sz w:val="22"/>
          <w:szCs w:val="22"/>
          <w:rtl w:val="0"/>
          <w:lang w:val="en-US"/>
        </w:rPr>
        <w:t>:</w:t>
      </w:r>
    </w:p>
    <w:p>
      <w:pPr>
        <w:pStyle w:val="List Paragraph"/>
        <w:numPr>
          <w:ilvl w:val="0"/>
          <w:numId w:val="2"/>
        </w:numPr>
        <w:spacing w:before="240" w:after="0"/>
        <w:jc w:val="both"/>
        <w:rPr>
          <w:rFonts w:ascii="Calibri" w:hAnsi="Calibri"/>
          <w:sz w:val="22"/>
          <w:szCs w:val="22"/>
          <w:lang w:val="en-US"/>
        </w:rPr>
      </w:pPr>
      <w:r>
        <w:rPr>
          <w:rFonts w:ascii="Calibri" w:hAnsi="Calibri"/>
          <w:sz w:val="22"/>
          <w:szCs w:val="22"/>
          <w:rtl w:val="0"/>
          <w:lang w:val="en-US"/>
        </w:rPr>
        <w:t xml:space="preserve">The effective multistakeholder approach in general, also outside of WSIS, yields, against what its name may suggest, an exclusionary, self-blinding, model-distorting, deleterious-path-stonifying result (deleterious also for topmost decision makers), and further deteriorates and delegitimizes the judiciary system, beyond the inherent flaws of the latter in context. Accurate capacity building about the human system, in other words systemic literacy, is direly needed, such that opportunities get used in a constructive rather than destructive manner, with more - if I may suggest - wisdom. </w:t>
      </w:r>
    </w:p>
    <w:p>
      <w:pPr>
        <w:pStyle w:val="List Paragraph"/>
        <w:numPr>
          <w:ilvl w:val="0"/>
          <w:numId w:val="2"/>
        </w:numPr>
        <w:spacing w:before="240" w:after="0"/>
        <w:jc w:val="both"/>
        <w:rPr>
          <w:rFonts w:ascii="Calibri" w:hAnsi="Calibri"/>
          <w:sz w:val="22"/>
          <w:szCs w:val="22"/>
          <w:lang w:val="en-US"/>
        </w:rPr>
      </w:pPr>
      <w:r>
        <w:rPr>
          <w:rFonts w:ascii="Calibri" w:hAnsi="Calibri"/>
          <w:sz w:val="22"/>
          <w:szCs w:val="22"/>
          <w:rtl w:val="0"/>
          <w:lang w:val="en-US"/>
        </w:rPr>
        <w:t>Using a truly systemic and accurate view of the human system in strategy and policy in transformational times</w:t>
      </w:r>
      <w:r>
        <w:rPr>
          <w:rFonts w:ascii="Calibri" w:hAnsi="Calibri"/>
          <w:sz w:val="22"/>
          <w:szCs w:val="22"/>
          <w:rtl w:val="0"/>
          <w:lang w:val="en-US"/>
        </w:rPr>
        <w:t xml:space="preserve"> is </w:t>
      </w:r>
      <w:r>
        <w:rPr>
          <w:rFonts w:ascii="Calibri" w:hAnsi="Calibri"/>
          <w:sz w:val="22"/>
          <w:szCs w:val="22"/>
          <w:rtl w:val="0"/>
          <w:lang w:val="en-US"/>
        </w:rPr>
        <w:t xml:space="preserve">required. Capacity building of topmost decision makers on this is urgently and direly needed. </w:t>
      </w:r>
    </w:p>
    <w:p>
      <w:pPr>
        <w:pStyle w:val="List Paragraph"/>
        <w:numPr>
          <w:ilvl w:val="0"/>
          <w:numId w:val="2"/>
        </w:numPr>
        <w:spacing w:before="240" w:after="0"/>
        <w:jc w:val="both"/>
        <w:rPr>
          <w:rFonts w:ascii="Calibri" w:hAnsi="Calibri"/>
          <w:sz w:val="22"/>
          <w:szCs w:val="22"/>
          <w:lang w:val="en-US"/>
        </w:rPr>
      </w:pPr>
      <w:r>
        <w:rPr>
          <w:rFonts w:ascii="Calibri" w:hAnsi="Calibri"/>
          <w:sz w:val="22"/>
          <w:szCs w:val="22"/>
          <w:rtl w:val="0"/>
          <w:lang w:val="en-US"/>
        </w:rPr>
        <w:t xml:space="preserve">Identifying, accurately, decision criteria, rather than thinking in terms of </w:t>
      </w:r>
      <w:r>
        <w:rPr>
          <w:rFonts w:ascii="Calibri" w:hAnsi="Calibri" w:hint="default"/>
          <w:sz w:val="22"/>
          <w:szCs w:val="22"/>
          <w:rtl w:val="0"/>
          <w:lang w:val="en-US"/>
        </w:rPr>
        <w:t>“</w:t>
      </w:r>
      <w:r>
        <w:rPr>
          <w:rFonts w:ascii="Calibri" w:hAnsi="Calibri"/>
          <w:sz w:val="22"/>
          <w:szCs w:val="22"/>
          <w:rtl w:val="0"/>
          <w:lang w:val="en-US"/>
        </w:rPr>
        <w:t>who</w:t>
      </w:r>
      <w:r>
        <w:rPr>
          <w:rFonts w:ascii="Calibri" w:hAnsi="Calibri" w:hint="default"/>
          <w:sz w:val="22"/>
          <w:szCs w:val="22"/>
          <w:rtl w:val="0"/>
          <w:lang w:val="en-US"/>
        </w:rPr>
        <w:t xml:space="preserve">” </w:t>
      </w:r>
      <w:r>
        <w:rPr>
          <w:rFonts w:ascii="Calibri" w:hAnsi="Calibri"/>
          <w:sz w:val="22"/>
          <w:szCs w:val="22"/>
          <w:rtl w:val="0"/>
          <w:lang w:val="en-US"/>
        </w:rPr>
        <w:t xml:space="preserve">(decides, benefits etc.), is necessary for any </w:t>
      </w:r>
      <w:r>
        <w:rPr>
          <w:rFonts w:ascii="Calibri" w:hAnsi="Calibri" w:hint="default"/>
          <w:sz w:val="22"/>
          <w:szCs w:val="22"/>
          <w:rtl w:val="0"/>
          <w:lang w:val="en-US"/>
        </w:rPr>
        <w:t>“</w:t>
      </w:r>
      <w:r>
        <w:rPr>
          <w:rFonts w:ascii="Calibri" w:hAnsi="Calibri"/>
          <w:sz w:val="22"/>
          <w:szCs w:val="22"/>
          <w:rtl w:val="0"/>
          <w:lang w:val="en-US"/>
        </w:rPr>
        <w:t>governance</w:t>
      </w:r>
      <w:r>
        <w:rPr>
          <w:rFonts w:ascii="Calibri" w:hAnsi="Calibri" w:hint="default"/>
          <w:sz w:val="22"/>
          <w:szCs w:val="22"/>
          <w:rtl w:val="0"/>
          <w:lang w:val="en-US"/>
        </w:rPr>
        <w:t>”</w:t>
      </w:r>
      <w:r>
        <w:rPr>
          <w:rFonts w:ascii="Calibri" w:hAnsi="Calibri"/>
          <w:sz w:val="22"/>
          <w:szCs w:val="22"/>
          <w:rtl w:val="0"/>
          <w:lang w:val="en-US"/>
        </w:rPr>
        <w:t>.</w:t>
      </w:r>
    </w:p>
    <w:sectPr>
      <w:headerReference w:type="default" r:id="rId4"/>
      <w:footerReference w:type="default" r:id="rId5"/>
      <w:pgSz w:w="11900" w:h="16840" w:orient="portrait"/>
      <w:pgMar w:top="1440" w:right="1440" w:bottom="1440" w:left="1440"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Calibri">
    <w:charset w:val="00"/>
    <w:family w:val="roman"/>
    <w:pitch w:val="default"/>
  </w:font>
  <w:font w:name="Calisto MT">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tabs>
        <w:tab w:val="right" w:pos="9000"/>
        <w:tab w:val="clear" w:pos="9026"/>
      </w:tabs>
      <w:jc w:val="right"/>
      <w:rPr>
        <w:rStyle w:val="page number"/>
      </w:rPr>
    </w:pPr>
    <w:r>
      <w:rPr>
        <w:rtl w:val="0"/>
      </w:rPr>
      <w:fldChar w:fldCharType="begin" w:fldLock="0"/>
    </w:r>
    <w:r>
      <w:rPr>
        <w:rtl w:val="0"/>
      </w:rPr>
      <w:instrText xml:space="preserve"> PAGE </w:instrText>
    </w:r>
    <w:r>
      <w:rPr>
        <w:rtl w:val="0"/>
      </w:rPr>
      <w:fldChar w:fldCharType="separate" w:fldLock="0"/>
    </w:r>
    <w:r>
      <w:rPr>
        <w:rtl w:val="0"/>
      </w:rPr>
      <w:fldChar w:fldCharType="end" w:fldLock="0"/>
    </w:r>
  </w:p>
  <w:p>
    <w:pPr>
      <w:pStyle w:val="footer"/>
      <w:tabs>
        <w:tab w:val="right" w:pos="9000"/>
        <w:tab w:val="clear" w:pos="9026"/>
      </w:tabs>
      <w:ind w:right="360"/>
    </w:pPr>
    <w:r>
      <w:rPr>
        <w:rStyle w:val="page number"/>
      </w:rPr>
      <w:tab/>
      <w:tab/>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w:tabs>
        <w:tab w:val="right" w:pos="9000"/>
        <w:tab w:val="clear" w:pos="9026"/>
      </w:tabs>
      <w:jc w:val="center"/>
    </w:pPr>
    <w:r>
      <w:rPr>
        <w:b w:val="1"/>
        <w:bCs w:val="1"/>
        <w:sz w:val="28"/>
        <w:szCs w:val="28"/>
      </w:rPr>
      <w:drawing xmlns:a="http://schemas.openxmlformats.org/drawingml/2006/main">
        <wp:inline distT="0" distB="0" distL="0" distR="0">
          <wp:extent cx="1709232" cy="811431"/>
          <wp:effectExtent l="0" t="0" r="0" b="0"/>
          <wp:docPr id="1073741825" name="officeArt object" descr="Picture 1"/>
          <wp:cNvGraphicFramePr/>
          <a:graphic xmlns:a="http://schemas.openxmlformats.org/drawingml/2006/main">
            <a:graphicData uri="http://schemas.openxmlformats.org/drawingml/2006/picture">
              <pic:pic xmlns:pic="http://schemas.openxmlformats.org/drawingml/2006/picture">
                <pic:nvPicPr>
                  <pic:cNvPr id="1073741825" name="Picture 1" descr="Picture 1"/>
                  <pic:cNvPicPr>
                    <a:picLocks noChangeAspect="1"/>
                  </pic:cNvPicPr>
                </pic:nvPicPr>
                <pic:blipFill>
                  <a:blip r:embed="rId1">
                    <a:extLst/>
                  </a:blip>
                  <a:stretch>
                    <a:fillRect/>
                  </a:stretch>
                </pic:blipFill>
                <pic:spPr>
                  <a:xfrm>
                    <a:off x="0" y="0"/>
                    <a:ext cx="1709232" cy="811431"/>
                  </a:xfrm>
                  <a:prstGeom prst="rect">
                    <a:avLst/>
                  </a:prstGeom>
                  <a:ln w="12700" cap="flat">
                    <a:noFill/>
                    <a:miter lim="400000"/>
                  </a:ln>
                  <a:effectLst/>
                </pic:spPr>
              </pic:pic>
            </a:graphicData>
          </a:graphic>
        </wp:inline>
      </w:drawing>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2"/>
  </w:abstractNum>
  <w:abstractNum w:abstractNumId="3">
    <w:multiLevelType w:val="hybridMultilevel"/>
    <w:styleLink w:val="Imported Style 2"/>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w:name w:val="header"/>
    <w:next w:val="header"/>
    <w:pPr>
      <w:keepNext w:val="0"/>
      <w:keepLines w:val="0"/>
      <w:pageBreakBefore w:val="0"/>
      <w:widowControl w:val="1"/>
      <w:shd w:val="clear" w:color="auto" w:fill="auto"/>
      <w:tabs>
        <w:tab w:val="center" w:pos="4513"/>
        <w:tab w:val="right" w:pos="9026"/>
      </w:tabs>
      <w:suppressAutoHyphens w:val="0"/>
      <w:bidi w:val="0"/>
      <w:spacing w:before="0" w:after="0" w:line="240"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lang w:val="en-US"/>
      <w14:textFill>
        <w14:solidFill>
          <w14:srgbClr w14:val="000000"/>
        </w14:solidFill>
      </w14:textFill>
    </w:rPr>
  </w:style>
  <w:style w:type="paragraph" w:styleId="footer">
    <w:name w:val="footer"/>
    <w:next w:val="footer"/>
    <w:pPr>
      <w:keepNext w:val="0"/>
      <w:keepLines w:val="0"/>
      <w:pageBreakBefore w:val="0"/>
      <w:widowControl w:val="1"/>
      <w:shd w:val="clear" w:color="auto" w:fill="auto"/>
      <w:tabs>
        <w:tab w:val="center" w:pos="4513"/>
        <w:tab w:val="right" w:pos="9026"/>
      </w:tabs>
      <w:suppressAutoHyphens w:val="0"/>
      <w:bidi w:val="0"/>
      <w:spacing w:before="0" w:after="0" w:line="240"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lang w:val="en-US"/>
      <w14:textFill>
        <w14:solidFill>
          <w14:srgbClr w14:val="000000"/>
        </w14:solidFill>
      </w14:textFill>
    </w:rPr>
  </w:style>
  <w:style w:type="character" w:styleId="page number">
    <w:name w:val="page number"/>
  </w:style>
  <w:style w:type="paragraph" w:styleId="Body">
    <w:name w:val="Body"/>
    <w:next w:val="Body"/>
    <w:pPr>
      <w:keepNext w:val="0"/>
      <w:keepLines w:val="0"/>
      <w:pageBreakBefore w:val="0"/>
      <w:widowControl w:val="1"/>
      <w:shd w:val="clear" w:color="auto" w:fill="auto"/>
      <w:suppressAutoHyphens w:val="0"/>
      <w:bidi w:val="0"/>
      <w:spacing w:before="0" w:after="120" w:line="276"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14:textOutline>
        <w14:noFill/>
      </w14:textOutline>
      <w14:textFill>
        <w14:solidFill>
          <w14:srgbClr w14:val="000000"/>
        </w14:solidFill>
      </w14:textFill>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320" w:after="320" w:line="360" w:lineRule="auto"/>
      <w:ind w:left="720" w:right="0" w:firstLine="0"/>
      <w:jc w:val="left"/>
      <w:outlineLvl w:val="9"/>
    </w:pPr>
    <w:rPr>
      <w:rFonts w:ascii="Calisto MT" w:cs="Calisto MT" w:hAnsi="Calisto MT" w:eastAsia="Calisto M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numbering" w:styleId="Imported Style 1">
    <w:name w:val="Imported Style 1"/>
    <w:pPr>
      <w:numPr>
        <w:numId w:val="1"/>
      </w:numPr>
    </w:pPr>
  </w:style>
  <w:style w:type="numbering" w:styleId="Imported Style 2">
    <w:name w:val="Imported Style 2"/>
    <w:pPr>
      <w:numPr>
        <w:numId w:val="3"/>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_rels/header1.xml.rels><?xml version="1.0" encoding="UTF-8"?>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