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348"/>
        <w:gridCol w:w="5271"/>
        <w:gridCol w:w="3053"/>
      </w:tblGrid>
      <w:tr w:rsidR="00280E04" w14:paraId="7D880082" w14:textId="77777777" w:rsidTr="004E2A5D">
        <w:trPr>
          <w:cantSplit/>
          <w:trHeight w:val="20"/>
        </w:trPr>
        <w:tc>
          <w:tcPr>
            <w:tcW w:w="6619" w:type="dxa"/>
            <w:gridSpan w:val="2"/>
          </w:tcPr>
          <w:p w14:paraId="0323A9A9" w14:textId="77777777" w:rsidR="00A375BD" w:rsidRPr="00136B82" w:rsidRDefault="004E2A5D" w:rsidP="00680A38">
            <w:pPr>
              <w:pStyle w:val="LOGO"/>
              <w:framePr w:hSpace="0" w:wrap="auto" w:xAlign="left" w:yAlign="inline"/>
            </w:pPr>
            <w:r>
              <w:rPr>
                <w:rFonts w:hint="cs"/>
                <w:rtl/>
              </w:rPr>
              <w:t xml:space="preserve">الجمعية العالمية لتقييس الاتصالات </w:t>
            </w:r>
            <w:r>
              <w:t>(WTSA-20)</w:t>
            </w:r>
          </w:p>
          <w:p w14:paraId="0A306E3C" w14:textId="3E2491FE" w:rsidR="00A33A95" w:rsidRPr="00136B82" w:rsidRDefault="00CC7C9F" w:rsidP="00A33A95">
            <w:pPr>
              <w:pStyle w:val="LOGO"/>
              <w:framePr w:hSpace="0" w:wrap="auto" w:xAlign="left" w:yAlign="inline"/>
              <w:spacing w:before="160"/>
              <w:rPr>
                <w:rtl/>
              </w:rPr>
            </w:pPr>
            <w:r>
              <w:rPr>
                <w:rFonts w:hint="cs"/>
                <w:sz w:val="26"/>
                <w:szCs w:val="26"/>
                <w:rtl/>
                <w:lang w:bidi="ar-SA"/>
              </w:rPr>
              <w:t>جنيف</w:t>
            </w:r>
            <w:r w:rsidR="00A33A95" w:rsidRPr="00A33A95">
              <w:rPr>
                <w:rFonts w:hint="cs"/>
                <w:sz w:val="26"/>
                <w:szCs w:val="26"/>
                <w:rtl/>
                <w:lang w:bidi="ar-SA"/>
              </w:rPr>
              <w:t xml:space="preserve">، </w:t>
            </w:r>
            <w:r w:rsidR="00A33A95">
              <w:rPr>
                <w:sz w:val="26"/>
                <w:szCs w:val="26"/>
              </w:rPr>
              <w:t>1</w:t>
            </w:r>
            <w:r w:rsidR="00A33A95">
              <w:rPr>
                <w:rFonts w:hint="cs"/>
                <w:sz w:val="26"/>
                <w:szCs w:val="26"/>
                <w:rtl/>
              </w:rPr>
              <w:t>-</w:t>
            </w:r>
            <w:r w:rsidR="00A33A95">
              <w:rPr>
                <w:sz w:val="26"/>
                <w:szCs w:val="26"/>
              </w:rPr>
              <w:t>9</w:t>
            </w:r>
            <w:r w:rsidR="00A33A95">
              <w:rPr>
                <w:rFonts w:hint="cs"/>
                <w:sz w:val="26"/>
                <w:szCs w:val="26"/>
                <w:rtl/>
              </w:rPr>
              <w:t xml:space="preserve"> </w:t>
            </w:r>
            <w:r w:rsidR="00A33A95" w:rsidRPr="007A3A06">
              <w:rPr>
                <w:rFonts w:hint="cs"/>
                <w:sz w:val="26"/>
                <w:szCs w:val="26"/>
                <w:rtl/>
                <w:lang w:bidi="ar-SA"/>
              </w:rPr>
              <w:t xml:space="preserve">مارس </w:t>
            </w:r>
            <w:r w:rsidR="00A33A95">
              <w:rPr>
                <w:sz w:val="26"/>
                <w:szCs w:val="26"/>
              </w:rPr>
              <w:t>2022</w:t>
            </w:r>
          </w:p>
        </w:tc>
        <w:tc>
          <w:tcPr>
            <w:tcW w:w="3053" w:type="dxa"/>
          </w:tcPr>
          <w:p w14:paraId="7F01A79C" w14:textId="77777777" w:rsidR="00280E04" w:rsidRDefault="004E2A5D" w:rsidP="004E2A5D">
            <w:pPr>
              <w:jc w:val="right"/>
              <w:rPr>
                <w:rtl/>
                <w:lang w:bidi="ar-EG"/>
              </w:rPr>
            </w:pPr>
            <w:bookmarkStart w:id="0" w:name="ditulogo"/>
            <w:bookmarkEnd w:id="0"/>
            <w:r>
              <w:rPr>
                <w:noProof/>
              </w:rPr>
              <w:drawing>
                <wp:inline distT="0" distB="0" distL="0" distR="0" wp14:anchorId="34C6C589" wp14:editId="4894E0A0">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80E04" w14:paraId="66752356" w14:textId="77777777" w:rsidTr="004E2A5D">
        <w:trPr>
          <w:cantSplit/>
          <w:trHeight w:val="20"/>
        </w:trPr>
        <w:tc>
          <w:tcPr>
            <w:tcW w:w="6619" w:type="dxa"/>
            <w:gridSpan w:val="2"/>
            <w:tcBorders>
              <w:bottom w:val="single" w:sz="12" w:space="0" w:color="auto"/>
            </w:tcBorders>
          </w:tcPr>
          <w:p w14:paraId="658889AA" w14:textId="77777777" w:rsidR="00280E04" w:rsidRPr="00960962" w:rsidRDefault="00280E04" w:rsidP="008A1E64">
            <w:pPr>
              <w:spacing w:before="0" w:line="120" w:lineRule="auto"/>
              <w:rPr>
                <w:rtl/>
                <w:lang w:bidi="ar-EG"/>
              </w:rPr>
            </w:pPr>
          </w:p>
        </w:tc>
        <w:tc>
          <w:tcPr>
            <w:tcW w:w="3053" w:type="dxa"/>
            <w:tcBorders>
              <w:bottom w:val="single" w:sz="12" w:space="0" w:color="auto"/>
            </w:tcBorders>
          </w:tcPr>
          <w:p w14:paraId="42162423" w14:textId="77777777" w:rsidR="00280E04" w:rsidRPr="00A9645C" w:rsidRDefault="00280E04" w:rsidP="008A1E64">
            <w:pPr>
              <w:spacing w:before="0" w:line="120" w:lineRule="auto"/>
              <w:rPr>
                <w:lang w:bidi="ar-EG"/>
              </w:rPr>
            </w:pPr>
          </w:p>
        </w:tc>
      </w:tr>
      <w:tr w:rsidR="00280E04" w14:paraId="2CA5816F" w14:textId="77777777" w:rsidTr="004E2A5D">
        <w:trPr>
          <w:cantSplit/>
          <w:trHeight w:val="20"/>
        </w:trPr>
        <w:tc>
          <w:tcPr>
            <w:tcW w:w="6619" w:type="dxa"/>
            <w:gridSpan w:val="2"/>
            <w:tcBorders>
              <w:top w:val="single" w:sz="12" w:space="0" w:color="auto"/>
            </w:tcBorders>
          </w:tcPr>
          <w:p w14:paraId="36D9852A" w14:textId="77777777" w:rsidR="00280E04" w:rsidRPr="00BD6EF3" w:rsidRDefault="00280E04" w:rsidP="004E2A5D">
            <w:pPr>
              <w:pStyle w:val="Adress"/>
              <w:framePr w:hSpace="0" w:wrap="auto" w:xAlign="left" w:yAlign="inline"/>
              <w:spacing w:before="0" w:after="0"/>
              <w:rPr>
                <w:rtl/>
              </w:rPr>
            </w:pPr>
          </w:p>
        </w:tc>
        <w:tc>
          <w:tcPr>
            <w:tcW w:w="3053" w:type="dxa"/>
            <w:tcBorders>
              <w:top w:val="single" w:sz="12" w:space="0" w:color="auto"/>
            </w:tcBorders>
          </w:tcPr>
          <w:p w14:paraId="51D67DD0" w14:textId="77777777" w:rsidR="00280E04" w:rsidRPr="00BD6EF3" w:rsidRDefault="00280E04" w:rsidP="004E2A5D">
            <w:pPr>
              <w:pStyle w:val="Adress"/>
              <w:framePr w:hSpace="0" w:wrap="auto" w:xAlign="left" w:yAlign="inline"/>
              <w:spacing w:before="0" w:after="0"/>
            </w:pPr>
          </w:p>
        </w:tc>
      </w:tr>
      <w:tr w:rsidR="00A809E8" w14:paraId="0C456F1E" w14:textId="77777777" w:rsidTr="004E2A5D">
        <w:trPr>
          <w:cantSplit/>
        </w:trPr>
        <w:tc>
          <w:tcPr>
            <w:tcW w:w="6619" w:type="dxa"/>
            <w:gridSpan w:val="2"/>
          </w:tcPr>
          <w:p w14:paraId="6463563D" w14:textId="77777777" w:rsidR="00A809E8" w:rsidRPr="0012545F" w:rsidRDefault="005C3880" w:rsidP="005C3880">
            <w:pPr>
              <w:pStyle w:val="Adress"/>
              <w:framePr w:hSpace="0" w:wrap="auto" w:xAlign="left" w:yAlign="inline"/>
              <w:spacing w:before="40" w:after="40"/>
              <w:rPr>
                <w:rtl/>
              </w:rPr>
            </w:pPr>
            <w:r w:rsidRPr="005C3880">
              <w:rPr>
                <w:rtl/>
              </w:rPr>
              <w:t>الجلسة العامة</w:t>
            </w:r>
          </w:p>
        </w:tc>
        <w:tc>
          <w:tcPr>
            <w:tcW w:w="3053" w:type="dxa"/>
            <w:vAlign w:val="center"/>
          </w:tcPr>
          <w:p w14:paraId="51F056F9" w14:textId="77777777" w:rsidR="00A809E8" w:rsidRPr="000D7697" w:rsidRDefault="00F16E9E" w:rsidP="00F16E9E">
            <w:pPr>
              <w:pStyle w:val="Adress"/>
              <w:framePr w:hSpace="0" w:wrap="auto" w:xAlign="left" w:yAlign="inline"/>
              <w:spacing w:before="40" w:after="40"/>
              <w:rPr>
                <w:rtl/>
              </w:rPr>
            </w:pPr>
            <w:r w:rsidRPr="00F16E9E">
              <w:rPr>
                <w:rtl/>
              </w:rPr>
              <w:t xml:space="preserve">الإضافة </w:t>
            </w:r>
            <w:r w:rsidRPr="00F16E9E">
              <w:t>14</w:t>
            </w:r>
            <w:r w:rsidRPr="00F16E9E">
              <w:br/>
            </w:r>
            <w:r w:rsidRPr="00F16E9E">
              <w:rPr>
                <w:rtl/>
              </w:rPr>
              <w:t>للوثيقة</w:t>
            </w:r>
            <w:r w:rsidRPr="00F16E9E">
              <w:rPr>
                <w:rFonts w:hint="cs"/>
                <w:rtl/>
                <w:lang w:bidi="ar-SA"/>
              </w:rPr>
              <w:t xml:space="preserve"> </w:t>
            </w:r>
            <w:r w:rsidRPr="00F16E9E">
              <w:t>39-A</w:t>
            </w:r>
          </w:p>
        </w:tc>
      </w:tr>
      <w:tr w:rsidR="005C3880" w14:paraId="7FC82788" w14:textId="77777777" w:rsidTr="004E2A5D">
        <w:trPr>
          <w:cantSplit/>
        </w:trPr>
        <w:tc>
          <w:tcPr>
            <w:tcW w:w="6619" w:type="dxa"/>
            <w:gridSpan w:val="2"/>
          </w:tcPr>
          <w:p w14:paraId="5EC49183" w14:textId="77777777" w:rsidR="005C3880" w:rsidRPr="0012545F" w:rsidRDefault="005C3880" w:rsidP="005C3880">
            <w:pPr>
              <w:pStyle w:val="Adress"/>
              <w:framePr w:hSpace="0" w:wrap="auto" w:xAlign="left" w:yAlign="inline"/>
              <w:spacing w:before="40" w:after="40"/>
              <w:rPr>
                <w:rtl/>
              </w:rPr>
            </w:pPr>
          </w:p>
        </w:tc>
        <w:tc>
          <w:tcPr>
            <w:tcW w:w="3053" w:type="dxa"/>
            <w:vAlign w:val="center"/>
          </w:tcPr>
          <w:p w14:paraId="360F3099" w14:textId="77777777" w:rsidR="005C3880" w:rsidRPr="000D7697" w:rsidRDefault="005C3880" w:rsidP="005C3880">
            <w:pPr>
              <w:pStyle w:val="Adress"/>
              <w:framePr w:hSpace="0" w:wrap="auto" w:xAlign="left" w:yAlign="inline"/>
              <w:spacing w:before="40" w:after="40"/>
              <w:rPr>
                <w:rtl/>
              </w:rPr>
            </w:pPr>
            <w:r w:rsidRPr="000D7697">
              <w:rPr>
                <w:rFonts w:eastAsia="SimSun"/>
              </w:rPr>
              <w:t>24</w:t>
            </w:r>
            <w:r w:rsidRPr="000D7697">
              <w:rPr>
                <w:rFonts w:eastAsia="SimSun"/>
                <w:rtl/>
              </w:rPr>
              <w:t xml:space="preserve"> مارس </w:t>
            </w:r>
            <w:r w:rsidRPr="000D7697">
              <w:rPr>
                <w:rFonts w:eastAsia="SimSun"/>
              </w:rPr>
              <w:t>2021</w:t>
            </w:r>
          </w:p>
        </w:tc>
      </w:tr>
      <w:tr w:rsidR="005C3880" w14:paraId="433A0577" w14:textId="77777777" w:rsidTr="004E2A5D">
        <w:trPr>
          <w:cantSplit/>
        </w:trPr>
        <w:tc>
          <w:tcPr>
            <w:tcW w:w="6619" w:type="dxa"/>
            <w:gridSpan w:val="2"/>
          </w:tcPr>
          <w:p w14:paraId="3CA19753" w14:textId="77777777" w:rsidR="005C3880" w:rsidRPr="004E2A5D" w:rsidRDefault="005C3880" w:rsidP="005C3880">
            <w:pPr>
              <w:pStyle w:val="Adress"/>
              <w:framePr w:hSpace="0" w:wrap="auto" w:xAlign="left" w:yAlign="inline"/>
              <w:spacing w:before="40" w:after="40"/>
              <w:rPr>
                <w:rtl/>
              </w:rPr>
            </w:pPr>
          </w:p>
        </w:tc>
        <w:tc>
          <w:tcPr>
            <w:tcW w:w="3053" w:type="dxa"/>
            <w:vAlign w:val="center"/>
          </w:tcPr>
          <w:p w14:paraId="1E371C01" w14:textId="77777777" w:rsidR="005C3880" w:rsidRPr="000D7697" w:rsidRDefault="005C3880" w:rsidP="005C3880">
            <w:pPr>
              <w:pStyle w:val="Adress"/>
              <w:framePr w:hSpace="0" w:wrap="auto" w:xAlign="left" w:yAlign="inline"/>
              <w:spacing w:before="40" w:after="40"/>
              <w:rPr>
                <w:rFonts w:eastAsia="SimSun"/>
              </w:rPr>
            </w:pPr>
            <w:r w:rsidRPr="000D7697">
              <w:rPr>
                <w:rtl/>
              </w:rPr>
              <w:t>الأصل: بالإنكليزية</w:t>
            </w:r>
          </w:p>
        </w:tc>
      </w:tr>
      <w:tr w:rsidR="005C3880" w14:paraId="5BBBCC3A" w14:textId="77777777" w:rsidTr="004E2A5D">
        <w:trPr>
          <w:cantSplit/>
        </w:trPr>
        <w:tc>
          <w:tcPr>
            <w:tcW w:w="9672" w:type="dxa"/>
            <w:gridSpan w:val="3"/>
          </w:tcPr>
          <w:p w14:paraId="23F07B6D" w14:textId="77777777" w:rsidR="005C3880" w:rsidRDefault="005C3880" w:rsidP="005C3880">
            <w:pPr>
              <w:pStyle w:val="Adress"/>
              <w:framePr w:hSpace="0" w:wrap="auto" w:xAlign="left" w:yAlign="inline"/>
              <w:rPr>
                <w:rFonts w:eastAsia="SimSun"/>
              </w:rPr>
            </w:pPr>
          </w:p>
        </w:tc>
      </w:tr>
      <w:tr w:rsidR="005C3880" w14:paraId="08485F62" w14:textId="77777777" w:rsidTr="004E2A5D">
        <w:trPr>
          <w:cantSplit/>
        </w:trPr>
        <w:tc>
          <w:tcPr>
            <w:tcW w:w="9672" w:type="dxa"/>
            <w:gridSpan w:val="3"/>
          </w:tcPr>
          <w:p w14:paraId="4E96BFC9" w14:textId="77777777" w:rsidR="005C3880" w:rsidRPr="00E621A3" w:rsidRDefault="005C3880" w:rsidP="005C3880">
            <w:pPr>
              <w:pStyle w:val="Source"/>
              <w:rPr>
                <w:rtl/>
              </w:rPr>
            </w:pPr>
            <w:r w:rsidRPr="005C3880">
              <w:rPr>
                <w:rtl/>
              </w:rPr>
              <w:t>الدول الأعضاء في لجنة البلدان الأمريكية للاتصالات (CITEL)</w:t>
            </w:r>
          </w:p>
        </w:tc>
      </w:tr>
      <w:tr w:rsidR="005C3880" w14:paraId="56878978" w14:textId="77777777" w:rsidTr="004E2A5D">
        <w:trPr>
          <w:cantSplit/>
        </w:trPr>
        <w:tc>
          <w:tcPr>
            <w:tcW w:w="9672" w:type="dxa"/>
            <w:gridSpan w:val="3"/>
          </w:tcPr>
          <w:p w14:paraId="5B7FF284" w14:textId="699764CF" w:rsidR="005C3880" w:rsidRPr="00BD6EF3" w:rsidRDefault="000D7697" w:rsidP="000D7697">
            <w:pPr>
              <w:pStyle w:val="Title1"/>
              <w:spacing w:before="240"/>
            </w:pPr>
            <w:r w:rsidRPr="000D7697">
              <w:rPr>
                <w:rtl/>
                <w:lang w:bidi="ar-SA"/>
              </w:rPr>
              <w:t>إلغاء</w:t>
            </w:r>
            <w:r w:rsidR="00987A9C">
              <w:rPr>
                <w:rFonts w:hint="cs"/>
                <w:rtl/>
                <w:lang w:bidi="ar-SA"/>
              </w:rPr>
              <w:t xml:space="preserve"> مقترح للقرار</w:t>
            </w:r>
            <w:r w:rsidRPr="000D7697">
              <w:rPr>
                <w:rtl/>
                <w:lang w:bidi="ar-SA"/>
              </w:rPr>
              <w:t xml:space="preserve"> </w:t>
            </w:r>
            <w:r w:rsidRPr="000D7697">
              <w:t>32</w:t>
            </w:r>
          </w:p>
        </w:tc>
      </w:tr>
      <w:tr w:rsidR="005C3880" w14:paraId="41645BA6" w14:textId="77777777" w:rsidTr="004E2A5D">
        <w:trPr>
          <w:cantSplit/>
        </w:trPr>
        <w:tc>
          <w:tcPr>
            <w:tcW w:w="9672" w:type="dxa"/>
            <w:gridSpan w:val="3"/>
          </w:tcPr>
          <w:p w14:paraId="28B1A06E" w14:textId="77777777" w:rsidR="005C3880" w:rsidRPr="00BD6EF3" w:rsidRDefault="005C3880" w:rsidP="005C3880">
            <w:pPr>
              <w:pStyle w:val="Title2"/>
              <w:rPr>
                <w:rtl/>
              </w:rPr>
            </w:pPr>
          </w:p>
        </w:tc>
      </w:tr>
      <w:tr w:rsidR="005C3880" w14:paraId="67A207FD" w14:textId="77777777" w:rsidTr="00FC7FD8">
        <w:trPr>
          <w:cantSplit/>
        </w:trPr>
        <w:tc>
          <w:tcPr>
            <w:tcW w:w="9672" w:type="dxa"/>
            <w:gridSpan w:val="3"/>
          </w:tcPr>
          <w:p w14:paraId="421CD848" w14:textId="77777777" w:rsidR="005C3880" w:rsidRDefault="005C3880" w:rsidP="005C3880">
            <w:pPr>
              <w:rPr>
                <w:rtl/>
              </w:rPr>
            </w:pPr>
          </w:p>
        </w:tc>
      </w:tr>
      <w:tr w:rsidR="005C3880" w14:paraId="18CC5972" w14:textId="77777777" w:rsidTr="00FC7FD8">
        <w:trPr>
          <w:cantSplit/>
        </w:trPr>
        <w:tc>
          <w:tcPr>
            <w:tcW w:w="1348" w:type="dxa"/>
          </w:tcPr>
          <w:p w14:paraId="4E1959D7" w14:textId="77777777" w:rsidR="005C3880" w:rsidRPr="004E2A5D" w:rsidRDefault="005C3880" w:rsidP="005C3880">
            <w:pPr>
              <w:spacing w:after="120"/>
              <w:rPr>
                <w:b/>
                <w:bCs/>
                <w:rtl/>
              </w:rPr>
            </w:pPr>
            <w:r w:rsidRPr="004E2A5D">
              <w:rPr>
                <w:rFonts w:hint="cs"/>
                <w:b/>
                <w:bCs/>
                <w:rtl/>
              </w:rPr>
              <w:t>ملخص:</w:t>
            </w:r>
          </w:p>
        </w:tc>
        <w:tc>
          <w:tcPr>
            <w:tcW w:w="8324" w:type="dxa"/>
            <w:gridSpan w:val="2"/>
          </w:tcPr>
          <w:p w14:paraId="3D985A48" w14:textId="77777777" w:rsidR="005C3880" w:rsidRDefault="000D7697" w:rsidP="000D7697">
            <w:pPr>
              <w:rPr>
                <w:rtl/>
              </w:rPr>
            </w:pPr>
            <w:r>
              <w:rPr>
                <w:rFonts w:hint="cs"/>
                <w:color w:val="000000"/>
                <w:rtl/>
              </w:rPr>
              <w:t xml:space="preserve">تقترح </w:t>
            </w:r>
            <w:r>
              <w:rPr>
                <w:rtl/>
              </w:rPr>
              <w:t xml:space="preserve">الدول الأعضاء في لجنة البلدان الأمريكية للاتصالات </w:t>
            </w:r>
            <w:r>
              <w:rPr>
                <w:rFonts w:hint="cs"/>
                <w:color w:val="000000"/>
                <w:rtl/>
              </w:rPr>
              <w:t xml:space="preserve">إلغاء القرار </w:t>
            </w:r>
            <w:r>
              <w:rPr>
                <w:color w:val="000000"/>
              </w:rPr>
              <w:t>32</w:t>
            </w:r>
            <w:r>
              <w:rPr>
                <w:rFonts w:hint="cs"/>
                <w:color w:val="000000"/>
                <w:rtl/>
              </w:rPr>
              <w:t>، حيث إن وسائل العمل الإلكترونية أصبحت جزءاً عادياً من أساليب العمل بوجهٍ عام. واستفاضت نصوص أخرى في موضوع استعمال هذه الوسائل، وتخضع الوسائل والأدوات الإلكترونية لتحسينات مستمرة نتيجةً للمقترحات المقدمة من الأعضاء والمشاركين ومبادرات مكتب تقييس</w:t>
            </w:r>
            <w:r>
              <w:rPr>
                <w:rFonts w:hint="eastAsia"/>
                <w:color w:val="000000"/>
                <w:rtl/>
              </w:rPr>
              <w:t> </w:t>
            </w:r>
            <w:r>
              <w:rPr>
                <w:rFonts w:hint="cs"/>
                <w:color w:val="000000"/>
                <w:rtl/>
              </w:rPr>
              <w:t>الاتصالات.</w:t>
            </w:r>
          </w:p>
        </w:tc>
      </w:tr>
    </w:tbl>
    <w:p w14:paraId="7290235B" w14:textId="77777777" w:rsidR="000D7697" w:rsidRDefault="000D7697" w:rsidP="000D7697">
      <w:pPr>
        <w:pStyle w:val="Headingb"/>
        <w:rPr>
          <w:rtl/>
          <w:lang w:bidi="ar-SA"/>
        </w:rPr>
      </w:pPr>
      <w:r>
        <w:rPr>
          <w:rFonts w:hint="cs"/>
          <w:rtl/>
        </w:rPr>
        <w:t>مقدمة</w:t>
      </w:r>
    </w:p>
    <w:p w14:paraId="1EA95C10" w14:textId="1A57029A" w:rsidR="000D7697" w:rsidRDefault="000D7697" w:rsidP="00B80044">
      <w:pPr>
        <w:rPr>
          <w:color w:val="000000"/>
          <w:rtl/>
          <w:lang w:val="en-GB" w:bidi="ar-EG"/>
        </w:rPr>
      </w:pPr>
      <w:r>
        <w:rPr>
          <w:rFonts w:hint="cs"/>
          <w:color w:val="000000"/>
          <w:rtl/>
        </w:rPr>
        <w:t xml:space="preserve">اعتُمد القرار </w:t>
      </w:r>
      <w:r>
        <w:rPr>
          <w:color w:val="000000"/>
          <w:lang w:val="en-GB"/>
        </w:rPr>
        <w:t>32</w:t>
      </w:r>
      <w:r>
        <w:rPr>
          <w:rFonts w:hint="cs"/>
          <w:color w:val="000000"/>
          <w:rtl/>
          <w:lang w:val="en-GB" w:bidi="ar-EG"/>
        </w:rPr>
        <w:t xml:space="preserve"> (المراجَع في الحمامات، 2016) </w:t>
      </w:r>
      <w:r w:rsidR="00572D8B">
        <w:rPr>
          <w:rFonts w:hint="cs"/>
          <w:color w:val="000000"/>
          <w:rtl/>
          <w:lang w:val="en-GB" w:bidi="ar-EG"/>
        </w:rPr>
        <w:t>في الجمعية</w:t>
      </w:r>
      <w:r>
        <w:rPr>
          <w:rFonts w:hint="cs"/>
          <w:color w:val="000000"/>
          <w:rtl/>
          <w:lang w:val="en-GB" w:bidi="ar-EG"/>
        </w:rPr>
        <w:t xml:space="preserve"> العالمية لتقييس الاتصالات لعام </w:t>
      </w:r>
      <w:r>
        <w:rPr>
          <w:color w:val="000000"/>
          <w:lang w:val="en-GB" w:bidi="ar-EG"/>
        </w:rPr>
        <w:t>2000</w:t>
      </w:r>
      <w:r>
        <w:rPr>
          <w:rFonts w:hint="cs"/>
          <w:color w:val="000000"/>
          <w:rtl/>
          <w:lang w:val="en-GB" w:bidi="ar-EG"/>
        </w:rPr>
        <w:t>. ووقت اعتماد هذا القرار للمرة الأولى، كانت وسائل عمل قطاع تقييس الاتصالات تستند في الأساس إلى استعمال الورق وكانت هناك حاجة إلى تسريع تطور القطاع كي يستعمل وسائل العمل الإلكترونية. وفي المرحلة الأولى من تنفيذ هذا القرار، كان لدى الفريق الاستشاري لتقييس الاتصالات فرقة عمل انصبّ تركيزها بشكل كامل على أساليب العمل الإلكترونية</w:t>
      </w:r>
      <w:r w:rsidR="00B80044">
        <w:rPr>
          <w:color w:val="000000"/>
          <w:lang w:val="en-GB" w:bidi="ar-EG"/>
        </w:rPr>
        <w:t>.</w:t>
      </w:r>
      <w:r>
        <w:rPr>
          <w:rFonts w:hint="cs"/>
          <w:color w:val="000000"/>
          <w:rtl/>
          <w:lang w:val="en-GB" w:bidi="ar-EG"/>
        </w:rPr>
        <w:t xml:space="preserve"> </w:t>
      </w:r>
      <w:r w:rsidRPr="000D7697">
        <w:rPr>
          <w:rFonts w:hint="cs"/>
          <w:color w:val="000000"/>
          <w:rtl/>
          <w:lang w:val="en-GB" w:bidi="ar-EG"/>
        </w:rPr>
        <w:t>وفي الوقت الراهن، تُعقد أغلبية اجتماعات قطاع تقييس الاتصالات بدون أي استعمال للورق.</w:t>
      </w:r>
      <w:r>
        <w:rPr>
          <w:rFonts w:hint="cs"/>
          <w:color w:val="000000"/>
          <w:rtl/>
          <w:lang w:val="en-GB" w:bidi="ar-EG"/>
        </w:rPr>
        <w:t xml:space="preserve"> </w:t>
      </w:r>
      <w:r w:rsidRPr="000D7697">
        <w:rPr>
          <w:rFonts w:hint="cs"/>
          <w:color w:val="000000"/>
          <w:rtl/>
          <w:lang w:val="en-GB" w:bidi="ar-EG"/>
        </w:rPr>
        <w:t xml:space="preserve">وتشهد القدرات الإلكترونية تحسينات مستمرة نتيجةً لمبادرات مكتب تقييس الاتصالات والتعليقات المقدمة من لجان الدراسات ومقترحات الأعضاء. ولم يعد هناك أي اختلاف بين أعمال الفريق الاستشاري لتقييس الاتصالات المنجزة بوسائل العمل الإلكترونية </w:t>
      </w:r>
      <w:r w:rsidR="00183250">
        <w:rPr>
          <w:rFonts w:hint="cs"/>
          <w:color w:val="000000"/>
          <w:rtl/>
          <w:lang w:val="en-GB" w:bidi="ar-EG"/>
        </w:rPr>
        <w:t>و</w:t>
      </w:r>
      <w:r w:rsidR="00183250" w:rsidRPr="000D7697">
        <w:rPr>
          <w:rFonts w:hint="cs"/>
          <w:color w:val="000000"/>
          <w:rtl/>
          <w:lang w:val="en-GB" w:bidi="ar-EG"/>
        </w:rPr>
        <w:t>أساليب</w:t>
      </w:r>
      <w:r w:rsidRPr="000D7697">
        <w:rPr>
          <w:rFonts w:hint="cs"/>
          <w:color w:val="000000"/>
          <w:rtl/>
          <w:lang w:val="en-GB" w:bidi="ar-EG"/>
        </w:rPr>
        <w:t xml:space="preserve"> العمل بوجهٍ عام.</w:t>
      </w:r>
    </w:p>
    <w:p w14:paraId="623D8AFB" w14:textId="602FC0E2" w:rsidR="000D7697" w:rsidRDefault="005F0B8B" w:rsidP="000D7697">
      <w:pPr>
        <w:rPr>
          <w:color w:val="000000"/>
          <w:rtl/>
          <w:lang w:val="en-GB" w:bidi="ar-EG"/>
        </w:rPr>
      </w:pPr>
      <w:r>
        <w:rPr>
          <w:rFonts w:hint="cs"/>
          <w:color w:val="000000"/>
          <w:rtl/>
          <w:lang w:val="en-GB" w:bidi="ar-EG"/>
        </w:rPr>
        <w:t>وتُدمَج</w:t>
      </w:r>
      <w:r w:rsidR="000D7697">
        <w:rPr>
          <w:rFonts w:hint="cs"/>
          <w:color w:val="000000"/>
          <w:rtl/>
          <w:lang w:val="en-GB" w:bidi="ar-EG"/>
        </w:rPr>
        <w:t xml:space="preserve"> وسائل العمل الإلكترونية بشكلٍ كامل في الإجراءات الحالية:</w:t>
      </w:r>
    </w:p>
    <w:p w14:paraId="6E09AFB9" w14:textId="79AEF7E7" w:rsidR="000D7697" w:rsidRDefault="00ED0361" w:rsidP="000D7697">
      <w:pPr>
        <w:pStyle w:val="enumlev1"/>
        <w:rPr>
          <w:rtl/>
          <w:lang w:val="en-GB" w:bidi="ar-EG"/>
        </w:rPr>
      </w:pPr>
      <w:bookmarkStart w:id="1" w:name="_Hlk79594473"/>
      <w:r>
        <w:rPr>
          <w:rFonts w:hint="cs"/>
          <w:lang w:val="en-GB" w:bidi="ar-EG"/>
        </w:rPr>
        <w:sym w:font="Symbol" w:char="F0B7"/>
      </w:r>
      <w:r w:rsidR="000D7697">
        <w:rPr>
          <w:rtl/>
          <w:lang w:val="en-GB" w:bidi="ar-EG"/>
        </w:rPr>
        <w:tab/>
      </w:r>
      <w:bookmarkEnd w:id="1"/>
      <w:r w:rsidR="000D7697">
        <w:rPr>
          <w:rFonts w:hint="cs"/>
          <w:rtl/>
          <w:lang w:val="en-GB" w:bidi="ar-EG"/>
        </w:rPr>
        <w:t>تحدد القواعد العامة حالياً أن تتاح المقترحات المقدمة إلى الاجتماعات إلكترونياً؛</w:t>
      </w:r>
    </w:p>
    <w:p w14:paraId="04A745AB" w14:textId="08ED468B" w:rsidR="000D7697" w:rsidRDefault="000D7697" w:rsidP="00B80044">
      <w:pPr>
        <w:pStyle w:val="enumlev1"/>
        <w:rPr>
          <w:rtl/>
          <w:lang w:val="en-GB" w:bidi="ar-EG"/>
        </w:rPr>
      </w:pPr>
      <w:r>
        <w:rPr>
          <w:rFonts w:hint="cs"/>
          <w:lang w:val="en-GB" w:bidi="ar-EG"/>
        </w:rPr>
        <w:sym w:font="Symbol" w:char="F0B7"/>
      </w:r>
      <w:r>
        <w:rPr>
          <w:rtl/>
          <w:lang w:val="en-GB" w:bidi="ar-EG"/>
        </w:rPr>
        <w:tab/>
      </w:r>
      <w:r>
        <w:rPr>
          <w:rFonts w:hint="cs"/>
          <w:rtl/>
          <w:lang w:val="en-GB" w:bidi="ar-EG"/>
        </w:rPr>
        <w:t>و</w:t>
      </w:r>
      <w:r w:rsidR="00F37CF4">
        <w:rPr>
          <w:rFonts w:hint="cs"/>
          <w:rtl/>
          <w:lang w:val="en-GB" w:bidi="ar-EG"/>
        </w:rPr>
        <w:t>ت</w:t>
      </w:r>
      <w:r>
        <w:rPr>
          <w:rFonts w:hint="cs"/>
          <w:rtl/>
          <w:lang w:val="en-GB" w:bidi="ar-EG"/>
        </w:rPr>
        <w:t>نص</w:t>
      </w:r>
      <w:r w:rsidR="00F37CF4">
        <w:rPr>
          <w:rFonts w:hint="cs"/>
          <w:rtl/>
          <w:lang w:val="en-GB" w:bidi="ar-EG"/>
        </w:rPr>
        <w:t xml:space="preserve"> الفقرة 21 من</w:t>
      </w:r>
      <w:r>
        <w:rPr>
          <w:rFonts w:hint="cs"/>
          <w:rtl/>
          <w:lang w:val="en-GB" w:bidi="ar-EG"/>
        </w:rPr>
        <w:t xml:space="preserve"> الملحق </w:t>
      </w:r>
      <w:r w:rsidR="00B80044">
        <w:rPr>
          <w:rFonts w:hint="cs"/>
          <w:rtl/>
          <w:lang w:val="en-GB" w:bidi="ar-EG"/>
        </w:rPr>
        <w:t>2</w:t>
      </w:r>
      <w:r>
        <w:rPr>
          <w:rFonts w:hint="cs"/>
          <w:rtl/>
          <w:lang w:val="en-GB" w:bidi="ar-EG"/>
        </w:rPr>
        <w:t xml:space="preserve"> بالمقرر </w:t>
      </w:r>
      <w:r>
        <w:rPr>
          <w:lang w:val="en-GB" w:bidi="ar-EG"/>
        </w:rPr>
        <w:t>5</w:t>
      </w:r>
      <w:r>
        <w:rPr>
          <w:rFonts w:hint="cs"/>
          <w:rtl/>
          <w:lang w:val="en-GB" w:bidi="ar-EG"/>
        </w:rPr>
        <w:t xml:space="preserve"> (المراجَع في دبي، 2018) لمؤتمر المندوبين المفوضين على الاستعانة بوسائل العمل الإلكترونية كطريقة لتحقيق وفورات في التكلفة؛</w:t>
      </w:r>
    </w:p>
    <w:p w14:paraId="20287588" w14:textId="77777777" w:rsidR="000D7697" w:rsidRPr="005669A3" w:rsidRDefault="000D7697" w:rsidP="000D7697">
      <w:pPr>
        <w:pStyle w:val="enumlev1"/>
        <w:rPr>
          <w:spacing w:val="-4"/>
          <w:rtl/>
          <w:lang w:val="en-GB" w:bidi="ar-EG"/>
        </w:rPr>
      </w:pPr>
      <w:r>
        <w:rPr>
          <w:rFonts w:hint="cs"/>
          <w:lang w:val="en-GB" w:bidi="ar-EG"/>
        </w:rPr>
        <w:sym w:font="Symbol" w:char="F0B7"/>
      </w:r>
      <w:r>
        <w:rPr>
          <w:rtl/>
          <w:lang w:val="en-GB" w:bidi="ar-EG"/>
        </w:rPr>
        <w:tab/>
      </w:r>
      <w:r w:rsidRPr="005669A3">
        <w:rPr>
          <w:rFonts w:hint="cs"/>
          <w:spacing w:val="-4"/>
          <w:rtl/>
          <w:lang w:val="en-GB" w:bidi="ar-EG"/>
        </w:rPr>
        <w:t xml:space="preserve">وينص المقرر </w:t>
      </w:r>
      <w:r w:rsidRPr="005669A3">
        <w:rPr>
          <w:spacing w:val="-4"/>
          <w:lang w:val="en-GB" w:bidi="ar-EG"/>
        </w:rPr>
        <w:t>12</w:t>
      </w:r>
      <w:r w:rsidRPr="005669A3">
        <w:rPr>
          <w:rFonts w:hint="cs"/>
          <w:spacing w:val="-4"/>
          <w:rtl/>
          <w:lang w:val="en-GB" w:bidi="ar-EG"/>
        </w:rPr>
        <w:t xml:space="preserve"> (المراجَع في بوسان، 2014) لمؤتمر المندوبين المفوضين تحديداً على توزيع منشورات الاتحاد إلكترونياً؛</w:t>
      </w:r>
    </w:p>
    <w:p w14:paraId="4B31B607" w14:textId="77777777" w:rsidR="000D7697" w:rsidRDefault="000D7697" w:rsidP="000D7697">
      <w:pPr>
        <w:pStyle w:val="enumlev1"/>
        <w:rPr>
          <w:rtl/>
          <w:lang w:val="en-GB" w:bidi="ar-EG"/>
        </w:rPr>
      </w:pPr>
      <w:r>
        <w:rPr>
          <w:rFonts w:hint="cs"/>
          <w:lang w:val="en-GB" w:bidi="ar-EG"/>
        </w:rPr>
        <w:sym w:font="Symbol" w:char="F0B7"/>
      </w:r>
      <w:r>
        <w:rPr>
          <w:rtl/>
          <w:lang w:val="en-GB" w:bidi="ar-EG"/>
        </w:rPr>
        <w:tab/>
      </w:r>
      <w:r>
        <w:rPr>
          <w:rFonts w:hint="cs"/>
          <w:rtl/>
          <w:lang w:val="en-GB" w:bidi="ar-EG"/>
        </w:rPr>
        <w:t>وينص القرار</w:t>
      </w:r>
      <w:r>
        <w:rPr>
          <w:rFonts w:hint="eastAsia"/>
          <w:rtl/>
          <w:lang w:val="en-GB" w:bidi="ar-EG"/>
        </w:rPr>
        <w:t> </w:t>
      </w:r>
      <w:r>
        <w:rPr>
          <w:lang w:val="en-GB" w:bidi="ar-EG"/>
        </w:rPr>
        <w:t>66</w:t>
      </w:r>
      <w:r>
        <w:rPr>
          <w:rFonts w:hint="cs"/>
          <w:rtl/>
          <w:lang w:val="en-GB" w:bidi="ar-EG"/>
        </w:rPr>
        <w:t xml:space="preserve"> (المراجَع في </w:t>
      </w:r>
      <w:r w:rsidRPr="000D7697">
        <w:rPr>
          <w:rtl/>
          <w:lang w:val="en-GB"/>
        </w:rPr>
        <w:t>غوادالاخارا</w:t>
      </w:r>
      <w:r>
        <w:rPr>
          <w:rFonts w:hint="cs"/>
          <w:rtl/>
          <w:lang w:val="en-GB" w:bidi="ar-EG"/>
        </w:rPr>
        <w:t>، 2010) لمؤتمر المندوبين المفوضين على المعالجة الإلكترونية لوثائق ومنشورات الاتحاد؛</w:t>
      </w:r>
    </w:p>
    <w:p w14:paraId="4D20F94B" w14:textId="77777777" w:rsidR="000D7697" w:rsidRDefault="000D7697" w:rsidP="000D7697">
      <w:pPr>
        <w:pStyle w:val="enumlev1"/>
        <w:rPr>
          <w:rtl/>
          <w:lang w:val="en-GB" w:bidi="ar-EG"/>
        </w:rPr>
      </w:pPr>
      <w:r>
        <w:rPr>
          <w:rFonts w:hint="cs"/>
          <w:lang w:val="en-GB" w:bidi="ar-EG"/>
        </w:rPr>
        <w:sym w:font="Symbol" w:char="F0B7"/>
      </w:r>
      <w:r>
        <w:rPr>
          <w:rtl/>
          <w:lang w:val="en-GB" w:bidi="ar-EG"/>
        </w:rPr>
        <w:tab/>
      </w:r>
      <w:r>
        <w:rPr>
          <w:rFonts w:hint="cs"/>
          <w:rtl/>
          <w:lang w:val="en-GB" w:bidi="ar-EG"/>
        </w:rPr>
        <w:t xml:space="preserve">كما ينص القرار </w:t>
      </w:r>
      <w:r>
        <w:rPr>
          <w:lang w:val="en-GB" w:bidi="ar-EG"/>
        </w:rPr>
        <w:t>123</w:t>
      </w:r>
      <w:r>
        <w:rPr>
          <w:rFonts w:hint="cs"/>
          <w:rtl/>
          <w:lang w:val="en-GB" w:bidi="ar-EG"/>
        </w:rPr>
        <w:t xml:space="preserve"> (المراجَع في بوسان، 2014) لمؤتمر المندوبين المفوضين على الاستعانة باستعمال وسائل العمل الإلكترونية لتسهيل مشاركة البلدان النامية؛</w:t>
      </w:r>
    </w:p>
    <w:p w14:paraId="0508886B" w14:textId="60330D21" w:rsidR="000D7697" w:rsidRDefault="000D7697" w:rsidP="00B80044">
      <w:pPr>
        <w:pStyle w:val="enumlev1"/>
        <w:rPr>
          <w:rtl/>
          <w:lang w:val="en-GB" w:bidi="ar-EG"/>
        </w:rPr>
      </w:pPr>
      <w:r>
        <w:rPr>
          <w:rFonts w:hint="cs"/>
          <w:lang w:val="en-GB" w:bidi="ar-EG"/>
        </w:rPr>
        <w:sym w:font="Symbol" w:char="F0B7"/>
      </w:r>
      <w:r>
        <w:rPr>
          <w:rtl/>
          <w:lang w:val="en-GB" w:bidi="ar-EG"/>
        </w:rPr>
        <w:tab/>
      </w:r>
      <w:r>
        <w:rPr>
          <w:rFonts w:hint="cs"/>
          <w:rtl/>
          <w:lang w:val="en-GB" w:bidi="ar-EG"/>
        </w:rPr>
        <w:t>وأخيراً، ينص القرار</w:t>
      </w:r>
      <w:r>
        <w:rPr>
          <w:rFonts w:hint="eastAsia"/>
          <w:rtl/>
          <w:lang w:val="en-GB" w:bidi="ar-EG"/>
        </w:rPr>
        <w:t> </w:t>
      </w:r>
      <w:r w:rsidR="00B80044">
        <w:rPr>
          <w:rFonts w:hint="cs"/>
          <w:rtl/>
          <w:lang w:val="en-GB" w:bidi="ar-EG"/>
        </w:rPr>
        <w:t>167</w:t>
      </w:r>
      <w:r>
        <w:rPr>
          <w:rFonts w:hint="cs"/>
          <w:rtl/>
          <w:lang w:val="en-GB" w:bidi="ar-EG"/>
        </w:rPr>
        <w:t xml:space="preserve"> (المراجَع في بوسان، 2014) لمؤتمر المندوبين المفوضين على الاستعانة بقدرات الاجتماعات</w:t>
      </w:r>
      <w:r>
        <w:rPr>
          <w:rFonts w:hint="eastAsia"/>
          <w:rtl/>
          <w:lang w:val="en-GB" w:bidi="ar-EG"/>
        </w:rPr>
        <w:t> </w:t>
      </w:r>
      <w:r>
        <w:rPr>
          <w:rFonts w:hint="cs"/>
          <w:rtl/>
          <w:lang w:val="en-GB" w:bidi="ar-EG"/>
        </w:rPr>
        <w:t>الإلكترونية.</w:t>
      </w:r>
    </w:p>
    <w:p w14:paraId="33662001" w14:textId="67931C47" w:rsidR="000D7697" w:rsidRDefault="00AE7516" w:rsidP="00EF14DA">
      <w:pPr>
        <w:rPr>
          <w:rtl/>
          <w:lang w:val="en-GB" w:bidi="ar-EG"/>
        </w:rPr>
      </w:pPr>
      <w:r>
        <w:rPr>
          <w:rFonts w:hint="cs"/>
          <w:rtl/>
          <w:lang w:val="en-GB" w:bidi="ar-EG"/>
        </w:rPr>
        <w:lastRenderedPageBreak/>
        <w:t>وعلاوة</w:t>
      </w:r>
      <w:r w:rsidR="00E835AD">
        <w:rPr>
          <w:rFonts w:hint="cs"/>
          <w:rtl/>
          <w:lang w:val="en-GB" w:bidi="ar-EG"/>
        </w:rPr>
        <w:t>ً</w:t>
      </w:r>
      <w:r>
        <w:rPr>
          <w:rFonts w:hint="cs"/>
          <w:rtl/>
          <w:lang w:val="en-GB" w:bidi="ar-EG"/>
        </w:rPr>
        <w:t xml:space="preserve"> على ذلك، يتيح مكتب تقييس</w:t>
      </w:r>
      <w:r w:rsidR="000D7697">
        <w:rPr>
          <w:rFonts w:hint="cs"/>
          <w:rtl/>
          <w:lang w:val="en-GB" w:bidi="ar-EG"/>
        </w:rPr>
        <w:t xml:space="preserve"> </w:t>
      </w:r>
      <w:r>
        <w:rPr>
          <w:rFonts w:hint="cs"/>
          <w:rtl/>
          <w:lang w:val="en-GB" w:bidi="ar-EG"/>
        </w:rPr>
        <w:t>الاتصالات</w:t>
      </w:r>
      <w:r w:rsidR="00F37CF4">
        <w:rPr>
          <w:rFonts w:hint="cs"/>
          <w:rtl/>
          <w:lang w:val="en-GB" w:bidi="ar-EG"/>
        </w:rPr>
        <w:t xml:space="preserve"> </w:t>
      </w:r>
      <w:r w:rsidR="00C76340">
        <w:rPr>
          <w:rFonts w:hint="cs"/>
          <w:rtl/>
          <w:lang w:val="en-GB" w:bidi="ar-EG"/>
        </w:rPr>
        <w:t>حالياً</w:t>
      </w:r>
      <w:r>
        <w:rPr>
          <w:rFonts w:hint="cs"/>
          <w:rtl/>
          <w:lang w:val="en-GB" w:bidi="ar-EG"/>
        </w:rPr>
        <w:t xml:space="preserve"> فرصة متساوية للنفاذ للاجتماعات الإلكترونية للاتحاد باستخدام مرافق موثوقة للمشاركة عن ب</w:t>
      </w:r>
      <w:r w:rsidR="00CC5A6A">
        <w:rPr>
          <w:rFonts w:hint="cs"/>
          <w:rtl/>
          <w:lang w:val="en-GB" w:bidi="ar-EG"/>
        </w:rPr>
        <w:t>ُ</w:t>
      </w:r>
      <w:r>
        <w:rPr>
          <w:rFonts w:hint="cs"/>
          <w:rtl/>
          <w:lang w:val="en-GB" w:bidi="ar-EG"/>
        </w:rPr>
        <w:t>عد</w:t>
      </w:r>
      <w:r w:rsidR="00CC5A6A">
        <w:rPr>
          <w:rFonts w:hint="cs"/>
          <w:rtl/>
          <w:lang w:val="en-GB" w:bidi="ar-EG"/>
        </w:rPr>
        <w:t xml:space="preserve">. </w:t>
      </w:r>
      <w:r w:rsidR="00EF14DA">
        <w:rPr>
          <w:rFonts w:hint="cs"/>
          <w:rtl/>
          <w:lang w:val="en-GB" w:bidi="ar-EG"/>
        </w:rPr>
        <w:t>و</w:t>
      </w:r>
      <w:r>
        <w:rPr>
          <w:rFonts w:hint="cs"/>
          <w:rtl/>
          <w:lang w:val="en-GB" w:bidi="ar-EG"/>
        </w:rPr>
        <w:t xml:space="preserve">أحرز مكتب تقييس الاتصالات </w:t>
      </w:r>
      <w:r w:rsidR="00B42644">
        <w:rPr>
          <w:rFonts w:hint="cs"/>
          <w:rtl/>
          <w:lang w:val="en-GB" w:bidi="ar-EG"/>
        </w:rPr>
        <w:t>أيضاً</w:t>
      </w:r>
      <w:r w:rsidR="00EF14DA">
        <w:rPr>
          <w:rFonts w:hint="cs"/>
          <w:rtl/>
          <w:lang w:val="en-GB" w:bidi="ar-EG"/>
        </w:rPr>
        <w:t xml:space="preserve"> </w:t>
      </w:r>
      <w:r>
        <w:rPr>
          <w:rFonts w:hint="cs"/>
          <w:rtl/>
          <w:lang w:val="en-GB" w:bidi="ar-EG"/>
        </w:rPr>
        <w:t>تحسينات ملموسة</w:t>
      </w:r>
      <w:r w:rsidR="00C0053F">
        <w:rPr>
          <w:rFonts w:hint="cs"/>
          <w:rtl/>
          <w:lang w:val="en-GB" w:bidi="ar-EG"/>
        </w:rPr>
        <w:t xml:space="preserve"> في أدوات الاجتماعات ال</w:t>
      </w:r>
      <w:r w:rsidR="00C0053F">
        <w:rPr>
          <w:rFonts w:hint="cs"/>
          <w:rtl/>
        </w:rPr>
        <w:t xml:space="preserve">افتراضية المتاحة لاستخدام أعضاء قطاع تقييس الاتصالات </w:t>
      </w:r>
      <w:r w:rsidR="00C0053F">
        <w:rPr>
          <w:rFonts w:hint="cs"/>
          <w:rtl/>
          <w:lang w:val="en-GB" w:bidi="ar-EG"/>
        </w:rPr>
        <w:t xml:space="preserve">(مثل الترجمة </w:t>
      </w:r>
      <w:r w:rsidR="00FE40B0">
        <w:rPr>
          <w:rFonts w:hint="cs"/>
          <w:rtl/>
          <w:lang w:val="en-GB" w:bidi="ar-EG"/>
        </w:rPr>
        <w:t>الشفوية</w:t>
      </w:r>
      <w:r w:rsidR="00EF14DA">
        <w:rPr>
          <w:rFonts w:hint="cs"/>
          <w:rtl/>
          <w:lang w:val="en-GB" w:bidi="ar-EG"/>
        </w:rPr>
        <w:t>) ونشر</w:t>
      </w:r>
      <w:r w:rsidR="00EF14DA">
        <w:rPr>
          <w:rFonts w:hint="cs"/>
          <w:rtl/>
        </w:rPr>
        <w:t xml:space="preserve"> </w:t>
      </w:r>
      <w:r w:rsidR="00EF14DA">
        <w:rPr>
          <w:rFonts w:hint="cs"/>
          <w:rtl/>
          <w:lang w:val="en-GB" w:bidi="ar-EG"/>
        </w:rPr>
        <w:t>مبادئ</w:t>
      </w:r>
      <w:r w:rsidR="00C0053F">
        <w:rPr>
          <w:rFonts w:hint="cs"/>
          <w:rtl/>
        </w:rPr>
        <w:t xml:space="preserve"> توجيهية للمشاركة في الاجتماعات الافتراضية. وإضافة</w:t>
      </w:r>
      <w:r w:rsidR="008574BD">
        <w:rPr>
          <w:rFonts w:hint="cs"/>
          <w:rtl/>
        </w:rPr>
        <w:t>ً</w:t>
      </w:r>
      <w:r w:rsidR="00C0053F">
        <w:rPr>
          <w:rFonts w:hint="cs"/>
          <w:rtl/>
        </w:rPr>
        <w:t xml:space="preserve"> إلى </w:t>
      </w:r>
      <w:r w:rsidR="009D55C4">
        <w:rPr>
          <w:rFonts w:hint="cs"/>
          <w:rtl/>
        </w:rPr>
        <w:t>ذلك،</w:t>
      </w:r>
      <w:r w:rsidR="00C0053F">
        <w:rPr>
          <w:rFonts w:hint="cs"/>
          <w:rtl/>
        </w:rPr>
        <w:t xml:space="preserve"> </w:t>
      </w:r>
      <w:r w:rsidR="009D55C4">
        <w:rPr>
          <w:rFonts w:hint="cs"/>
          <w:rtl/>
          <w:lang w:val="fr-CA"/>
        </w:rPr>
        <w:t xml:space="preserve">فإن الإضافة 4 للسلسلة </w:t>
      </w:r>
      <w:r w:rsidR="009D55C4">
        <w:t>A</w:t>
      </w:r>
      <w:r w:rsidR="00756207">
        <w:rPr>
          <w:rFonts w:hint="cs"/>
          <w:rtl/>
        </w:rPr>
        <w:t xml:space="preserve"> </w:t>
      </w:r>
      <w:r w:rsidR="009D55C4">
        <w:rPr>
          <w:rFonts w:hint="cs"/>
          <w:rtl/>
        </w:rPr>
        <w:t>لقطاع تقييس الاتصالات توفر مبادئ توجيهية للمشاركة عن ب</w:t>
      </w:r>
      <w:r w:rsidR="0093241B">
        <w:rPr>
          <w:rFonts w:hint="cs"/>
          <w:rtl/>
        </w:rPr>
        <w:t>ُ</w:t>
      </w:r>
      <w:r w:rsidR="009D55C4">
        <w:rPr>
          <w:rFonts w:hint="cs"/>
          <w:rtl/>
        </w:rPr>
        <w:t xml:space="preserve">عد. </w:t>
      </w:r>
      <w:r w:rsidR="000D7697" w:rsidRPr="000D7697">
        <w:rPr>
          <w:rFonts w:hint="cs"/>
          <w:rtl/>
          <w:lang w:val="en-GB" w:bidi="ar-EG"/>
        </w:rPr>
        <w:t>و</w:t>
      </w:r>
      <w:r w:rsidR="00F37CF4">
        <w:rPr>
          <w:rFonts w:hint="cs"/>
          <w:rtl/>
          <w:lang w:val="en-GB" w:bidi="ar-EG"/>
        </w:rPr>
        <w:t xml:space="preserve">بالتالي، </w:t>
      </w:r>
      <w:r w:rsidR="000D7697" w:rsidRPr="000D7697">
        <w:rPr>
          <w:rFonts w:hint="cs"/>
          <w:rtl/>
          <w:lang w:val="en-GB" w:bidi="ar-EG"/>
        </w:rPr>
        <w:t>لم تعد هناك أي</w:t>
      </w:r>
      <w:r w:rsidR="00EF4DC6">
        <w:rPr>
          <w:rFonts w:hint="cs"/>
          <w:rtl/>
          <w:lang w:val="en-GB" w:bidi="ar-EG"/>
        </w:rPr>
        <w:t xml:space="preserve"> </w:t>
      </w:r>
      <w:r w:rsidR="000D7697" w:rsidRPr="000D7697">
        <w:rPr>
          <w:rFonts w:hint="cs"/>
          <w:rtl/>
          <w:lang w:val="en-GB" w:bidi="ar-EG"/>
        </w:rPr>
        <w:t xml:space="preserve">حاجة </w:t>
      </w:r>
      <w:r w:rsidR="00F37CF4">
        <w:rPr>
          <w:rFonts w:hint="cs"/>
          <w:rtl/>
          <w:lang w:val="en-GB" w:bidi="ar-EG"/>
        </w:rPr>
        <w:t>لإبداء</w:t>
      </w:r>
      <w:r w:rsidR="00F37CF4" w:rsidRPr="000D7697">
        <w:rPr>
          <w:rFonts w:hint="cs"/>
          <w:rtl/>
          <w:lang w:val="en-GB" w:bidi="ar-EG"/>
        </w:rPr>
        <w:t xml:space="preserve"> </w:t>
      </w:r>
      <w:r w:rsidR="000D7697" w:rsidRPr="000D7697">
        <w:rPr>
          <w:rFonts w:hint="cs"/>
          <w:rtl/>
          <w:lang w:val="en-GB" w:bidi="ar-EG"/>
        </w:rPr>
        <w:t>اهتمام خاص بوسائل العمل الإلكترونية، لأنها ببساطة أصبحت مجموعة فرعية من أساليب العمل بوجهٍ</w:t>
      </w:r>
      <w:r w:rsidR="000D7697" w:rsidRPr="000D7697">
        <w:rPr>
          <w:rFonts w:hint="eastAsia"/>
          <w:rtl/>
          <w:lang w:val="en-GB" w:bidi="ar-EG"/>
        </w:rPr>
        <w:t> </w:t>
      </w:r>
      <w:r w:rsidR="000D7697" w:rsidRPr="000D7697">
        <w:rPr>
          <w:rFonts w:hint="cs"/>
          <w:rtl/>
          <w:lang w:val="en-GB" w:bidi="ar-EG"/>
        </w:rPr>
        <w:t>عام.</w:t>
      </w:r>
    </w:p>
    <w:p w14:paraId="083491A8" w14:textId="39A54A56" w:rsidR="009D55C4" w:rsidRDefault="009D55C4" w:rsidP="000D7697">
      <w:pPr>
        <w:rPr>
          <w:rtl/>
          <w:lang w:val="en-GB" w:bidi="ar-EG"/>
        </w:rPr>
      </w:pPr>
      <w:r>
        <w:rPr>
          <w:rFonts w:hint="cs"/>
          <w:rtl/>
          <w:lang w:val="en-GB" w:bidi="ar-EG"/>
        </w:rPr>
        <w:t xml:space="preserve">وبما أن القرار 167 يتناول الجوانب العامة للقرار 32 للجمعية العالمية لتقييس الاتصالات </w:t>
      </w:r>
      <w:r w:rsidR="00F37CF4">
        <w:rPr>
          <w:rFonts w:hint="cs"/>
          <w:rtl/>
          <w:lang w:val="en-GB" w:bidi="ar-EG"/>
        </w:rPr>
        <w:t xml:space="preserve">وأقر </w:t>
      </w:r>
      <w:r>
        <w:rPr>
          <w:rFonts w:hint="cs"/>
          <w:rtl/>
          <w:lang w:val="en-GB" w:bidi="ar-EG"/>
        </w:rPr>
        <w:t>مؤتمر المندوبين</w:t>
      </w:r>
      <w:r w:rsidR="00F37CF4">
        <w:rPr>
          <w:rFonts w:hint="cs"/>
          <w:rtl/>
          <w:lang w:val="en-GB" w:bidi="ar-EG"/>
        </w:rPr>
        <w:t xml:space="preserve"> المفوضين لعام</w:t>
      </w:r>
      <w:r w:rsidR="00737053">
        <w:rPr>
          <w:rFonts w:hint="eastAsia"/>
          <w:rtl/>
          <w:lang w:val="en-GB" w:bidi="ar-EG"/>
        </w:rPr>
        <w:t> </w:t>
      </w:r>
      <w:r>
        <w:rPr>
          <w:rFonts w:hint="cs"/>
          <w:rtl/>
          <w:lang w:val="en-GB" w:bidi="ar-EG"/>
        </w:rPr>
        <w:t xml:space="preserve">2018 بالحاجة </w:t>
      </w:r>
      <w:r w:rsidR="00F37CF4">
        <w:rPr>
          <w:rFonts w:hint="cs"/>
          <w:rtl/>
          <w:lang w:val="en-GB" w:bidi="ar-EG"/>
        </w:rPr>
        <w:t>إ</w:t>
      </w:r>
      <w:r>
        <w:rPr>
          <w:rFonts w:hint="cs"/>
          <w:rtl/>
          <w:lang w:val="en-GB" w:bidi="ar-EG"/>
        </w:rPr>
        <w:t>ل</w:t>
      </w:r>
      <w:r w:rsidR="00F37CF4">
        <w:rPr>
          <w:rFonts w:hint="cs"/>
          <w:rtl/>
          <w:lang w:val="en-GB" w:bidi="ar-EG"/>
        </w:rPr>
        <w:t xml:space="preserve">ى </w:t>
      </w:r>
      <w:r>
        <w:rPr>
          <w:rFonts w:hint="cs"/>
          <w:rtl/>
          <w:lang w:val="en-GB" w:bidi="ar-EG"/>
        </w:rPr>
        <w:t xml:space="preserve">تبسيط القرارات، </w:t>
      </w:r>
      <w:r w:rsidR="00F37CF4">
        <w:rPr>
          <w:rFonts w:hint="cs"/>
          <w:rtl/>
          <w:lang w:val="en-GB" w:bidi="ar-EG"/>
        </w:rPr>
        <w:t xml:space="preserve">يُقترح إلغاء </w:t>
      </w:r>
      <w:r>
        <w:rPr>
          <w:rFonts w:hint="cs"/>
          <w:rtl/>
          <w:lang w:val="en-GB" w:bidi="ar-EG"/>
        </w:rPr>
        <w:t>القرار 32.</w:t>
      </w:r>
    </w:p>
    <w:p w14:paraId="794FCE17" w14:textId="77777777" w:rsidR="002F3E46" w:rsidRDefault="002F3E46" w:rsidP="00523D37">
      <w:pPr>
        <w:rPr>
          <w:lang w:bidi="ar-EG"/>
        </w:rPr>
      </w:pPr>
    </w:p>
    <w:p w14:paraId="05A24DA8" w14:textId="77777777" w:rsidR="0012545F" w:rsidRDefault="0012545F">
      <w:pPr>
        <w:bidi w:val="0"/>
        <w:spacing w:before="0" w:line="240" w:lineRule="auto"/>
        <w:jc w:val="left"/>
      </w:pPr>
      <w:r>
        <w:rPr>
          <w:rtl/>
        </w:rPr>
        <w:br w:type="page"/>
      </w:r>
    </w:p>
    <w:p w14:paraId="3E89DEE7" w14:textId="77777777" w:rsidR="0077090D" w:rsidRDefault="00002866">
      <w:pPr>
        <w:pStyle w:val="Proposal"/>
      </w:pPr>
      <w:r>
        <w:lastRenderedPageBreak/>
        <w:t>SUP</w:t>
      </w:r>
      <w:r>
        <w:tab/>
        <w:t>IAP/39A14/1</w:t>
      </w:r>
    </w:p>
    <w:p w14:paraId="4A391896" w14:textId="77777777" w:rsidR="0043659F" w:rsidRPr="00410333" w:rsidRDefault="00002866" w:rsidP="00B17728">
      <w:pPr>
        <w:pStyle w:val="ResNo"/>
        <w:rPr>
          <w:rtl/>
          <w:lang w:bidi="ar-SY"/>
        </w:rPr>
      </w:pPr>
      <w:bookmarkStart w:id="2" w:name="_Toc349551563"/>
      <w:bookmarkStart w:id="3" w:name="RES_32"/>
      <w:r w:rsidRPr="00410333">
        <w:rPr>
          <w:rFonts w:hint="cs"/>
          <w:rtl/>
        </w:rPr>
        <w:t>ال</w:t>
      </w:r>
      <w:r w:rsidRPr="00410333">
        <w:rPr>
          <w:rtl/>
        </w:rPr>
        <w:t>ق</w:t>
      </w:r>
      <w:r w:rsidRPr="00410333">
        <w:rPr>
          <w:rFonts w:hint="cs"/>
          <w:rtl/>
        </w:rPr>
        <w:t>ـ</w:t>
      </w:r>
      <w:r w:rsidRPr="00410333">
        <w:rPr>
          <w:rtl/>
        </w:rPr>
        <w:t xml:space="preserve">رار </w:t>
      </w:r>
      <w:r w:rsidRPr="00410333">
        <w:rPr>
          <w:rStyle w:val="href"/>
        </w:rPr>
        <w:t>32</w:t>
      </w:r>
      <w:r w:rsidRPr="00410333">
        <w:rPr>
          <w:rFonts w:hint="cs"/>
          <w:rtl/>
        </w:rPr>
        <w:t xml:space="preserve"> (المراجَع في الحمامات، </w:t>
      </w:r>
      <w:r w:rsidRPr="00410333">
        <w:t>2016</w:t>
      </w:r>
      <w:r w:rsidRPr="00410333">
        <w:rPr>
          <w:rFonts w:hint="cs"/>
          <w:rtl/>
        </w:rPr>
        <w:t>)</w:t>
      </w:r>
      <w:bookmarkEnd w:id="2"/>
    </w:p>
    <w:p w14:paraId="0B711613" w14:textId="77777777" w:rsidR="0043659F" w:rsidRPr="00410333" w:rsidRDefault="00002866" w:rsidP="00B17728">
      <w:pPr>
        <w:pStyle w:val="Restitle"/>
        <w:rPr>
          <w:rtl/>
        </w:rPr>
      </w:pPr>
      <w:bookmarkStart w:id="4" w:name="_Toc349551564"/>
      <w:bookmarkEnd w:id="3"/>
      <w:r w:rsidRPr="00410333">
        <w:rPr>
          <w:rFonts w:hint="cs"/>
          <w:rtl/>
        </w:rPr>
        <w:t>تعزيز وسائل العمل الإلكترونية في أعمال</w:t>
      </w:r>
      <w:r w:rsidRPr="00410333">
        <w:rPr>
          <w:rtl/>
        </w:rPr>
        <w:br/>
      </w:r>
      <w:r w:rsidRPr="00410333">
        <w:rPr>
          <w:rFonts w:hint="cs"/>
          <w:rtl/>
        </w:rPr>
        <w:t>قطاع تقييس الاتصالات للاتحاد الدولي للاتصالات</w:t>
      </w:r>
      <w:bookmarkEnd w:id="4"/>
    </w:p>
    <w:p w14:paraId="0C6899BE" w14:textId="77777777" w:rsidR="0043659F" w:rsidRPr="00410333" w:rsidRDefault="00002866" w:rsidP="00B17728">
      <w:pPr>
        <w:pStyle w:val="Resref"/>
        <w:rPr>
          <w:iCs w:val="0"/>
          <w:rtl/>
        </w:rPr>
      </w:pPr>
      <w:r w:rsidRPr="00410333">
        <w:rPr>
          <w:rFonts w:hint="cs"/>
          <w:rtl/>
          <w:lang w:val="es-ES"/>
        </w:rPr>
        <w:t xml:space="preserve">(مونتريال، </w:t>
      </w:r>
      <w:r w:rsidRPr="00410333">
        <w:rPr>
          <w:lang w:val="es-ES"/>
        </w:rPr>
        <w:t>2000</w:t>
      </w:r>
      <w:r w:rsidRPr="00410333">
        <w:rPr>
          <w:rFonts w:hint="cs"/>
          <w:rtl/>
          <w:lang w:val="es-ES"/>
        </w:rPr>
        <w:t xml:space="preserve">؛ </w:t>
      </w:r>
      <w:proofErr w:type="spellStart"/>
      <w:r w:rsidRPr="00410333">
        <w:rPr>
          <w:rFonts w:hint="cs"/>
          <w:rtl/>
          <w:lang w:val="es-ES"/>
        </w:rPr>
        <w:t>فلوريانوبوليس</w:t>
      </w:r>
      <w:proofErr w:type="spellEnd"/>
      <w:r w:rsidRPr="00410333">
        <w:rPr>
          <w:rFonts w:hint="cs"/>
          <w:rtl/>
          <w:lang w:val="es-ES"/>
        </w:rPr>
        <w:t xml:space="preserve">، </w:t>
      </w:r>
      <w:r w:rsidRPr="00410333">
        <w:t>2004</w:t>
      </w:r>
      <w:r w:rsidRPr="00410333">
        <w:rPr>
          <w:rFonts w:hint="cs"/>
          <w:rtl/>
        </w:rPr>
        <w:t xml:space="preserve">؛ جوهانسبرغ، </w:t>
      </w:r>
      <w:r w:rsidRPr="00410333">
        <w:t>2008</w:t>
      </w:r>
      <w:r w:rsidRPr="00410333">
        <w:rPr>
          <w:rFonts w:hint="cs"/>
          <w:rtl/>
        </w:rPr>
        <w:t xml:space="preserve">؛ دبي، </w:t>
      </w:r>
      <w:r w:rsidRPr="00410333">
        <w:t>2012</w:t>
      </w:r>
      <w:r w:rsidRPr="00410333">
        <w:rPr>
          <w:rFonts w:hint="cs"/>
          <w:rtl/>
          <w:lang w:bidi="ar-EG"/>
        </w:rPr>
        <w:t xml:space="preserve">؛ الحمامات، </w:t>
      </w:r>
      <w:r w:rsidRPr="00410333">
        <w:rPr>
          <w:lang w:bidi="ar-EG"/>
        </w:rPr>
        <w:t>2016</w:t>
      </w:r>
      <w:r w:rsidRPr="00410333">
        <w:rPr>
          <w:rFonts w:hint="cs"/>
          <w:rtl/>
          <w:lang w:val="es-ES"/>
        </w:rPr>
        <w:t>)</w:t>
      </w:r>
    </w:p>
    <w:p w14:paraId="23DEC266" w14:textId="41D2AC5F" w:rsidR="0043659F" w:rsidRPr="00410333" w:rsidRDefault="00F37CF4" w:rsidP="00B17728">
      <w:pPr>
        <w:pStyle w:val="Normalaftertitle"/>
        <w:spacing w:before="360"/>
        <w:rPr>
          <w:rtl/>
          <w:lang w:bidi="ar-EG"/>
        </w:rPr>
      </w:pPr>
      <w:r w:rsidRPr="00D91220">
        <w:rPr>
          <w:rFonts w:hint="eastAsia"/>
          <w:rtl/>
        </w:rPr>
        <w:t>إن</w:t>
      </w:r>
      <w:r>
        <w:rPr>
          <w:rFonts w:hint="cs"/>
          <w:rtl/>
        </w:rPr>
        <w:t xml:space="preserve"> </w:t>
      </w:r>
      <w:r w:rsidR="00002866" w:rsidRPr="00410333">
        <w:rPr>
          <w:rFonts w:hint="cs"/>
          <w:rtl/>
        </w:rPr>
        <w:t>الجمعية العالمية لتقييس الاتصالات (</w:t>
      </w:r>
      <w:r w:rsidR="00002866" w:rsidRPr="00410333">
        <w:rPr>
          <w:rFonts w:hint="cs"/>
          <w:rtl/>
          <w:lang w:bidi="ar-SY"/>
        </w:rPr>
        <w:t>ال</w:t>
      </w:r>
      <w:r w:rsidR="00002866" w:rsidRPr="00410333">
        <w:rPr>
          <w:rFonts w:hint="cs"/>
          <w:rtl/>
          <w:lang w:val="es-ES" w:bidi="ar-EG"/>
        </w:rPr>
        <w:t xml:space="preserve">حمامات، </w:t>
      </w:r>
      <w:r w:rsidR="00002866" w:rsidRPr="00410333">
        <w:rPr>
          <w:lang w:bidi="ar-EG"/>
        </w:rPr>
        <w:t>2016</w:t>
      </w:r>
      <w:r w:rsidR="00002866" w:rsidRPr="00410333">
        <w:rPr>
          <w:rFonts w:hint="cs"/>
          <w:rtl/>
        </w:rPr>
        <w:t>)،</w:t>
      </w:r>
    </w:p>
    <w:p w14:paraId="33D49B9F" w14:textId="7A7CD77E" w:rsidR="0077090D" w:rsidRDefault="00002866" w:rsidP="00D24DDF">
      <w:pPr>
        <w:pStyle w:val="Reasons"/>
      </w:pPr>
      <w:r>
        <w:rPr>
          <w:rtl/>
        </w:rPr>
        <w:t>الأسباب:</w:t>
      </w:r>
      <w:r>
        <w:tab/>
      </w:r>
      <w:r w:rsidR="00D24DDF">
        <w:rPr>
          <w:rFonts w:hint="cs"/>
          <w:b w:val="0"/>
          <w:bCs w:val="0"/>
          <w:rtl/>
        </w:rPr>
        <w:t xml:space="preserve"> </w:t>
      </w:r>
      <w:r w:rsidR="005A69D2">
        <w:rPr>
          <w:rFonts w:hint="cs"/>
          <w:b w:val="0"/>
          <w:bCs w:val="0"/>
          <w:rtl/>
        </w:rPr>
        <w:t>إلغاء القرار 32 للأسباب السابق ذكرها في المقدمة.</w:t>
      </w:r>
    </w:p>
    <w:p w14:paraId="7E62F10F" w14:textId="77777777" w:rsidR="000D7697" w:rsidRPr="000D7697" w:rsidRDefault="000D7697" w:rsidP="000D7697">
      <w:pPr>
        <w:spacing w:before="600"/>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0D7697" w:rsidRPr="000D7697">
      <w:headerReference w:type="even" r:id="rId13"/>
      <w:headerReference w:type="default" r:id="rId14"/>
      <w:footerReference w:type="default" r:id="rId15"/>
      <w:pgSz w:w="11907"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F50B" w14:textId="77777777" w:rsidR="00102E68" w:rsidRDefault="00102E68" w:rsidP="002919E1">
      <w:r>
        <w:separator/>
      </w:r>
    </w:p>
    <w:p w14:paraId="7F206D93" w14:textId="77777777" w:rsidR="00102E68" w:rsidRDefault="00102E68" w:rsidP="002919E1"/>
    <w:p w14:paraId="1A18A4A7" w14:textId="77777777" w:rsidR="00102E68" w:rsidRDefault="00102E68" w:rsidP="002919E1"/>
    <w:p w14:paraId="3E716512" w14:textId="77777777" w:rsidR="00102E68" w:rsidRDefault="00102E68"/>
  </w:endnote>
  <w:endnote w:type="continuationSeparator" w:id="0">
    <w:p w14:paraId="5A41CB77" w14:textId="77777777" w:rsidR="00102E68" w:rsidRDefault="00102E68" w:rsidP="002919E1">
      <w:r>
        <w:continuationSeparator/>
      </w:r>
    </w:p>
    <w:p w14:paraId="2927885F" w14:textId="77777777" w:rsidR="00102E68" w:rsidRDefault="00102E68" w:rsidP="002919E1"/>
    <w:p w14:paraId="6CA76CD1" w14:textId="77777777" w:rsidR="00102E68" w:rsidRDefault="00102E68" w:rsidP="002919E1"/>
    <w:p w14:paraId="6E0672A0" w14:textId="77777777" w:rsidR="00102E68" w:rsidRDefault="00102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8630" w14:textId="4E6324FF" w:rsidR="00FC7FD8" w:rsidRPr="00FC7FD8" w:rsidRDefault="00FC7FD8" w:rsidP="00FC7FD8">
    <w:pPr>
      <w:tabs>
        <w:tab w:val="center" w:pos="5103"/>
        <w:tab w:val="right" w:pos="9639"/>
      </w:tabs>
      <w:bidi w:val="0"/>
      <w:spacing w:line="240" w:lineRule="auto"/>
      <w:jc w:val="left"/>
      <w:rPr>
        <w:sz w:val="16"/>
        <w:szCs w:val="16"/>
        <w:lang w:val="fr-FR"/>
      </w:rPr>
    </w:pPr>
    <w:r w:rsidRPr="00FC7FD8">
      <w:rPr>
        <w:sz w:val="16"/>
        <w:szCs w:val="16"/>
        <w:lang w:val="fr-FR"/>
      </w:rPr>
      <w:fldChar w:fldCharType="begin"/>
    </w:r>
    <w:r w:rsidRPr="00FC7FD8">
      <w:rPr>
        <w:sz w:val="16"/>
        <w:szCs w:val="16"/>
        <w:lang w:val="fr-FR"/>
      </w:rPr>
      <w:instrText xml:space="preserve"> FILENAME \p \* MERGEFORMAT </w:instrText>
    </w:r>
    <w:r w:rsidRPr="00FC7FD8">
      <w:rPr>
        <w:sz w:val="16"/>
        <w:szCs w:val="16"/>
        <w:lang w:val="fr-FR"/>
      </w:rPr>
      <w:fldChar w:fldCharType="separate"/>
    </w:r>
    <w:r w:rsidR="00797A35">
      <w:rPr>
        <w:noProof/>
        <w:sz w:val="16"/>
        <w:szCs w:val="16"/>
        <w:lang w:val="fr-FR"/>
      </w:rPr>
      <w:t>P:\ARA\ITU-T\CONF-T\WTSA20\000\039ADD14A.docx</w:t>
    </w:r>
    <w:r w:rsidRPr="00FC7FD8">
      <w:rPr>
        <w:sz w:val="16"/>
        <w:szCs w:val="16"/>
      </w:rPr>
      <w:fldChar w:fldCharType="end"/>
    </w:r>
    <w:proofErr w:type="gramStart"/>
    <w:r w:rsidRPr="00002866">
      <w:rPr>
        <w:sz w:val="16"/>
        <w:szCs w:val="16"/>
        <w:lang w:val="fr-CH"/>
      </w:rPr>
      <w:t xml:space="preserve">  </w:t>
    </w:r>
    <w:r w:rsidRPr="00FC7FD8">
      <w:rPr>
        <w:sz w:val="16"/>
        <w:szCs w:val="16"/>
        <w:lang w:val="fr-FR"/>
      </w:rPr>
      <w:t xml:space="preserve"> (</w:t>
    </w:r>
    <w:proofErr w:type="gramEnd"/>
    <w:r w:rsidR="00002866">
      <w:rPr>
        <w:sz w:val="16"/>
        <w:szCs w:val="16"/>
        <w:lang w:val="fr-FR"/>
      </w:rPr>
      <w:t>493244</w:t>
    </w:r>
    <w:r w:rsidRPr="00FC7FD8">
      <w:rPr>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B833" w14:textId="77777777" w:rsidR="00102E68" w:rsidRDefault="00102E68" w:rsidP="002919E1">
      <w:r>
        <w:t>___________________</w:t>
      </w:r>
    </w:p>
  </w:footnote>
  <w:footnote w:type="continuationSeparator" w:id="0">
    <w:p w14:paraId="7D63503C" w14:textId="77777777" w:rsidR="00102E68" w:rsidRDefault="00102E68" w:rsidP="002919E1">
      <w:r>
        <w:continuationSeparator/>
      </w:r>
    </w:p>
    <w:p w14:paraId="660A168A" w14:textId="77777777" w:rsidR="00102E68" w:rsidRDefault="00102E68" w:rsidP="002919E1"/>
    <w:p w14:paraId="2C0F9901" w14:textId="77777777" w:rsidR="00102E68" w:rsidRDefault="00102E68" w:rsidP="002919E1"/>
    <w:p w14:paraId="6D6D9247" w14:textId="77777777" w:rsidR="00102E68" w:rsidRDefault="00102E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A4A1" w14:textId="77777777" w:rsidR="00281F5F" w:rsidRDefault="00281F5F" w:rsidP="002919E1"/>
  <w:p w14:paraId="5BA2852F" w14:textId="77777777" w:rsidR="00281F5F" w:rsidRDefault="00281F5F" w:rsidP="002919E1"/>
  <w:p w14:paraId="04DC4DF8"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6A81" w14:textId="52320349" w:rsidR="00281F5F" w:rsidRPr="0088384B" w:rsidRDefault="00281F5F" w:rsidP="000D7697">
    <w:pPr>
      <w:spacing w:after="240"/>
      <w:jc w:val="center"/>
      <w:rPr>
        <w:rStyle w:val="PageNumber"/>
        <w:rtl/>
        <w:lang w:bidi="ar-EG"/>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183250">
      <w:rPr>
        <w:rStyle w:val="PageNumber"/>
        <w:noProof/>
        <w:rtl/>
      </w:rPr>
      <w:t>2</w:t>
    </w:r>
    <w:r w:rsidRPr="0088384B">
      <w:rPr>
        <w:rStyle w:val="PageNumber"/>
      </w:rPr>
      <w:fldChar w:fldCharType="end"/>
    </w:r>
    <w:r>
      <w:rPr>
        <w:rStyle w:val="PageNumber"/>
        <w:rtl/>
      </w:rPr>
      <w:br/>
    </w:r>
    <w:r w:rsidR="000D7697">
      <w:rPr>
        <w:rStyle w:val="PageNumber"/>
        <w:rFonts w:hint="cs"/>
        <w:rtl/>
      </w:rPr>
      <w:t>الإضافة 14</w:t>
    </w:r>
    <w:r w:rsidR="000D7697">
      <w:rPr>
        <w:rStyle w:val="PageNumber"/>
        <w:rtl/>
      </w:rPr>
      <w:br/>
    </w:r>
    <w:r w:rsidR="000D7697">
      <w:rPr>
        <w:rStyle w:val="PageNumber"/>
        <w:rFonts w:hint="cs"/>
        <w:rtl/>
      </w:rPr>
      <w:t xml:space="preserve">للوثيقة </w:t>
    </w:r>
    <w:r w:rsidR="000D7697">
      <w:rPr>
        <w:rStyle w:val="PageNumber"/>
      </w:rPr>
      <w:t>39-A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281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E05C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5A50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7AB9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C4D9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AC"/>
    <w:rsid w:val="00002866"/>
    <w:rsid w:val="00011021"/>
    <w:rsid w:val="000114EC"/>
    <w:rsid w:val="00011F8C"/>
    <w:rsid w:val="00022B74"/>
    <w:rsid w:val="0002327C"/>
    <w:rsid w:val="00034B65"/>
    <w:rsid w:val="00040C94"/>
    <w:rsid w:val="000425FC"/>
    <w:rsid w:val="00044D43"/>
    <w:rsid w:val="00051907"/>
    <w:rsid w:val="00064E04"/>
    <w:rsid w:val="00075A3F"/>
    <w:rsid w:val="000A1B16"/>
    <w:rsid w:val="000B3896"/>
    <w:rsid w:val="000B5404"/>
    <w:rsid w:val="000D1708"/>
    <w:rsid w:val="000D7697"/>
    <w:rsid w:val="000E2AFC"/>
    <w:rsid w:val="000E6D30"/>
    <w:rsid w:val="000F05F5"/>
    <w:rsid w:val="000F518F"/>
    <w:rsid w:val="0010081C"/>
    <w:rsid w:val="001013E3"/>
    <w:rsid w:val="00102E68"/>
    <w:rsid w:val="0010363F"/>
    <w:rsid w:val="00123AA6"/>
    <w:rsid w:val="0012545F"/>
    <w:rsid w:val="00136B82"/>
    <w:rsid w:val="001464F2"/>
    <w:rsid w:val="00167364"/>
    <w:rsid w:val="00183250"/>
    <w:rsid w:val="001903B2"/>
    <w:rsid w:val="001B5953"/>
    <w:rsid w:val="001D0572"/>
    <w:rsid w:val="001D746E"/>
    <w:rsid w:val="001E190C"/>
    <w:rsid w:val="001E51EE"/>
    <w:rsid w:val="001E54F6"/>
    <w:rsid w:val="001E5A8C"/>
    <w:rsid w:val="00201A0A"/>
    <w:rsid w:val="002075D4"/>
    <w:rsid w:val="00211B2A"/>
    <w:rsid w:val="00223C6C"/>
    <w:rsid w:val="0023289F"/>
    <w:rsid w:val="002333A0"/>
    <w:rsid w:val="002543CF"/>
    <w:rsid w:val="0026062E"/>
    <w:rsid w:val="00260F50"/>
    <w:rsid w:val="00261EF7"/>
    <w:rsid w:val="00266EA9"/>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07F2"/>
    <w:rsid w:val="002E48BF"/>
    <w:rsid w:val="002E61C2"/>
    <w:rsid w:val="002F3E46"/>
    <w:rsid w:val="00311E3F"/>
    <w:rsid w:val="00314B1E"/>
    <w:rsid w:val="0033737F"/>
    <w:rsid w:val="00353652"/>
    <w:rsid w:val="003569E1"/>
    <w:rsid w:val="003815E2"/>
    <w:rsid w:val="00381FAD"/>
    <w:rsid w:val="00382A66"/>
    <w:rsid w:val="00384AE2"/>
    <w:rsid w:val="003923B1"/>
    <w:rsid w:val="003965FE"/>
    <w:rsid w:val="00397C17"/>
    <w:rsid w:val="003B27AD"/>
    <w:rsid w:val="003B4F23"/>
    <w:rsid w:val="003C12F6"/>
    <w:rsid w:val="003C3A13"/>
    <w:rsid w:val="003E02EF"/>
    <w:rsid w:val="003E1D90"/>
    <w:rsid w:val="00400CD4"/>
    <w:rsid w:val="004147B9"/>
    <w:rsid w:val="00422C04"/>
    <w:rsid w:val="00423A40"/>
    <w:rsid w:val="00426144"/>
    <w:rsid w:val="004636E2"/>
    <w:rsid w:val="00470CBD"/>
    <w:rsid w:val="0047407D"/>
    <w:rsid w:val="00486B2B"/>
    <w:rsid w:val="004909DD"/>
    <w:rsid w:val="004A05E6"/>
    <w:rsid w:val="004A6230"/>
    <w:rsid w:val="004A6C66"/>
    <w:rsid w:val="004A7AA0"/>
    <w:rsid w:val="004B1AE6"/>
    <w:rsid w:val="004C11BC"/>
    <w:rsid w:val="004C5C04"/>
    <w:rsid w:val="004D0448"/>
    <w:rsid w:val="004D4AE6"/>
    <w:rsid w:val="004E2A5D"/>
    <w:rsid w:val="00505FCA"/>
    <w:rsid w:val="00510C2D"/>
    <w:rsid w:val="005166A4"/>
    <w:rsid w:val="005169F4"/>
    <w:rsid w:val="005210D1"/>
    <w:rsid w:val="00523146"/>
    <w:rsid w:val="00523275"/>
    <w:rsid w:val="00523D37"/>
    <w:rsid w:val="00531DC7"/>
    <w:rsid w:val="005350B0"/>
    <w:rsid w:val="005431B5"/>
    <w:rsid w:val="00546A99"/>
    <w:rsid w:val="00553411"/>
    <w:rsid w:val="00554AE7"/>
    <w:rsid w:val="00564746"/>
    <w:rsid w:val="0056512C"/>
    <w:rsid w:val="005669A3"/>
    <w:rsid w:val="00572D8B"/>
    <w:rsid w:val="005730DF"/>
    <w:rsid w:val="00576D0A"/>
    <w:rsid w:val="00576FCC"/>
    <w:rsid w:val="00584333"/>
    <w:rsid w:val="00586B66"/>
    <w:rsid w:val="005953EC"/>
    <w:rsid w:val="005A69D2"/>
    <w:rsid w:val="005B00A1"/>
    <w:rsid w:val="005B7CB3"/>
    <w:rsid w:val="005C29C8"/>
    <w:rsid w:val="005C3880"/>
    <w:rsid w:val="005C5D25"/>
    <w:rsid w:val="005D2606"/>
    <w:rsid w:val="005D6D48"/>
    <w:rsid w:val="005D72A4"/>
    <w:rsid w:val="005F05CC"/>
    <w:rsid w:val="005F0B8B"/>
    <w:rsid w:val="005F65DE"/>
    <w:rsid w:val="00613492"/>
    <w:rsid w:val="00630905"/>
    <w:rsid w:val="006315B5"/>
    <w:rsid w:val="0065562F"/>
    <w:rsid w:val="006779A4"/>
    <w:rsid w:val="00680A38"/>
    <w:rsid w:val="00680A66"/>
    <w:rsid w:val="00681391"/>
    <w:rsid w:val="00694690"/>
    <w:rsid w:val="0069526C"/>
    <w:rsid w:val="006A12AC"/>
    <w:rsid w:val="006A2162"/>
    <w:rsid w:val="006B4B90"/>
    <w:rsid w:val="006B600C"/>
    <w:rsid w:val="006B658C"/>
    <w:rsid w:val="006D2674"/>
    <w:rsid w:val="006E38D0"/>
    <w:rsid w:val="006E465B"/>
    <w:rsid w:val="006E71D4"/>
    <w:rsid w:val="006F70BF"/>
    <w:rsid w:val="00716B1D"/>
    <w:rsid w:val="007248EC"/>
    <w:rsid w:val="007263B4"/>
    <w:rsid w:val="00726744"/>
    <w:rsid w:val="00731150"/>
    <w:rsid w:val="00734E41"/>
    <w:rsid w:val="00736DCC"/>
    <w:rsid w:val="00737053"/>
    <w:rsid w:val="00741855"/>
    <w:rsid w:val="00742B73"/>
    <w:rsid w:val="00751251"/>
    <w:rsid w:val="00756207"/>
    <w:rsid w:val="007610E7"/>
    <w:rsid w:val="00764079"/>
    <w:rsid w:val="0077090D"/>
    <w:rsid w:val="00770AA0"/>
    <w:rsid w:val="007710F5"/>
    <w:rsid w:val="00771F7E"/>
    <w:rsid w:val="00773E9C"/>
    <w:rsid w:val="00776F6B"/>
    <w:rsid w:val="00777694"/>
    <w:rsid w:val="00786A7E"/>
    <w:rsid w:val="00790154"/>
    <w:rsid w:val="00797A35"/>
    <w:rsid w:val="007A0802"/>
    <w:rsid w:val="007A3A06"/>
    <w:rsid w:val="007B1FCA"/>
    <w:rsid w:val="007C2C12"/>
    <w:rsid w:val="007C3CFA"/>
    <w:rsid w:val="007E0E8B"/>
    <w:rsid w:val="007E6847"/>
    <w:rsid w:val="007E6B0A"/>
    <w:rsid w:val="007F08CA"/>
    <w:rsid w:val="007F6388"/>
    <w:rsid w:val="007F7FC3"/>
    <w:rsid w:val="00810482"/>
    <w:rsid w:val="00817568"/>
    <w:rsid w:val="008204AC"/>
    <w:rsid w:val="008261C2"/>
    <w:rsid w:val="00830D96"/>
    <w:rsid w:val="0085569D"/>
    <w:rsid w:val="00855B59"/>
    <w:rsid w:val="008574BD"/>
    <w:rsid w:val="0085774F"/>
    <w:rsid w:val="008614B8"/>
    <w:rsid w:val="008657CB"/>
    <w:rsid w:val="00873A6F"/>
    <w:rsid w:val="0088330E"/>
    <w:rsid w:val="0088384B"/>
    <w:rsid w:val="00884282"/>
    <w:rsid w:val="00893E53"/>
    <w:rsid w:val="008A1137"/>
    <w:rsid w:val="008A1788"/>
    <w:rsid w:val="008A1E64"/>
    <w:rsid w:val="008A3E57"/>
    <w:rsid w:val="008A4185"/>
    <w:rsid w:val="008A6552"/>
    <w:rsid w:val="008A7EBF"/>
    <w:rsid w:val="008B4E93"/>
    <w:rsid w:val="008B52B7"/>
    <w:rsid w:val="008C3818"/>
    <w:rsid w:val="008D6ACC"/>
    <w:rsid w:val="008D7AF0"/>
    <w:rsid w:val="008E2CBE"/>
    <w:rsid w:val="008E32DD"/>
    <w:rsid w:val="008F4626"/>
    <w:rsid w:val="009004DF"/>
    <w:rsid w:val="009039A5"/>
    <w:rsid w:val="00904AA5"/>
    <w:rsid w:val="0093241B"/>
    <w:rsid w:val="00951718"/>
    <w:rsid w:val="00960962"/>
    <w:rsid w:val="00972CE0"/>
    <w:rsid w:val="00987A9C"/>
    <w:rsid w:val="009A3D30"/>
    <w:rsid w:val="009C13BE"/>
    <w:rsid w:val="009D55C4"/>
    <w:rsid w:val="009D6348"/>
    <w:rsid w:val="009E5007"/>
    <w:rsid w:val="009E613F"/>
    <w:rsid w:val="009F042B"/>
    <w:rsid w:val="00A03FD6"/>
    <w:rsid w:val="00A04CF4"/>
    <w:rsid w:val="00A116A8"/>
    <w:rsid w:val="00A17E61"/>
    <w:rsid w:val="00A22AE9"/>
    <w:rsid w:val="00A26758"/>
    <w:rsid w:val="00A26D0E"/>
    <w:rsid w:val="00A27205"/>
    <w:rsid w:val="00A278E9"/>
    <w:rsid w:val="00A33A95"/>
    <w:rsid w:val="00A3451F"/>
    <w:rsid w:val="00A3584A"/>
    <w:rsid w:val="00A35E1F"/>
    <w:rsid w:val="00A36268"/>
    <w:rsid w:val="00A375BD"/>
    <w:rsid w:val="00A40B2C"/>
    <w:rsid w:val="00A42ADC"/>
    <w:rsid w:val="00A66D2B"/>
    <w:rsid w:val="00A809E8"/>
    <w:rsid w:val="00A870AD"/>
    <w:rsid w:val="00A90843"/>
    <w:rsid w:val="00A9645C"/>
    <w:rsid w:val="00AA6493"/>
    <w:rsid w:val="00AA6EF1"/>
    <w:rsid w:val="00AB2A33"/>
    <w:rsid w:val="00AC1275"/>
    <w:rsid w:val="00AC7395"/>
    <w:rsid w:val="00AD162B"/>
    <w:rsid w:val="00AD690F"/>
    <w:rsid w:val="00AD69DD"/>
    <w:rsid w:val="00AE6B26"/>
    <w:rsid w:val="00AE7516"/>
    <w:rsid w:val="00AF22C1"/>
    <w:rsid w:val="00AF3EFA"/>
    <w:rsid w:val="00AF41D1"/>
    <w:rsid w:val="00B01623"/>
    <w:rsid w:val="00B033DF"/>
    <w:rsid w:val="00B039AD"/>
    <w:rsid w:val="00B07CEE"/>
    <w:rsid w:val="00B12661"/>
    <w:rsid w:val="00B16045"/>
    <w:rsid w:val="00B1667D"/>
    <w:rsid w:val="00B1714C"/>
    <w:rsid w:val="00B357E9"/>
    <w:rsid w:val="00B4164D"/>
    <w:rsid w:val="00B425C1"/>
    <w:rsid w:val="00B42644"/>
    <w:rsid w:val="00B606BA"/>
    <w:rsid w:val="00B63EAC"/>
    <w:rsid w:val="00B66817"/>
    <w:rsid w:val="00B71E3B"/>
    <w:rsid w:val="00B721D5"/>
    <w:rsid w:val="00B80044"/>
    <w:rsid w:val="00B81CB5"/>
    <w:rsid w:val="00B8351F"/>
    <w:rsid w:val="00B86C44"/>
    <w:rsid w:val="00B9727C"/>
    <w:rsid w:val="00BA7D44"/>
    <w:rsid w:val="00BD6291"/>
    <w:rsid w:val="00BD6EF3"/>
    <w:rsid w:val="00BE69C3"/>
    <w:rsid w:val="00C0053F"/>
    <w:rsid w:val="00C1165E"/>
    <w:rsid w:val="00C11A00"/>
    <w:rsid w:val="00C22074"/>
    <w:rsid w:val="00C2377B"/>
    <w:rsid w:val="00C34E09"/>
    <w:rsid w:val="00C3693C"/>
    <w:rsid w:val="00C53F6F"/>
    <w:rsid w:val="00C5489D"/>
    <w:rsid w:val="00C71759"/>
    <w:rsid w:val="00C76340"/>
    <w:rsid w:val="00C8199C"/>
    <w:rsid w:val="00C84112"/>
    <w:rsid w:val="00C841EB"/>
    <w:rsid w:val="00C8665F"/>
    <w:rsid w:val="00C917B5"/>
    <w:rsid w:val="00C94DFA"/>
    <w:rsid w:val="00CA298C"/>
    <w:rsid w:val="00CB2BF9"/>
    <w:rsid w:val="00CB4300"/>
    <w:rsid w:val="00CB454E"/>
    <w:rsid w:val="00CC030E"/>
    <w:rsid w:val="00CC5A6A"/>
    <w:rsid w:val="00CC68C4"/>
    <w:rsid w:val="00CC79A4"/>
    <w:rsid w:val="00CC7C9F"/>
    <w:rsid w:val="00CD0FDE"/>
    <w:rsid w:val="00CE0E68"/>
    <w:rsid w:val="00CE5BA4"/>
    <w:rsid w:val="00D24DDF"/>
    <w:rsid w:val="00D25120"/>
    <w:rsid w:val="00D419CB"/>
    <w:rsid w:val="00D44350"/>
    <w:rsid w:val="00D44E3F"/>
    <w:rsid w:val="00D51BB8"/>
    <w:rsid w:val="00D525F5"/>
    <w:rsid w:val="00D535D0"/>
    <w:rsid w:val="00D577D8"/>
    <w:rsid w:val="00D62C78"/>
    <w:rsid w:val="00D67C1E"/>
    <w:rsid w:val="00D81703"/>
    <w:rsid w:val="00D82929"/>
    <w:rsid w:val="00D84214"/>
    <w:rsid w:val="00D91220"/>
    <w:rsid w:val="00D943E5"/>
    <w:rsid w:val="00DA1AE0"/>
    <w:rsid w:val="00DC29DD"/>
    <w:rsid w:val="00DC7C0E"/>
    <w:rsid w:val="00DE7387"/>
    <w:rsid w:val="00DF2A6A"/>
    <w:rsid w:val="00DF3B72"/>
    <w:rsid w:val="00E10821"/>
    <w:rsid w:val="00E2489D"/>
    <w:rsid w:val="00E26520"/>
    <w:rsid w:val="00E343A3"/>
    <w:rsid w:val="00E51BFA"/>
    <w:rsid w:val="00E621A3"/>
    <w:rsid w:val="00E833BC"/>
    <w:rsid w:val="00E835AD"/>
    <w:rsid w:val="00E8580E"/>
    <w:rsid w:val="00E97E21"/>
    <w:rsid w:val="00EA1B76"/>
    <w:rsid w:val="00EA77D7"/>
    <w:rsid w:val="00EC09B9"/>
    <w:rsid w:val="00ED0361"/>
    <w:rsid w:val="00ED048C"/>
    <w:rsid w:val="00EE60E9"/>
    <w:rsid w:val="00EF14DA"/>
    <w:rsid w:val="00EF38AF"/>
    <w:rsid w:val="00EF4DC6"/>
    <w:rsid w:val="00F00143"/>
    <w:rsid w:val="00F055F8"/>
    <w:rsid w:val="00F10CB4"/>
    <w:rsid w:val="00F11B3D"/>
    <w:rsid w:val="00F146AC"/>
    <w:rsid w:val="00F14763"/>
    <w:rsid w:val="00F16212"/>
    <w:rsid w:val="00F16602"/>
    <w:rsid w:val="00F16E9E"/>
    <w:rsid w:val="00F230AE"/>
    <w:rsid w:val="00F25B80"/>
    <w:rsid w:val="00F2685F"/>
    <w:rsid w:val="00F33A34"/>
    <w:rsid w:val="00F350C8"/>
    <w:rsid w:val="00F37CF4"/>
    <w:rsid w:val="00F84613"/>
    <w:rsid w:val="00F8654D"/>
    <w:rsid w:val="00F900C9"/>
    <w:rsid w:val="00F92C96"/>
    <w:rsid w:val="00F97D1C"/>
    <w:rsid w:val="00FA0D4E"/>
    <w:rsid w:val="00FB0753"/>
    <w:rsid w:val="00FB5CC8"/>
    <w:rsid w:val="00FC2CD0"/>
    <w:rsid w:val="00FC7FD8"/>
    <w:rsid w:val="00FD0594"/>
    <w:rsid w:val="00FE40B0"/>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501DFF"/>
  <w15:docId w15:val="{396629E4-DEB8-4B73-90EB-1BFD7A31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00C"/>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F230AE"/>
    <w:pPr>
      <w:keepLines/>
      <w:tabs>
        <w:tab w:val="left" w:pos="372"/>
      </w:tabs>
      <w:spacing w:before="60"/>
    </w:pPr>
    <w:rPr>
      <w:sz w:val="20"/>
      <w:szCs w:val="20"/>
      <w:lang w:bidi="ar-EG"/>
    </w:rPr>
  </w:style>
  <w:style w:type="character" w:customStyle="1" w:styleId="FootnoteTextChar">
    <w:name w:val="Footnote Text Char"/>
    <w:basedOn w:val="DefaultParagraphFont"/>
    <w:link w:val="FootnoteText"/>
    <w:rsid w:val="00F230AE"/>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523D37"/>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Hashtag1">
    <w:name w:val="Hashtag1"/>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styleId="Revision">
    <w:name w:val="Revision"/>
    <w:hidden/>
    <w:uiPriority w:val="99"/>
    <w:semiHidden/>
    <w:rsid w:val="005A69D2"/>
    <w:rPr>
      <w:rFonts w:ascii="Dubai" w:hAnsi="Dubai" w:cs="Duba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T17-WTSA.20-C-0039!A14!MSW-A</DPM_x0020_File_x0020_name>
    <DPM_x0020_Author xmlns="32a1a8c5-2265-4ebc-b7a0-2071e2c5c9bb" xsi:nil="false">DPM</DPM_x0020_Author>
    <DPM_x0020_Version xmlns="32a1a8c5-2265-4ebc-b7a0-2071e2c5c9bb" xsi:nil="false">DPM_2019.11.13.01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9774605B-A871-4C0F-B8A2-CBFA9F540DFC}">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AFD385B2-9D2A-4708-A193-DDCF39BBCEC6}">
  <ds:schemaRefs>
    <ds:schemaRef ds:uri="http://schemas.openxmlformats.org/officeDocument/2006/bibliography"/>
  </ds:schemaRefs>
</ds:datastoreItem>
</file>

<file path=customXml/itemProps4.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5.xml><?xml version="1.0" encoding="utf-8"?>
<ds:datastoreItem xmlns:ds="http://schemas.openxmlformats.org/officeDocument/2006/customXml" ds:itemID="{6569333D-F47E-4C18-96B8-FEAA1706C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T17-WTSA.20-C-0039!A14!MSW-A</vt:lpstr>
    </vt:vector>
  </TitlesOfParts>
  <Manager>General Secretariat - Pool</Manager>
  <Company>International Telecommunication Union (ITU)</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T17-WTSA.20-C-0039!A14!MSW-A</dc:title>
  <dc:creator>Documents Proposals Manager (DPM)</dc:creator>
  <cp:keywords>DPM_v2021.3.2.1_prod</cp:keywords>
  <cp:lastModifiedBy>Arabic</cp:lastModifiedBy>
  <cp:revision>4</cp:revision>
  <cp:lastPrinted>2019-06-26T10:10:00Z</cp:lastPrinted>
  <dcterms:created xsi:type="dcterms:W3CDTF">2021-09-30T07:45:00Z</dcterms:created>
  <dcterms:modified xsi:type="dcterms:W3CDTF">2021-10-01T16:24:00Z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