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:rsidTr="0018460D">
        <w:trPr>
          <w:cantSplit/>
        </w:trPr>
        <w:tc>
          <w:tcPr>
            <w:tcW w:w="6614" w:type="dxa"/>
            <w:vAlign w:val="center"/>
            <w:hideMark/>
          </w:tcPr>
          <w:p w:rsidR="001904F7" w:rsidRPr="00BB183A" w:rsidRDefault="001904F7" w:rsidP="001904F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BB183A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:rsidR="00C244A8" w:rsidRPr="00400909" w:rsidRDefault="00E56380" w:rsidP="00E56380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="00F23C1D"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="006F2D9B">
              <w:rPr>
                <w:rFonts w:ascii="SimSun" w:hAnsi="SimSun" w:cs="SimSun" w:hint="eastAsia"/>
                <w:b/>
                <w:bCs/>
                <w:smallCaps/>
                <w:sz w:val="20"/>
                <w:lang w:val="en-US"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BD7C7C">
            <w:pPr>
              <w:pStyle w:val="DocNumber"/>
            </w:pPr>
            <w:r>
              <w:t>文件</w:t>
            </w:r>
            <w:r w:rsidR="00D33CBF">
              <w:t xml:space="preserve"> 39</w:t>
            </w:r>
            <w:bookmarkStart w:id="1" w:name="_GoBack"/>
            <w:bookmarkEnd w:id="1"/>
            <w:r>
              <w:t>(Add.3)</w:t>
            </w:r>
            <w:r w:rsidRPr="00622560">
              <w:t>-</w:t>
            </w:r>
            <w:r w:rsidRPr="000273B7"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2021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3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2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2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2"/>
            <w:hideMark/>
          </w:tcPr>
          <w:p w:rsidR="000A3B30" w:rsidRPr="00400909" w:rsidRDefault="009B1625" w:rsidP="00E2414B">
            <w:pPr>
              <w:pStyle w:val="Title1"/>
              <w:rPr>
                <w:rFonts w:ascii="Verdana" w:hAnsi="Verdana"/>
              </w:rPr>
            </w:pPr>
            <w:r>
              <w:rPr>
                <w:rFonts w:hint="eastAsia"/>
                <w:lang w:eastAsia="zh-CN"/>
              </w:rPr>
              <w:t>拟议废除第</w:t>
            </w:r>
            <w:r w:rsidR="000A3B30" w:rsidRPr="000273B7">
              <w:t>77</w:t>
            </w:r>
            <w:r>
              <w:rPr>
                <w:rFonts w:hint="eastAsia"/>
                <w:lang w:eastAsia="zh-CN"/>
              </w:rPr>
              <w:t>号决议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2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</w:rPr>
            </w:pPr>
          </w:p>
        </w:tc>
      </w:tr>
      <w:tr w:rsidR="000A3B30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76"/>
        <w:gridCol w:w="8535"/>
      </w:tblGrid>
      <w:tr w:rsidR="003556C0" w:rsidRPr="00426748" w:rsidTr="004913CE">
        <w:trPr>
          <w:cantSplit/>
        </w:trPr>
        <w:tc>
          <w:tcPr>
            <w:tcW w:w="1276" w:type="dxa"/>
          </w:tcPr>
          <w:p w:rsidR="003556C0" w:rsidRPr="00426748" w:rsidRDefault="003556C0" w:rsidP="00193AD1">
            <w:r w:rsidRPr="001051B1">
              <w:rPr>
                <w:rFonts w:hint="eastAsia"/>
                <w:b/>
                <w:bCs/>
              </w:rPr>
              <w:t>摘要</w:t>
            </w:r>
            <w:r w:rsidR="00C67B8F"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535" w:type="dxa"/>
          </w:tcPr>
          <w:p w:rsidR="00547A21" w:rsidRPr="00BD7C7C" w:rsidRDefault="00547A21" w:rsidP="00231452">
            <w:pPr>
              <w:rPr>
                <w:highlight w:val="yellow"/>
                <w:lang w:eastAsia="zh-CN"/>
              </w:rPr>
            </w:pPr>
            <w:r w:rsidRPr="009B1625">
              <w:rPr>
                <w:rFonts w:hint="eastAsia"/>
                <w:lang w:eastAsia="zh-CN"/>
              </w:rPr>
              <w:t>考虑到</w:t>
            </w:r>
            <w:r w:rsidRPr="009B1625">
              <w:rPr>
                <w:rFonts w:hint="eastAsia"/>
                <w:lang w:eastAsia="zh-CN"/>
              </w:rPr>
              <w:t>WTSA</w:t>
            </w:r>
            <w:r w:rsidRPr="009B1625">
              <w:rPr>
                <w:rFonts w:hint="eastAsia"/>
                <w:lang w:eastAsia="zh-CN"/>
              </w:rPr>
              <w:t>第</w:t>
            </w:r>
            <w:r w:rsidRPr="009B1625">
              <w:rPr>
                <w:rFonts w:hint="eastAsia"/>
                <w:lang w:eastAsia="zh-CN"/>
              </w:rPr>
              <w:t>77</w:t>
            </w:r>
            <w:r w:rsidRPr="009B1625">
              <w:rPr>
                <w:rFonts w:hint="eastAsia"/>
                <w:lang w:eastAsia="zh-CN"/>
              </w:rPr>
              <w:t>号决议（</w:t>
            </w:r>
            <w:r w:rsidR="009B1625" w:rsidRPr="009B1625">
              <w:rPr>
                <w:rFonts w:hint="eastAsia"/>
                <w:lang w:eastAsia="zh-CN"/>
              </w:rPr>
              <w:t>2016</w:t>
            </w:r>
            <w:r w:rsidR="009B1625" w:rsidRPr="009B1625">
              <w:rPr>
                <w:rFonts w:hint="eastAsia"/>
                <w:lang w:eastAsia="zh-CN"/>
              </w:rPr>
              <w:t>年，</w:t>
            </w:r>
            <w:r w:rsidRPr="009B1625">
              <w:rPr>
                <w:rFonts w:hint="eastAsia"/>
                <w:lang w:eastAsia="zh-CN"/>
              </w:rPr>
              <w:t>哈马马特，</w:t>
            </w:r>
            <w:r w:rsidR="009B1625" w:rsidRPr="009B1625">
              <w:rPr>
                <w:rFonts w:hint="eastAsia"/>
                <w:lang w:eastAsia="zh-CN"/>
              </w:rPr>
              <w:t>修订版</w:t>
            </w:r>
            <w:r w:rsidRPr="009B1625">
              <w:rPr>
                <w:rFonts w:hint="eastAsia"/>
                <w:lang w:eastAsia="zh-CN"/>
              </w:rPr>
              <w:t>）所包含的关于</w:t>
            </w:r>
            <w:r w:rsidRPr="009B1625">
              <w:rPr>
                <w:rFonts w:hint="eastAsia"/>
                <w:lang w:eastAsia="zh-CN"/>
              </w:rPr>
              <w:t>SDN</w:t>
            </w:r>
            <w:r w:rsidRPr="009B1625">
              <w:rPr>
                <w:rFonts w:hint="eastAsia"/>
                <w:lang w:eastAsia="zh-CN"/>
              </w:rPr>
              <w:t>的行动</w:t>
            </w:r>
            <w:r w:rsidR="00CA02BC">
              <w:rPr>
                <w:rFonts w:hint="eastAsia"/>
                <w:lang w:eastAsia="zh-CN"/>
              </w:rPr>
              <w:t>，</w:t>
            </w:r>
            <w:r w:rsidR="00CF0AC0" w:rsidRPr="009B1625">
              <w:rPr>
                <w:rFonts w:hint="eastAsia"/>
                <w:lang w:eastAsia="zh-CN"/>
              </w:rPr>
              <w:t>或是</w:t>
            </w:r>
            <w:r w:rsidRPr="009B1625">
              <w:rPr>
                <w:rFonts w:hint="eastAsia"/>
                <w:lang w:eastAsia="zh-CN"/>
              </w:rPr>
              <w:t>已经完成，</w:t>
            </w:r>
            <w:r w:rsidR="00CF0AC0" w:rsidRPr="009B1625">
              <w:rPr>
                <w:rFonts w:hint="eastAsia"/>
                <w:lang w:eastAsia="zh-CN"/>
              </w:rPr>
              <w:t>或是</w:t>
            </w:r>
            <w:r w:rsidRPr="009B1625">
              <w:rPr>
                <w:rFonts w:hint="eastAsia"/>
                <w:lang w:eastAsia="zh-CN"/>
              </w:rPr>
              <w:t>正在研究组和</w:t>
            </w:r>
            <w:r w:rsidR="00CF0AC0" w:rsidRPr="009B1625">
              <w:rPr>
                <w:rFonts w:hint="eastAsia"/>
                <w:lang w:eastAsia="zh-CN"/>
              </w:rPr>
              <w:t>电信标准化局（</w:t>
            </w:r>
            <w:r w:rsidRPr="009B1625">
              <w:rPr>
                <w:rFonts w:hint="eastAsia"/>
                <w:lang w:eastAsia="zh-CN"/>
              </w:rPr>
              <w:t>TSB</w:t>
            </w:r>
            <w:r w:rsidR="00CF0AC0" w:rsidRPr="009B1625">
              <w:rPr>
                <w:rFonts w:hint="eastAsia"/>
                <w:lang w:eastAsia="zh-CN"/>
              </w:rPr>
              <w:t>）</w:t>
            </w:r>
            <w:r w:rsidRPr="009B1625">
              <w:rPr>
                <w:rFonts w:hint="eastAsia"/>
                <w:lang w:eastAsia="zh-CN"/>
              </w:rPr>
              <w:t>进行；</w:t>
            </w:r>
            <w:r w:rsidR="009B1625" w:rsidRPr="009B1625">
              <w:rPr>
                <w:rFonts w:hint="eastAsia"/>
                <w:lang w:eastAsia="zh-CN"/>
              </w:rPr>
              <w:t>而且为</w:t>
            </w:r>
            <w:r w:rsidR="00CA02BC">
              <w:rPr>
                <w:rFonts w:hint="eastAsia"/>
                <w:lang w:eastAsia="zh-CN"/>
              </w:rPr>
              <w:t>遵守涉及</w:t>
            </w:r>
            <w:r w:rsidR="009B1625" w:rsidRPr="009B1625">
              <w:rPr>
                <w:rFonts w:hint="eastAsia"/>
                <w:lang w:eastAsia="zh-CN"/>
              </w:rPr>
              <w:t>已</w:t>
            </w:r>
            <w:r w:rsidR="00CA02BC">
              <w:rPr>
                <w:rFonts w:hint="eastAsia"/>
                <w:lang w:eastAsia="zh-CN"/>
              </w:rPr>
              <w:t>结束</w:t>
            </w:r>
            <w:r w:rsidR="009B1625" w:rsidRPr="009B1625">
              <w:rPr>
                <w:rFonts w:hint="eastAsia"/>
                <w:lang w:eastAsia="zh-CN"/>
              </w:rPr>
              <w:t>工作的决议应予以废除的指导方针</w:t>
            </w:r>
            <w:r w:rsidRPr="009B1625">
              <w:rPr>
                <w:rFonts w:hint="eastAsia"/>
                <w:lang w:eastAsia="zh-CN"/>
              </w:rPr>
              <w:t>，</w:t>
            </w:r>
            <w:r w:rsidRPr="009B1625">
              <w:rPr>
                <w:rFonts w:hint="eastAsia"/>
                <w:lang w:eastAsia="zh-CN"/>
              </w:rPr>
              <w:t>CITEL</w:t>
            </w:r>
            <w:r w:rsidR="009B1625" w:rsidRPr="009B1625">
              <w:rPr>
                <w:rFonts w:hint="eastAsia"/>
                <w:lang w:eastAsia="zh-CN"/>
              </w:rPr>
              <w:t>提议废除</w:t>
            </w:r>
            <w:r w:rsidRPr="009B1625">
              <w:rPr>
                <w:rFonts w:hint="eastAsia"/>
                <w:lang w:eastAsia="zh-CN"/>
              </w:rPr>
              <w:t>第</w:t>
            </w:r>
            <w:r w:rsidRPr="009B1625">
              <w:rPr>
                <w:rFonts w:hint="eastAsia"/>
                <w:lang w:eastAsia="zh-CN"/>
              </w:rPr>
              <w:t>77</w:t>
            </w:r>
            <w:r w:rsidRPr="009B1625">
              <w:rPr>
                <w:rFonts w:hint="eastAsia"/>
                <w:lang w:eastAsia="zh-CN"/>
              </w:rPr>
              <w:t>号决议。</w:t>
            </w:r>
          </w:p>
        </w:tc>
      </w:tr>
    </w:tbl>
    <w:p w:rsidR="00502B2E" w:rsidRPr="00F7417E" w:rsidRDefault="00502B2E" w:rsidP="00F7417E">
      <w:pPr>
        <w:rPr>
          <w:lang w:eastAsia="zh-CN"/>
        </w:rPr>
      </w:pPr>
      <w:r w:rsidRPr="00F7417E">
        <w:rPr>
          <w:lang w:eastAsia="zh-CN"/>
        </w:rPr>
        <w:br w:type="page"/>
      </w:r>
    </w:p>
    <w:p w:rsidR="008908DF" w:rsidRDefault="008A3BA2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IAP/39A3/1</w:t>
      </w:r>
    </w:p>
    <w:p w:rsidR="004E080D" w:rsidRPr="002868C2" w:rsidRDefault="008A3BA2" w:rsidP="004E080D">
      <w:pPr>
        <w:pStyle w:val="ResNo"/>
        <w:rPr>
          <w:lang w:eastAsia="zh-CN"/>
        </w:rPr>
      </w:pPr>
      <w:bookmarkStart w:id="2" w:name="_Toc348252510"/>
      <w:bookmarkStart w:id="3" w:name="_Toc477941775"/>
      <w:bookmarkStart w:id="4" w:name="_Toc478043602"/>
      <w:bookmarkStart w:id="5" w:name="_Toc478045029"/>
      <w:r w:rsidRPr="00C52866">
        <w:rPr>
          <w:rStyle w:val="href"/>
          <w:rFonts w:hint="eastAsia"/>
        </w:rPr>
        <w:t>第</w:t>
      </w:r>
      <w:r w:rsidRPr="00C52866">
        <w:rPr>
          <w:rStyle w:val="href"/>
          <w:rFonts w:hint="eastAsia"/>
        </w:rPr>
        <w:t>77</w:t>
      </w:r>
      <w:r w:rsidRPr="00C52866">
        <w:rPr>
          <w:rStyle w:val="href"/>
          <w:rFonts w:hint="eastAsia"/>
        </w:rPr>
        <w:t>号决议</w:t>
      </w:r>
      <w:r w:rsidRPr="002868C2">
        <w:rPr>
          <w:rFonts w:hint="eastAsia"/>
          <w:lang w:eastAsia="zh-CN"/>
        </w:rPr>
        <w:t>（</w:t>
      </w:r>
      <w:r w:rsidRPr="002868C2">
        <w:rPr>
          <w:rFonts w:hint="eastAsia"/>
          <w:lang w:eastAsia="zh-CN"/>
        </w:rPr>
        <w:t>20</w:t>
      </w:r>
      <w:r>
        <w:rPr>
          <w:lang w:eastAsia="zh-CN"/>
        </w:rPr>
        <w:t>16</w:t>
      </w:r>
      <w:r w:rsidRPr="002868C2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哈马马特，</w:t>
      </w:r>
      <w:r>
        <w:rPr>
          <w:lang w:eastAsia="zh-CN"/>
        </w:rPr>
        <w:t>修订版</w:t>
      </w:r>
      <w:r w:rsidRPr="002868C2">
        <w:rPr>
          <w:rFonts w:hint="eastAsia"/>
          <w:lang w:eastAsia="zh-CN"/>
        </w:rPr>
        <w:t>）</w:t>
      </w:r>
      <w:bookmarkEnd w:id="2"/>
      <w:bookmarkEnd w:id="3"/>
      <w:bookmarkEnd w:id="4"/>
      <w:bookmarkEnd w:id="5"/>
    </w:p>
    <w:p w:rsidR="004E080D" w:rsidRPr="002868C2" w:rsidRDefault="008A3BA2" w:rsidP="004E080D">
      <w:pPr>
        <w:pStyle w:val="Restitle"/>
        <w:rPr>
          <w:lang w:eastAsia="zh-CN"/>
        </w:rPr>
      </w:pPr>
      <w:bookmarkStart w:id="6" w:name="_Toc348252511"/>
      <w:bookmarkStart w:id="7" w:name="_Toc478043603"/>
      <w:bookmarkStart w:id="8" w:name="_Toc478045030"/>
      <w:r>
        <w:rPr>
          <w:rFonts w:hint="eastAsia"/>
          <w:lang w:eastAsia="zh-CN"/>
        </w:rPr>
        <w:t>加强国际电联电信标准化部门开展的</w:t>
      </w:r>
      <w:r>
        <w:rPr>
          <w:lang w:eastAsia="zh-CN"/>
        </w:rPr>
        <w:br/>
      </w:r>
      <w:r>
        <w:rPr>
          <w:rFonts w:hint="eastAsia"/>
          <w:lang w:eastAsia="zh-CN"/>
        </w:rPr>
        <w:t>软件定义网络</w:t>
      </w:r>
      <w:r w:rsidRPr="002868C2">
        <w:rPr>
          <w:rFonts w:hint="eastAsia"/>
          <w:lang w:eastAsia="zh-CN"/>
        </w:rPr>
        <w:t>标准化工作</w:t>
      </w:r>
      <w:bookmarkEnd w:id="6"/>
      <w:bookmarkEnd w:id="7"/>
      <w:bookmarkEnd w:id="8"/>
    </w:p>
    <w:p w:rsidR="004E080D" w:rsidRPr="0062672F" w:rsidRDefault="008A3BA2" w:rsidP="004E080D">
      <w:pPr>
        <w:pStyle w:val="Resref"/>
        <w:rPr>
          <w:lang w:eastAsia="zh-CN"/>
        </w:rPr>
      </w:pPr>
      <w:r w:rsidRPr="0062672F">
        <w:rPr>
          <w:rFonts w:hint="eastAsia"/>
          <w:lang w:eastAsia="zh-CN"/>
        </w:rPr>
        <w:t>（</w:t>
      </w:r>
      <w:r w:rsidRPr="0062672F">
        <w:rPr>
          <w:lang w:eastAsia="zh-CN"/>
        </w:rPr>
        <w:t>20</w:t>
      </w:r>
      <w:r w:rsidRPr="0062672F">
        <w:rPr>
          <w:lang w:eastAsia="ko-KR"/>
        </w:rPr>
        <w:t>12</w:t>
      </w:r>
      <w:r w:rsidRPr="0062672F">
        <w:rPr>
          <w:rFonts w:hint="eastAsia"/>
          <w:lang w:eastAsia="zh-CN"/>
        </w:rPr>
        <w:t>年，迪拜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Pr="0062672F">
        <w:rPr>
          <w:rFonts w:hint="eastAsia"/>
          <w:lang w:eastAsia="zh-CN"/>
        </w:rPr>
        <w:t>）</w:t>
      </w:r>
    </w:p>
    <w:p w:rsidR="004E080D" w:rsidRPr="002868C2" w:rsidRDefault="008A3BA2" w:rsidP="004E080D">
      <w:pPr>
        <w:pStyle w:val="Normalaftertitle"/>
        <w:rPr>
          <w:szCs w:val="24"/>
          <w:rtl/>
        </w:rPr>
      </w:pPr>
      <w:r w:rsidRPr="002868C2">
        <w:rPr>
          <w:rFonts w:hint="eastAsia"/>
          <w:lang w:eastAsia="zh-CN"/>
        </w:rPr>
        <w:t>世界电信标准化全会（</w:t>
      </w:r>
      <w:r w:rsidRPr="002868C2">
        <w:rPr>
          <w:rFonts w:hint="eastAsia"/>
          <w:lang w:eastAsia="zh-CN"/>
        </w:rPr>
        <w:t>20</w:t>
      </w:r>
      <w:r>
        <w:rPr>
          <w:lang w:eastAsia="zh-CN"/>
        </w:rPr>
        <w:t>16</w:t>
      </w:r>
      <w:r w:rsidRPr="002868C2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哈马马特</w:t>
      </w:r>
      <w:r w:rsidRPr="002868C2">
        <w:rPr>
          <w:rFonts w:hint="eastAsia"/>
          <w:lang w:eastAsia="zh-CN"/>
        </w:rPr>
        <w:t>），</w:t>
      </w:r>
    </w:p>
    <w:p w:rsidR="00DB548A" w:rsidRDefault="008A3BA2" w:rsidP="004428F4">
      <w:pPr>
        <w:pStyle w:val="Reasons"/>
        <w:tabs>
          <w:tab w:val="clear" w:pos="794"/>
          <w:tab w:val="clear" w:pos="1191"/>
          <w:tab w:val="left" w:pos="426"/>
          <w:tab w:val="left" w:pos="993"/>
        </w:tabs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D45F4" w:rsidRPr="004D45F4">
        <w:rPr>
          <w:rFonts w:hint="eastAsia"/>
          <w:lang w:eastAsia="zh-CN"/>
        </w:rPr>
        <w:t>WTSA-12</w:t>
      </w:r>
      <w:r w:rsidR="004D45F4" w:rsidRPr="004D45F4">
        <w:rPr>
          <w:rFonts w:hint="eastAsia"/>
          <w:lang w:eastAsia="zh-CN"/>
        </w:rPr>
        <w:t>制定的第</w:t>
      </w:r>
      <w:r w:rsidR="004D45F4" w:rsidRPr="004D45F4">
        <w:rPr>
          <w:rFonts w:hint="eastAsia"/>
          <w:lang w:eastAsia="zh-CN"/>
        </w:rPr>
        <w:t>77</w:t>
      </w:r>
      <w:r w:rsidR="004D45F4" w:rsidRPr="004D45F4">
        <w:rPr>
          <w:rFonts w:hint="eastAsia"/>
          <w:lang w:eastAsia="zh-CN"/>
        </w:rPr>
        <w:t>号决议的结果是，</w:t>
      </w:r>
      <w:r w:rsidR="004D45F4" w:rsidRPr="004D45F4">
        <w:rPr>
          <w:rFonts w:hint="eastAsia"/>
          <w:lang w:eastAsia="zh-CN"/>
        </w:rPr>
        <w:t>SDN</w:t>
      </w:r>
      <w:r w:rsidR="004D45F4" w:rsidRPr="004D45F4">
        <w:rPr>
          <w:rFonts w:hint="eastAsia"/>
          <w:lang w:eastAsia="zh-CN"/>
        </w:rPr>
        <w:t>相关活动集中在</w:t>
      </w:r>
      <w:r w:rsidR="004D45F4" w:rsidRPr="004D45F4">
        <w:rPr>
          <w:rFonts w:hint="eastAsia"/>
          <w:lang w:eastAsia="zh-CN"/>
        </w:rPr>
        <w:t>ITU-T</w:t>
      </w:r>
      <w:r w:rsidR="004D45F4" w:rsidRPr="004D45F4">
        <w:rPr>
          <w:rFonts w:hint="eastAsia"/>
          <w:lang w:eastAsia="zh-CN"/>
        </w:rPr>
        <w:t>内开展。在</w:t>
      </w:r>
      <w:r w:rsidR="004D45F4" w:rsidRPr="004D45F4">
        <w:rPr>
          <w:rFonts w:hint="eastAsia"/>
          <w:lang w:eastAsia="zh-CN"/>
        </w:rPr>
        <w:t>2016</w:t>
      </w:r>
      <w:r w:rsidR="004D45F4" w:rsidRPr="004D45F4">
        <w:rPr>
          <w:rFonts w:hint="eastAsia"/>
          <w:lang w:eastAsia="zh-CN"/>
        </w:rPr>
        <w:t>年的</w:t>
      </w:r>
      <w:r w:rsidR="004D45F4" w:rsidRPr="004D45F4">
        <w:rPr>
          <w:rFonts w:hint="eastAsia"/>
          <w:lang w:eastAsia="zh-CN"/>
        </w:rPr>
        <w:t>WTSA</w:t>
      </w:r>
      <w:r w:rsidR="004D45F4" w:rsidRPr="004D45F4">
        <w:rPr>
          <w:rFonts w:hint="eastAsia"/>
          <w:lang w:eastAsia="zh-CN"/>
        </w:rPr>
        <w:t>上，第</w:t>
      </w:r>
      <w:r w:rsidR="004D45F4" w:rsidRPr="004D45F4">
        <w:rPr>
          <w:rFonts w:hint="eastAsia"/>
          <w:lang w:eastAsia="zh-CN"/>
        </w:rPr>
        <w:t>77</w:t>
      </w:r>
      <w:r w:rsidR="004D45F4" w:rsidRPr="004D45F4">
        <w:rPr>
          <w:rFonts w:hint="eastAsia"/>
          <w:lang w:eastAsia="zh-CN"/>
        </w:rPr>
        <w:t>号决议得到修订，责成第</w:t>
      </w:r>
      <w:r w:rsidR="004D45F4" w:rsidRPr="004D45F4">
        <w:rPr>
          <w:rFonts w:hint="eastAsia"/>
          <w:lang w:eastAsia="zh-CN"/>
        </w:rPr>
        <w:t>13</w:t>
      </w:r>
      <w:r w:rsidR="004D45F4" w:rsidRPr="004D45F4">
        <w:rPr>
          <w:rFonts w:hint="eastAsia"/>
          <w:lang w:eastAsia="zh-CN"/>
        </w:rPr>
        <w:t>研究组继续在</w:t>
      </w:r>
      <w:r w:rsidR="004D45F4" w:rsidRPr="004D45F4">
        <w:rPr>
          <w:rFonts w:hint="eastAsia"/>
          <w:lang w:eastAsia="zh-CN"/>
        </w:rPr>
        <w:t>JCA SDN</w:t>
      </w:r>
      <w:r w:rsidR="004D45F4" w:rsidRPr="004D45F4">
        <w:rPr>
          <w:rFonts w:hint="eastAsia"/>
          <w:lang w:eastAsia="zh-CN"/>
        </w:rPr>
        <w:t>中开展工作。自那时起，</w:t>
      </w:r>
      <w:r w:rsidR="004D45F4" w:rsidRPr="004D45F4">
        <w:rPr>
          <w:rFonts w:hint="eastAsia"/>
          <w:lang w:eastAsia="zh-CN"/>
        </w:rPr>
        <w:t>SDN</w:t>
      </w:r>
      <w:r w:rsidR="004D45F4" w:rsidRPr="004D45F4">
        <w:rPr>
          <w:rFonts w:hint="eastAsia"/>
          <w:lang w:eastAsia="zh-CN"/>
        </w:rPr>
        <w:t>的重要工作已经完成，而且研究组层面的工作也在顺利进行。特别是，在本决议的实施条款方面取得了以下成果：</w:t>
      </w:r>
      <w:r w:rsidR="004428F4">
        <w:rPr>
          <w:lang w:eastAsia="zh-CN"/>
        </w:rPr>
        <w:br/>
      </w:r>
      <w:r w:rsidR="00BC1FCF">
        <w:rPr>
          <w:lang w:eastAsia="zh-CN"/>
        </w:rPr>
        <w:t>•</w:t>
      </w:r>
      <w:r w:rsidR="00BC1FCF">
        <w:rPr>
          <w:lang w:eastAsia="zh-CN"/>
        </w:rPr>
        <w:tab/>
      </w:r>
      <w:r w:rsidR="00BC1FCF" w:rsidRPr="00BC1FCF">
        <w:rPr>
          <w:rFonts w:ascii="STKaiti" w:eastAsia="STKaiti" w:hAnsi="STKaiti" w:cs="Segoe UI"/>
          <w:color w:val="000000"/>
          <w:szCs w:val="24"/>
          <w:lang w:eastAsia="zh-CN"/>
        </w:rPr>
        <w:t>做出决议，责成国际电联电信标准化部门各研究</w:t>
      </w:r>
      <w:r w:rsidR="00BC1FCF" w:rsidRPr="00BC1FCF">
        <w:rPr>
          <w:rFonts w:ascii="STKaiti" w:eastAsia="STKaiti" w:hAnsi="STKaiti" w:cs="Microsoft YaHei" w:hint="eastAsia"/>
          <w:color w:val="000000"/>
          <w:szCs w:val="24"/>
          <w:lang w:eastAsia="zh-CN"/>
        </w:rPr>
        <w:t>组</w:t>
      </w:r>
      <w:r w:rsidR="004428F4">
        <w:rPr>
          <w:lang w:eastAsia="zh-CN"/>
        </w:rPr>
        <w:br/>
      </w:r>
      <w:r w:rsidR="0010003D" w:rsidRPr="008C6379">
        <w:rPr>
          <w:rFonts w:hint="eastAsia"/>
          <w:lang w:eastAsia="zh-CN"/>
        </w:rPr>
        <w:t>关于</w:t>
      </w:r>
      <w:r w:rsidR="0010003D" w:rsidRPr="008C6379">
        <w:rPr>
          <w:rFonts w:hint="eastAsia"/>
          <w:lang w:eastAsia="zh-CN"/>
        </w:rPr>
        <w:t>SDN</w:t>
      </w:r>
      <w:r w:rsidR="0010003D" w:rsidRPr="008C6379">
        <w:rPr>
          <w:rFonts w:hint="eastAsia"/>
          <w:lang w:eastAsia="zh-CN"/>
        </w:rPr>
        <w:t>标准化的工作</w:t>
      </w:r>
      <w:r w:rsidR="0010003D" w:rsidRPr="00561ADC">
        <w:rPr>
          <w:rFonts w:hint="eastAsia"/>
          <w:lang w:eastAsia="zh-CN"/>
        </w:rPr>
        <w:t>在</w:t>
      </w:r>
      <w:r w:rsidR="0010003D" w:rsidRPr="00561ADC">
        <w:rPr>
          <w:lang w:eastAsia="zh-CN"/>
        </w:rPr>
        <w:t>ITU-T</w:t>
      </w:r>
      <w:bookmarkStart w:id="9" w:name="_Hlk80817117"/>
      <w:r w:rsidR="0010003D">
        <w:rPr>
          <w:rFonts w:hint="eastAsia"/>
          <w:lang w:eastAsia="zh-CN"/>
        </w:rPr>
        <w:t>第</w:t>
      </w:r>
      <w:bookmarkEnd w:id="9"/>
      <w:r w:rsidR="0010003D" w:rsidRPr="00561ADC">
        <w:rPr>
          <w:lang w:eastAsia="zh-CN"/>
        </w:rPr>
        <w:t>2</w:t>
      </w:r>
      <w:r w:rsidR="0010003D" w:rsidRPr="00561ADC">
        <w:rPr>
          <w:rFonts w:hint="eastAsia"/>
          <w:lang w:eastAsia="zh-CN"/>
        </w:rPr>
        <w:t>、</w:t>
      </w:r>
      <w:r w:rsidR="0010003D" w:rsidRPr="0010003D">
        <w:rPr>
          <w:rFonts w:hint="eastAsia"/>
          <w:lang w:eastAsia="zh-CN"/>
        </w:rPr>
        <w:t>第</w:t>
      </w:r>
      <w:r w:rsidR="0010003D" w:rsidRPr="00561ADC">
        <w:rPr>
          <w:lang w:eastAsia="zh-CN"/>
        </w:rPr>
        <w:t>5</w:t>
      </w:r>
      <w:r w:rsidR="0010003D" w:rsidRPr="00561ADC">
        <w:rPr>
          <w:rFonts w:hint="eastAsia"/>
          <w:lang w:eastAsia="zh-CN"/>
        </w:rPr>
        <w:t>、</w:t>
      </w:r>
      <w:r w:rsidR="0010003D" w:rsidRPr="0010003D">
        <w:rPr>
          <w:rFonts w:hint="eastAsia"/>
          <w:lang w:eastAsia="zh-CN"/>
        </w:rPr>
        <w:t>第</w:t>
      </w:r>
      <w:r w:rsidR="0010003D" w:rsidRPr="00561ADC">
        <w:rPr>
          <w:lang w:eastAsia="zh-CN"/>
        </w:rPr>
        <w:t>11</w:t>
      </w:r>
      <w:r w:rsidR="0010003D" w:rsidRPr="00561ADC">
        <w:rPr>
          <w:rFonts w:hint="eastAsia"/>
          <w:lang w:eastAsia="zh-CN"/>
        </w:rPr>
        <w:t>、</w:t>
      </w:r>
      <w:r w:rsidR="0010003D" w:rsidRPr="0010003D">
        <w:rPr>
          <w:rFonts w:hint="eastAsia"/>
          <w:lang w:eastAsia="zh-CN"/>
        </w:rPr>
        <w:t>第</w:t>
      </w:r>
      <w:r w:rsidR="0010003D" w:rsidRPr="00561ADC">
        <w:rPr>
          <w:lang w:eastAsia="zh-CN"/>
        </w:rPr>
        <w:t>12</w:t>
      </w:r>
      <w:r w:rsidR="0010003D" w:rsidRPr="00561ADC">
        <w:rPr>
          <w:rFonts w:hint="eastAsia"/>
          <w:lang w:eastAsia="zh-CN"/>
        </w:rPr>
        <w:t>、</w:t>
      </w:r>
      <w:r w:rsidR="0010003D" w:rsidRPr="0010003D">
        <w:rPr>
          <w:rFonts w:hint="eastAsia"/>
          <w:lang w:eastAsia="zh-CN"/>
        </w:rPr>
        <w:t>第</w:t>
      </w:r>
      <w:r w:rsidR="0010003D" w:rsidRPr="00561ADC">
        <w:rPr>
          <w:lang w:eastAsia="zh-CN"/>
        </w:rPr>
        <w:t>13</w:t>
      </w:r>
      <w:r w:rsidR="0010003D" w:rsidRPr="00561ADC">
        <w:rPr>
          <w:rFonts w:hint="eastAsia"/>
          <w:lang w:eastAsia="zh-CN"/>
        </w:rPr>
        <w:t>、</w:t>
      </w:r>
      <w:r w:rsidR="0010003D" w:rsidRPr="0010003D">
        <w:rPr>
          <w:rFonts w:hint="eastAsia"/>
          <w:lang w:eastAsia="zh-CN"/>
        </w:rPr>
        <w:t>第</w:t>
      </w:r>
      <w:r w:rsidR="0010003D" w:rsidRPr="00561ADC">
        <w:rPr>
          <w:lang w:eastAsia="zh-CN"/>
        </w:rPr>
        <w:t>15</w:t>
      </w:r>
      <w:r w:rsidR="0010003D" w:rsidRPr="00561ADC">
        <w:rPr>
          <w:rFonts w:hint="eastAsia"/>
          <w:lang w:eastAsia="zh-CN"/>
        </w:rPr>
        <w:t>和</w:t>
      </w:r>
      <w:r w:rsidR="0010003D" w:rsidRPr="0010003D">
        <w:rPr>
          <w:rFonts w:hint="eastAsia"/>
          <w:lang w:eastAsia="zh-CN"/>
        </w:rPr>
        <w:t>第</w:t>
      </w:r>
      <w:r w:rsidR="0010003D" w:rsidRPr="00561ADC">
        <w:rPr>
          <w:lang w:eastAsia="zh-CN"/>
        </w:rPr>
        <w:t>17</w:t>
      </w:r>
      <w:r w:rsidR="0010003D">
        <w:rPr>
          <w:rFonts w:hint="eastAsia"/>
          <w:lang w:eastAsia="zh-CN"/>
        </w:rPr>
        <w:t>研究组</w:t>
      </w:r>
      <w:r w:rsidR="0010003D" w:rsidRPr="00561ADC">
        <w:rPr>
          <w:rFonts w:hint="eastAsia"/>
          <w:lang w:eastAsia="zh-CN"/>
        </w:rPr>
        <w:t>仍在继续，</w:t>
      </w:r>
      <w:r w:rsidR="0010003D">
        <w:rPr>
          <w:rFonts w:hint="eastAsia"/>
          <w:lang w:eastAsia="zh-CN"/>
        </w:rPr>
        <w:t>而且产生了</w:t>
      </w:r>
      <w:r w:rsidR="0010003D" w:rsidRPr="00561ADC">
        <w:rPr>
          <w:rFonts w:hint="eastAsia"/>
          <w:lang w:eastAsia="zh-CN"/>
        </w:rPr>
        <w:t>大量获得批准的</w:t>
      </w:r>
      <w:r w:rsidR="0010003D" w:rsidRPr="00561ADC">
        <w:rPr>
          <w:lang w:eastAsia="zh-CN"/>
        </w:rPr>
        <w:t>SDN</w:t>
      </w:r>
      <w:r w:rsidR="0010003D" w:rsidRPr="00561ADC">
        <w:rPr>
          <w:rFonts w:hint="eastAsia"/>
          <w:lang w:eastAsia="zh-CN"/>
        </w:rPr>
        <w:t>相关建议书。</w:t>
      </w:r>
      <w:r w:rsidR="0010003D" w:rsidRPr="0010003D">
        <w:rPr>
          <w:rFonts w:hint="eastAsia"/>
          <w:lang w:eastAsia="zh-CN"/>
        </w:rPr>
        <w:t>特别是，</w:t>
      </w:r>
      <w:r w:rsidR="0010003D" w:rsidRPr="0010003D">
        <w:rPr>
          <w:lang w:eastAsia="zh-CN"/>
        </w:rPr>
        <w:t>ITU-T</w:t>
      </w:r>
      <w:bookmarkStart w:id="10" w:name="_Hlk80817440"/>
      <w:r w:rsidR="0010003D" w:rsidRPr="0010003D">
        <w:rPr>
          <w:rFonts w:hint="eastAsia"/>
          <w:lang w:eastAsia="zh-CN"/>
        </w:rPr>
        <w:t>第</w:t>
      </w:r>
      <w:r w:rsidR="0010003D" w:rsidRPr="0010003D">
        <w:rPr>
          <w:lang w:eastAsia="zh-CN"/>
        </w:rPr>
        <w:t>15</w:t>
      </w:r>
      <w:r w:rsidR="0010003D" w:rsidRPr="0010003D">
        <w:rPr>
          <w:rFonts w:hint="eastAsia"/>
          <w:lang w:eastAsia="zh-CN"/>
        </w:rPr>
        <w:t>研究组</w:t>
      </w:r>
      <w:bookmarkEnd w:id="10"/>
      <w:r w:rsidR="0010003D" w:rsidRPr="0010003D">
        <w:rPr>
          <w:rFonts w:hint="eastAsia"/>
          <w:lang w:eastAsia="zh-CN"/>
        </w:rPr>
        <w:t>在</w:t>
      </w:r>
      <w:r w:rsidR="0010003D">
        <w:rPr>
          <w:rFonts w:hint="eastAsia"/>
          <w:lang w:eastAsia="zh-CN"/>
        </w:rPr>
        <w:t>致</w:t>
      </w:r>
      <w:r w:rsidR="0010003D" w:rsidRPr="0010003D">
        <w:rPr>
          <w:lang w:eastAsia="zh-CN"/>
        </w:rPr>
        <w:t>TSAG</w:t>
      </w:r>
      <w:r w:rsidR="0010003D" w:rsidRPr="0010003D">
        <w:rPr>
          <w:rFonts w:hint="eastAsia"/>
          <w:lang w:eastAsia="zh-CN"/>
        </w:rPr>
        <w:t>的联络声明</w:t>
      </w:r>
      <w:r w:rsidR="0010003D">
        <w:rPr>
          <w:rFonts w:hint="eastAsia"/>
          <w:lang w:eastAsia="zh-CN"/>
        </w:rPr>
        <w:t>（</w:t>
      </w:r>
      <w:r w:rsidR="0010003D" w:rsidRPr="005D3423">
        <w:rPr>
          <w:rFonts w:hint="eastAsia"/>
          <w:lang w:eastAsia="zh-CN"/>
        </w:rPr>
        <w:t>TSAG-TD746</w:t>
      </w:r>
      <w:r w:rsidR="0010003D">
        <w:rPr>
          <w:rFonts w:hint="eastAsia"/>
          <w:lang w:eastAsia="zh-CN"/>
        </w:rPr>
        <w:t>）</w:t>
      </w:r>
      <w:r w:rsidR="0010003D" w:rsidRPr="0010003D">
        <w:rPr>
          <w:rFonts w:hint="eastAsia"/>
          <w:lang w:eastAsia="zh-CN"/>
        </w:rPr>
        <w:t>中报告称，与</w:t>
      </w:r>
      <w:r w:rsidR="0010003D" w:rsidRPr="0010003D">
        <w:rPr>
          <w:lang w:eastAsia="zh-CN"/>
        </w:rPr>
        <w:t>SDN</w:t>
      </w:r>
      <w:r w:rsidR="0010003D" w:rsidRPr="0010003D">
        <w:rPr>
          <w:rFonts w:hint="eastAsia"/>
          <w:lang w:eastAsia="zh-CN"/>
        </w:rPr>
        <w:t>相关的重要工作已经完成，</w:t>
      </w:r>
      <w:r w:rsidR="0010003D">
        <w:rPr>
          <w:rFonts w:hint="eastAsia"/>
          <w:lang w:eastAsia="zh-CN"/>
        </w:rPr>
        <w:t>结果是</w:t>
      </w:r>
      <w:r w:rsidR="0010003D" w:rsidRPr="0010003D">
        <w:rPr>
          <w:rFonts w:hint="eastAsia"/>
          <w:lang w:eastAsia="zh-CN"/>
        </w:rPr>
        <w:t>制定了一套建议书，</w:t>
      </w:r>
      <w:r w:rsidR="0010003D">
        <w:rPr>
          <w:rFonts w:hint="eastAsia"/>
          <w:lang w:eastAsia="zh-CN"/>
        </w:rPr>
        <w:t>以利于</w:t>
      </w:r>
      <w:r w:rsidR="0010003D" w:rsidRPr="0010003D">
        <w:rPr>
          <w:rFonts w:hint="eastAsia"/>
          <w:lang w:eastAsia="zh-CN"/>
        </w:rPr>
        <w:t>在传输网络中部署</w:t>
      </w:r>
      <w:r w:rsidR="0010003D" w:rsidRPr="0010003D">
        <w:rPr>
          <w:lang w:eastAsia="zh-CN"/>
        </w:rPr>
        <w:t>SDN</w:t>
      </w:r>
      <w:r w:rsidR="0010003D" w:rsidRPr="0010003D">
        <w:rPr>
          <w:rFonts w:hint="eastAsia"/>
          <w:lang w:eastAsia="zh-CN"/>
        </w:rPr>
        <w:t>。此外，第</w:t>
      </w:r>
      <w:r w:rsidR="0010003D" w:rsidRPr="0010003D">
        <w:rPr>
          <w:rFonts w:hint="eastAsia"/>
          <w:lang w:eastAsia="zh-CN"/>
        </w:rPr>
        <w:t>15</w:t>
      </w:r>
      <w:r w:rsidR="0010003D" w:rsidRPr="0010003D">
        <w:rPr>
          <w:rFonts w:hint="eastAsia"/>
          <w:lang w:eastAsia="zh-CN"/>
        </w:rPr>
        <w:t>研究组还</w:t>
      </w:r>
      <w:r w:rsidR="0010003D">
        <w:rPr>
          <w:rFonts w:hint="eastAsia"/>
          <w:lang w:eastAsia="zh-CN"/>
        </w:rPr>
        <w:t>研究</w:t>
      </w:r>
      <w:r w:rsidR="0010003D" w:rsidRPr="0010003D">
        <w:rPr>
          <w:rFonts w:hint="eastAsia"/>
          <w:lang w:eastAsia="zh-CN"/>
        </w:rPr>
        <w:t>解决了使用</w:t>
      </w:r>
      <w:r w:rsidR="0010003D" w:rsidRPr="0010003D">
        <w:rPr>
          <w:lang w:eastAsia="zh-CN"/>
        </w:rPr>
        <w:t>SDN</w:t>
      </w:r>
      <w:r w:rsidR="0010003D" w:rsidRPr="0010003D">
        <w:rPr>
          <w:rFonts w:hint="eastAsia"/>
          <w:lang w:eastAsia="zh-CN"/>
        </w:rPr>
        <w:t>来管理支持</w:t>
      </w:r>
      <w:r w:rsidR="0010003D" w:rsidRPr="0010003D">
        <w:rPr>
          <w:lang w:eastAsia="zh-CN"/>
        </w:rPr>
        <w:t>IMT-2020</w:t>
      </w:r>
      <w:r w:rsidR="0010003D" w:rsidRPr="0010003D">
        <w:rPr>
          <w:rFonts w:hint="eastAsia"/>
          <w:lang w:eastAsia="zh-CN"/>
        </w:rPr>
        <w:t>的传输网络的问题。</w:t>
      </w:r>
      <w:r w:rsidR="004D45F4" w:rsidRPr="0010003D">
        <w:rPr>
          <w:rFonts w:hint="eastAsia"/>
          <w:lang w:eastAsia="zh-CN"/>
        </w:rPr>
        <w:t>第</w:t>
      </w:r>
      <w:r w:rsidR="004D45F4" w:rsidRPr="0010003D">
        <w:rPr>
          <w:lang w:eastAsia="zh-CN"/>
        </w:rPr>
        <w:t>15</w:t>
      </w:r>
      <w:r w:rsidR="004D45F4" w:rsidRPr="0010003D">
        <w:rPr>
          <w:rFonts w:hint="eastAsia"/>
          <w:lang w:eastAsia="zh-CN"/>
        </w:rPr>
        <w:t>研究组得出结论，第</w:t>
      </w:r>
      <w:r w:rsidR="004D45F4" w:rsidRPr="0010003D">
        <w:rPr>
          <w:lang w:eastAsia="zh-CN"/>
        </w:rPr>
        <w:t>77</w:t>
      </w:r>
      <w:r w:rsidR="004D45F4" w:rsidRPr="0010003D">
        <w:rPr>
          <w:rFonts w:hint="eastAsia"/>
          <w:lang w:eastAsia="zh-CN"/>
        </w:rPr>
        <w:t>号决议应予以废除。</w:t>
      </w:r>
      <w:r w:rsidR="004428F4">
        <w:rPr>
          <w:lang w:eastAsia="zh-CN"/>
        </w:rPr>
        <w:br/>
      </w:r>
      <w:r w:rsidR="00BC1FCF">
        <w:rPr>
          <w:lang w:eastAsia="zh-CN"/>
        </w:rPr>
        <w:t>•</w:t>
      </w:r>
      <w:r w:rsidR="00BC1FCF">
        <w:rPr>
          <w:lang w:eastAsia="zh-CN"/>
        </w:rPr>
        <w:tab/>
      </w:r>
      <w:r w:rsidR="00BC1FCF" w:rsidRPr="00BC1FCF">
        <w:rPr>
          <w:rFonts w:ascii="STKaiti" w:eastAsia="STKaiti" w:hAnsi="STKaiti" w:cs="Segoe UI"/>
          <w:color w:val="000000"/>
          <w:szCs w:val="24"/>
          <w:lang w:eastAsia="zh-CN"/>
        </w:rPr>
        <w:t>责成第13研究</w:t>
      </w:r>
      <w:r w:rsidR="00BC1FCF" w:rsidRPr="00BC1FCF">
        <w:rPr>
          <w:rFonts w:ascii="STKaiti" w:eastAsia="STKaiti" w:hAnsi="STKaiti" w:cs="Microsoft YaHei" w:hint="eastAsia"/>
          <w:color w:val="000000"/>
          <w:szCs w:val="24"/>
          <w:lang w:eastAsia="zh-CN"/>
        </w:rPr>
        <w:t>组：</w:t>
      </w:r>
      <w:r w:rsidR="004428F4">
        <w:rPr>
          <w:lang w:eastAsia="zh-CN"/>
        </w:rPr>
        <w:br/>
      </w:r>
      <w:r w:rsidR="00C23BD9" w:rsidRPr="00C23BD9">
        <w:rPr>
          <w:rFonts w:hint="eastAsia"/>
          <w:lang w:eastAsia="zh-CN"/>
        </w:rPr>
        <w:t>随着</w:t>
      </w:r>
      <w:r w:rsidR="00C23BD9" w:rsidRPr="00C23BD9">
        <w:rPr>
          <w:rFonts w:hint="eastAsia"/>
          <w:lang w:eastAsia="zh-CN"/>
        </w:rPr>
        <w:t>SDN</w:t>
      </w:r>
      <w:r w:rsidR="00C23BD9" w:rsidRPr="00C23BD9">
        <w:rPr>
          <w:rFonts w:hint="eastAsia"/>
          <w:lang w:eastAsia="zh-CN"/>
        </w:rPr>
        <w:t>标准路线图的发布，</w:t>
      </w:r>
      <w:r w:rsidR="00C23BD9" w:rsidRPr="00C23BD9">
        <w:rPr>
          <w:rFonts w:hint="eastAsia"/>
          <w:lang w:eastAsia="zh-CN"/>
        </w:rPr>
        <w:t>JCA-SDN</w:t>
      </w:r>
      <w:r w:rsidR="00C23BD9" w:rsidRPr="00C23BD9">
        <w:rPr>
          <w:rFonts w:hint="eastAsia"/>
          <w:lang w:eastAsia="zh-CN"/>
        </w:rPr>
        <w:t>于</w:t>
      </w:r>
      <w:r w:rsidR="00C23BD9" w:rsidRPr="00C23BD9">
        <w:rPr>
          <w:rFonts w:hint="eastAsia"/>
          <w:lang w:eastAsia="zh-CN"/>
        </w:rPr>
        <w:t>2017</w:t>
      </w:r>
      <w:r w:rsidR="00C23BD9" w:rsidRPr="00C23BD9">
        <w:rPr>
          <w:rFonts w:hint="eastAsia"/>
          <w:lang w:eastAsia="zh-CN"/>
        </w:rPr>
        <w:t>年</w:t>
      </w:r>
      <w:r w:rsidR="00C23BD9" w:rsidRPr="00C23BD9">
        <w:rPr>
          <w:rFonts w:hint="eastAsia"/>
          <w:lang w:eastAsia="zh-CN"/>
        </w:rPr>
        <w:t>11</w:t>
      </w:r>
      <w:r w:rsidR="00C23BD9" w:rsidRPr="00C23BD9">
        <w:rPr>
          <w:rFonts w:hint="eastAsia"/>
          <w:lang w:eastAsia="zh-CN"/>
        </w:rPr>
        <w:t>月</w:t>
      </w:r>
      <w:r w:rsidR="00C23BD9" w:rsidRPr="00C23BD9">
        <w:rPr>
          <w:rFonts w:hint="eastAsia"/>
          <w:lang w:eastAsia="zh-CN"/>
        </w:rPr>
        <w:t>9</w:t>
      </w:r>
      <w:r w:rsidR="00C23BD9" w:rsidRPr="00C23BD9">
        <w:rPr>
          <w:rFonts w:hint="eastAsia"/>
          <w:lang w:eastAsia="zh-CN"/>
        </w:rPr>
        <w:t>日结束了工作。</w:t>
      </w:r>
      <w:r w:rsidR="00C23BD9" w:rsidRPr="00C23BD9">
        <w:rPr>
          <w:rFonts w:hint="eastAsia"/>
          <w:lang w:eastAsia="zh-CN"/>
        </w:rPr>
        <w:t>SDN</w:t>
      </w:r>
      <w:r w:rsidR="00C23BD9" w:rsidRPr="00C23BD9">
        <w:rPr>
          <w:rFonts w:hint="eastAsia"/>
          <w:lang w:eastAsia="zh-CN"/>
        </w:rPr>
        <w:t>协调工作成为</w:t>
      </w:r>
      <w:r w:rsidR="00C23BD9" w:rsidRPr="00C23BD9">
        <w:rPr>
          <w:rFonts w:hint="eastAsia"/>
          <w:lang w:eastAsia="zh-CN"/>
        </w:rPr>
        <w:t>JCA-IMT2020</w:t>
      </w:r>
      <w:r w:rsidR="00C23BD9" w:rsidRPr="00C23BD9">
        <w:rPr>
          <w:rFonts w:hint="eastAsia"/>
          <w:lang w:eastAsia="zh-CN"/>
        </w:rPr>
        <w:t>常规工作的一部分。</w:t>
      </w:r>
      <w:r w:rsidR="004428F4">
        <w:rPr>
          <w:lang w:eastAsia="zh-CN"/>
        </w:rPr>
        <w:br/>
      </w:r>
      <w:r w:rsidR="00BC1FCF" w:rsidRPr="00184A4E">
        <w:rPr>
          <w:i/>
          <w:iCs/>
          <w:lang w:eastAsia="zh-CN"/>
        </w:rPr>
        <w:t>•</w:t>
      </w:r>
      <w:r w:rsidR="00BC1FCF" w:rsidRPr="00184A4E">
        <w:rPr>
          <w:i/>
          <w:iCs/>
          <w:lang w:eastAsia="zh-CN"/>
        </w:rPr>
        <w:tab/>
      </w:r>
      <w:r w:rsidR="007D3DDB" w:rsidRPr="007D3DDB">
        <w:rPr>
          <w:rFonts w:ascii="STKaiti" w:eastAsia="STKaiti" w:hAnsi="STKaiti" w:cs="Segoe UI"/>
          <w:color w:val="000000"/>
          <w:szCs w:val="24"/>
          <w:lang w:eastAsia="zh-CN"/>
        </w:rPr>
        <w:t>责成电信标准化顾问</w:t>
      </w:r>
      <w:r w:rsidR="007D3DDB" w:rsidRPr="007D3DDB">
        <w:rPr>
          <w:rFonts w:ascii="STKaiti" w:eastAsia="STKaiti" w:hAnsi="STKaiti" w:cs="Microsoft YaHei" w:hint="eastAsia"/>
          <w:color w:val="000000"/>
          <w:szCs w:val="24"/>
          <w:lang w:eastAsia="zh-CN"/>
        </w:rPr>
        <w:t>组</w:t>
      </w:r>
      <w:r w:rsidR="007D3DDB" w:rsidRPr="007D3DDB">
        <w:rPr>
          <w:rFonts w:hint="eastAsia"/>
          <w:lang w:eastAsia="zh-CN"/>
        </w:rPr>
        <w:t>：</w:t>
      </w:r>
      <w:r w:rsidR="004428F4">
        <w:rPr>
          <w:lang w:eastAsia="zh-CN"/>
        </w:rPr>
        <w:br/>
      </w:r>
      <w:r w:rsidR="00C23BD9" w:rsidRPr="00C23BD9">
        <w:rPr>
          <w:rFonts w:hint="eastAsia"/>
          <w:lang w:eastAsia="zh-CN"/>
        </w:rPr>
        <w:t>在</w:t>
      </w:r>
      <w:r w:rsidR="00C23BD9" w:rsidRPr="00C23BD9">
        <w:rPr>
          <w:rFonts w:hint="eastAsia"/>
          <w:lang w:eastAsia="zh-CN"/>
        </w:rPr>
        <w:t>2017-2020</w:t>
      </w:r>
      <w:r w:rsidR="00C23BD9" w:rsidRPr="00C23BD9">
        <w:rPr>
          <w:rFonts w:hint="eastAsia"/>
          <w:lang w:eastAsia="zh-CN"/>
        </w:rPr>
        <w:t>研究期内无需采取任何行动。</w:t>
      </w:r>
      <w:r w:rsidR="004428F4">
        <w:rPr>
          <w:lang w:eastAsia="zh-CN"/>
        </w:rPr>
        <w:br/>
      </w:r>
      <w:r w:rsidR="00BC1FCF" w:rsidRPr="00184A4E">
        <w:rPr>
          <w:i/>
          <w:iCs/>
          <w:lang w:eastAsia="zh-CN"/>
        </w:rPr>
        <w:t>•</w:t>
      </w:r>
      <w:r w:rsidR="00BC1FCF" w:rsidRPr="00184A4E">
        <w:rPr>
          <w:i/>
          <w:iCs/>
          <w:lang w:eastAsia="zh-CN"/>
        </w:rPr>
        <w:tab/>
      </w:r>
      <w:r w:rsidR="007D3DDB" w:rsidRPr="007D3DDB">
        <w:rPr>
          <w:rFonts w:ascii="STKaiti" w:eastAsia="STKaiti" w:hAnsi="STKaiti" w:cs="Segoe UI"/>
          <w:color w:val="000000"/>
          <w:szCs w:val="24"/>
          <w:lang w:eastAsia="zh-CN"/>
        </w:rPr>
        <w:t>责成电信标准化局主</w:t>
      </w:r>
      <w:r w:rsidR="007D3DDB" w:rsidRPr="007D3DDB">
        <w:rPr>
          <w:rFonts w:ascii="STKaiti" w:eastAsia="STKaiti" w:hAnsi="STKaiti" w:cs="Microsoft YaHei" w:hint="eastAsia"/>
          <w:color w:val="000000"/>
          <w:szCs w:val="24"/>
          <w:lang w:eastAsia="zh-CN"/>
        </w:rPr>
        <w:t>任</w:t>
      </w:r>
      <w:r w:rsidR="007D3DDB" w:rsidRPr="007D3DDB">
        <w:rPr>
          <w:rFonts w:hint="eastAsia"/>
          <w:lang w:eastAsia="zh-CN"/>
        </w:rPr>
        <w:t>：</w:t>
      </w:r>
      <w:r w:rsidR="004428F4">
        <w:rPr>
          <w:lang w:eastAsia="zh-CN"/>
        </w:rPr>
        <w:br/>
      </w:r>
      <w:r w:rsidR="00C23BD9" w:rsidRPr="00C23BD9">
        <w:rPr>
          <w:rFonts w:hint="eastAsia"/>
          <w:lang w:eastAsia="zh-CN"/>
        </w:rPr>
        <w:t>TSB</w:t>
      </w:r>
      <w:r w:rsidR="00C23BD9" w:rsidRPr="00C23BD9">
        <w:rPr>
          <w:rFonts w:hint="eastAsia"/>
          <w:lang w:eastAsia="zh-CN"/>
        </w:rPr>
        <w:t>已组织了若干个关于</w:t>
      </w:r>
      <w:r w:rsidR="00C23BD9" w:rsidRPr="00C23BD9">
        <w:rPr>
          <w:rFonts w:hint="eastAsia"/>
          <w:lang w:eastAsia="zh-CN"/>
        </w:rPr>
        <w:t>SDN</w:t>
      </w:r>
      <w:r w:rsidR="00C23BD9" w:rsidRPr="00C23BD9">
        <w:rPr>
          <w:rFonts w:hint="eastAsia"/>
          <w:lang w:eastAsia="zh-CN"/>
        </w:rPr>
        <w:t>的研讨会。考虑到决议所包含的关于</w:t>
      </w:r>
      <w:r w:rsidR="00C23BD9" w:rsidRPr="00C23BD9">
        <w:rPr>
          <w:rFonts w:hint="eastAsia"/>
          <w:lang w:eastAsia="zh-CN"/>
        </w:rPr>
        <w:t>SDN</w:t>
      </w:r>
      <w:r w:rsidR="00C23BD9" w:rsidRPr="00C23BD9">
        <w:rPr>
          <w:rFonts w:hint="eastAsia"/>
          <w:lang w:eastAsia="zh-CN"/>
        </w:rPr>
        <w:t>的行动或是已经完成，或是正在研究组和电信标准化局（</w:t>
      </w:r>
      <w:r w:rsidR="00C23BD9" w:rsidRPr="00C23BD9">
        <w:rPr>
          <w:rFonts w:hint="eastAsia"/>
          <w:lang w:eastAsia="zh-CN"/>
        </w:rPr>
        <w:t>TSB</w:t>
      </w:r>
      <w:r w:rsidR="00C23BD9" w:rsidRPr="00C23BD9">
        <w:rPr>
          <w:rFonts w:hint="eastAsia"/>
          <w:lang w:eastAsia="zh-CN"/>
        </w:rPr>
        <w:t>）进行；为遵守涉及已结束工作的决议应予以废除的指导方针，下个研究期将不再需要关于</w:t>
      </w:r>
      <w:r w:rsidR="00C23BD9" w:rsidRPr="00C23BD9">
        <w:rPr>
          <w:rFonts w:hint="eastAsia"/>
          <w:lang w:eastAsia="zh-CN"/>
        </w:rPr>
        <w:t>SDN</w:t>
      </w:r>
      <w:r w:rsidR="00C23BD9" w:rsidRPr="00C23BD9">
        <w:rPr>
          <w:rFonts w:hint="eastAsia"/>
          <w:lang w:eastAsia="zh-CN"/>
        </w:rPr>
        <w:t>的第</w:t>
      </w:r>
      <w:r w:rsidR="00C23BD9" w:rsidRPr="00C23BD9">
        <w:rPr>
          <w:rFonts w:hint="eastAsia"/>
          <w:lang w:eastAsia="zh-CN"/>
        </w:rPr>
        <w:t>77</w:t>
      </w:r>
      <w:r w:rsidR="00C23BD9" w:rsidRPr="00C23BD9">
        <w:rPr>
          <w:rFonts w:hint="eastAsia"/>
          <w:lang w:eastAsia="zh-CN"/>
        </w:rPr>
        <w:t>号决议。</w:t>
      </w:r>
    </w:p>
    <w:p w:rsidR="002F575C" w:rsidRDefault="002F575C" w:rsidP="002F575C">
      <w:pPr>
        <w:rPr>
          <w:lang w:eastAsia="zh-CN"/>
        </w:rPr>
      </w:pPr>
    </w:p>
    <w:p w:rsidR="002F575C" w:rsidRDefault="002F575C" w:rsidP="002F575C">
      <w:pPr>
        <w:jc w:val="center"/>
      </w:pPr>
      <w:r>
        <w:t>______________</w:t>
      </w:r>
    </w:p>
    <w:sectPr w:rsidR="002F575C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55" w:rsidRDefault="00DD2455">
      <w:r>
        <w:separator/>
      </w:r>
    </w:p>
  </w:endnote>
  <w:endnote w:type="continuationSeparator" w:id="0">
    <w:p w:rsidR="00DD2455" w:rsidRDefault="00DD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D4" w:rsidRPr="00BC1FCF" w:rsidRDefault="00B851D4" w:rsidP="00231452">
    <w:pPr>
      <w:pStyle w:val="Footer"/>
      <w:rPr>
        <w:lang w:val="fr-CH"/>
      </w:rPr>
    </w:pPr>
    <w:r>
      <w:fldChar w:fldCharType="begin"/>
    </w:r>
    <w:r w:rsidRPr="00BC1FCF">
      <w:rPr>
        <w:lang w:val="fr-CH"/>
      </w:rPr>
      <w:instrText xml:space="preserve"> FILENAME \p \* MERGEFORMAT </w:instrText>
    </w:r>
    <w:r>
      <w:fldChar w:fldCharType="separate"/>
    </w:r>
    <w:r w:rsidR="00561ADC">
      <w:rPr>
        <w:lang w:val="fr-CH"/>
      </w:rPr>
      <w:t>P:\CHI\ITU-T\CONF-T\WTSA20\000\039ADD03C.docx</w:t>
    </w:r>
    <w:r>
      <w:fldChar w:fldCharType="end"/>
    </w:r>
    <w:r w:rsidR="00BC1FCF" w:rsidRPr="00BC1FCF">
      <w:rPr>
        <w:lang w:val="fr-CH"/>
      </w:rPr>
      <w:t xml:space="preserve"> </w:t>
    </w:r>
    <w:r w:rsidR="00BC1FCF">
      <w:rPr>
        <w:lang w:val="fr-CH"/>
      </w:rPr>
      <w:t>(493233)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CF" w:rsidRPr="00BC1FCF" w:rsidRDefault="00BC1FCF" w:rsidP="00BC1FCF">
    <w:pPr>
      <w:pStyle w:val="Footer"/>
      <w:rPr>
        <w:lang w:val="fr-CH"/>
      </w:rPr>
    </w:pPr>
    <w:r>
      <w:fldChar w:fldCharType="begin"/>
    </w:r>
    <w:r w:rsidRPr="00BC1FCF">
      <w:rPr>
        <w:lang w:val="fr-CH"/>
      </w:rPr>
      <w:instrText xml:space="preserve"> FILENAME \p \* MERGEFORMAT </w:instrText>
    </w:r>
    <w:r>
      <w:fldChar w:fldCharType="separate"/>
    </w:r>
    <w:r w:rsidR="00561ADC">
      <w:rPr>
        <w:lang w:val="fr-CH"/>
      </w:rPr>
      <w:t>P:\CHI\ITU-T\CONF-T\WTSA20\000\039ADD03C.docx</w:t>
    </w:r>
    <w:r>
      <w:fldChar w:fldCharType="end"/>
    </w:r>
    <w:r w:rsidRPr="00BC1FCF">
      <w:rPr>
        <w:lang w:val="fr-CH"/>
      </w:rPr>
      <w:t xml:space="preserve"> </w:t>
    </w:r>
    <w:r>
      <w:rPr>
        <w:lang w:val="fr-CH"/>
      </w:rPr>
      <w:t>(493233)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55" w:rsidRDefault="00DD2455">
      <w:r>
        <w:t>____________________</w:t>
      </w:r>
    </w:p>
  </w:footnote>
  <w:footnote w:type="continuationSeparator" w:id="0">
    <w:p w:rsidR="00DD2455" w:rsidRDefault="00DD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D9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BD7C7C" w:rsidP="000A3B30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6F2D9B">
      <w:rPr>
        <w:rFonts w:hint="eastAsia"/>
        <w:noProof/>
        <w:lang w:val="en-US"/>
      </w:rPr>
      <w:t>文件</w:t>
    </w:r>
    <w:r w:rsidR="006F2D9B">
      <w:rPr>
        <w:rFonts w:hint="eastAsia"/>
        <w:noProof/>
        <w:lang w:val="en-US"/>
      </w:rPr>
      <w:t xml:space="preserve"> 39 (Add.3)-C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2BAF"/>
    <w:rsid w:val="000174B1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4931"/>
    <w:rsid w:val="0010003D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6C4C"/>
    <w:rsid w:val="0028063B"/>
    <w:rsid w:val="002A4C9C"/>
    <w:rsid w:val="002B509B"/>
    <w:rsid w:val="002D162B"/>
    <w:rsid w:val="002D625E"/>
    <w:rsid w:val="002E2A59"/>
    <w:rsid w:val="002F575C"/>
    <w:rsid w:val="002F5D57"/>
    <w:rsid w:val="00305254"/>
    <w:rsid w:val="0030785C"/>
    <w:rsid w:val="003169D2"/>
    <w:rsid w:val="003468CA"/>
    <w:rsid w:val="003556C0"/>
    <w:rsid w:val="00372FC2"/>
    <w:rsid w:val="003A69EA"/>
    <w:rsid w:val="003B0349"/>
    <w:rsid w:val="003B4BEF"/>
    <w:rsid w:val="003C6B45"/>
    <w:rsid w:val="003F0C01"/>
    <w:rsid w:val="00400909"/>
    <w:rsid w:val="0041282E"/>
    <w:rsid w:val="004220D2"/>
    <w:rsid w:val="00437869"/>
    <w:rsid w:val="004428F4"/>
    <w:rsid w:val="00465A34"/>
    <w:rsid w:val="004913CE"/>
    <w:rsid w:val="004B2DBE"/>
    <w:rsid w:val="004C4554"/>
    <w:rsid w:val="004D04A4"/>
    <w:rsid w:val="004D2DEC"/>
    <w:rsid w:val="004D45F4"/>
    <w:rsid w:val="004F2BE6"/>
    <w:rsid w:val="00502B2E"/>
    <w:rsid w:val="00524E4B"/>
    <w:rsid w:val="00527E8A"/>
    <w:rsid w:val="00534930"/>
    <w:rsid w:val="00536193"/>
    <w:rsid w:val="00542E85"/>
    <w:rsid w:val="00547A21"/>
    <w:rsid w:val="005579BD"/>
    <w:rsid w:val="00561ADC"/>
    <w:rsid w:val="00562479"/>
    <w:rsid w:val="00576849"/>
    <w:rsid w:val="005A0ACB"/>
    <w:rsid w:val="005C7B12"/>
    <w:rsid w:val="005E7FD8"/>
    <w:rsid w:val="006111B1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2759"/>
    <w:rsid w:val="006C38ED"/>
    <w:rsid w:val="006E6182"/>
    <w:rsid w:val="006F2D9B"/>
    <w:rsid w:val="006F3C60"/>
    <w:rsid w:val="006F409E"/>
    <w:rsid w:val="00707454"/>
    <w:rsid w:val="00736415"/>
    <w:rsid w:val="00770D2A"/>
    <w:rsid w:val="00775B71"/>
    <w:rsid w:val="007864F6"/>
    <w:rsid w:val="007A1828"/>
    <w:rsid w:val="007B7C4B"/>
    <w:rsid w:val="007D3DDB"/>
    <w:rsid w:val="007E3AE2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4415"/>
    <w:rsid w:val="0083672D"/>
    <w:rsid w:val="00844734"/>
    <w:rsid w:val="00857FA1"/>
    <w:rsid w:val="00865DFB"/>
    <w:rsid w:val="008908DF"/>
    <w:rsid w:val="008A3BA2"/>
    <w:rsid w:val="008A7416"/>
    <w:rsid w:val="008B6852"/>
    <w:rsid w:val="008C1706"/>
    <w:rsid w:val="008C26FF"/>
    <w:rsid w:val="008D1D14"/>
    <w:rsid w:val="008E1785"/>
    <w:rsid w:val="008E7127"/>
    <w:rsid w:val="008E7C8E"/>
    <w:rsid w:val="00910E1A"/>
    <w:rsid w:val="00912959"/>
    <w:rsid w:val="0092075B"/>
    <w:rsid w:val="009657F9"/>
    <w:rsid w:val="009759FE"/>
    <w:rsid w:val="0099525B"/>
    <w:rsid w:val="009B1625"/>
    <w:rsid w:val="009C72B7"/>
    <w:rsid w:val="009D164C"/>
    <w:rsid w:val="00A0052C"/>
    <w:rsid w:val="00A06370"/>
    <w:rsid w:val="00A16B3A"/>
    <w:rsid w:val="00A17BD2"/>
    <w:rsid w:val="00A31B14"/>
    <w:rsid w:val="00A323DC"/>
    <w:rsid w:val="00A815BE"/>
    <w:rsid w:val="00AA5DA1"/>
    <w:rsid w:val="00AB7F81"/>
    <w:rsid w:val="00AE369F"/>
    <w:rsid w:val="00B026CB"/>
    <w:rsid w:val="00B12380"/>
    <w:rsid w:val="00B637AD"/>
    <w:rsid w:val="00B851D4"/>
    <w:rsid w:val="00B868FC"/>
    <w:rsid w:val="00B95072"/>
    <w:rsid w:val="00BB26CD"/>
    <w:rsid w:val="00BC1FCF"/>
    <w:rsid w:val="00BC7211"/>
    <w:rsid w:val="00BD7C7C"/>
    <w:rsid w:val="00C045C0"/>
    <w:rsid w:val="00C07239"/>
    <w:rsid w:val="00C23BD9"/>
    <w:rsid w:val="00C244A8"/>
    <w:rsid w:val="00C364B1"/>
    <w:rsid w:val="00C47D87"/>
    <w:rsid w:val="00C56308"/>
    <w:rsid w:val="00C627F9"/>
    <w:rsid w:val="00C644C6"/>
    <w:rsid w:val="00C6584D"/>
    <w:rsid w:val="00C67B8F"/>
    <w:rsid w:val="00C929E0"/>
    <w:rsid w:val="00CA02BC"/>
    <w:rsid w:val="00CB4E5A"/>
    <w:rsid w:val="00CC7110"/>
    <w:rsid w:val="00CC73D7"/>
    <w:rsid w:val="00CF0AC0"/>
    <w:rsid w:val="00CF0AD7"/>
    <w:rsid w:val="00CF0BE1"/>
    <w:rsid w:val="00CF1A58"/>
    <w:rsid w:val="00CF25B1"/>
    <w:rsid w:val="00CF5665"/>
    <w:rsid w:val="00CF7C42"/>
    <w:rsid w:val="00D061C5"/>
    <w:rsid w:val="00D14AB0"/>
    <w:rsid w:val="00D206AB"/>
    <w:rsid w:val="00D33CBF"/>
    <w:rsid w:val="00D35CBC"/>
    <w:rsid w:val="00D52A14"/>
    <w:rsid w:val="00D74599"/>
    <w:rsid w:val="00D90575"/>
    <w:rsid w:val="00DA0469"/>
    <w:rsid w:val="00DB548A"/>
    <w:rsid w:val="00DC4ABC"/>
    <w:rsid w:val="00DD13B7"/>
    <w:rsid w:val="00DD2455"/>
    <w:rsid w:val="00DF3B0C"/>
    <w:rsid w:val="00E148F2"/>
    <w:rsid w:val="00E14984"/>
    <w:rsid w:val="00E22A25"/>
    <w:rsid w:val="00E2414B"/>
    <w:rsid w:val="00E249E0"/>
    <w:rsid w:val="00E4252D"/>
    <w:rsid w:val="00E560F1"/>
    <w:rsid w:val="00E56380"/>
    <w:rsid w:val="00E9167E"/>
    <w:rsid w:val="00E92319"/>
    <w:rsid w:val="00F23C1D"/>
    <w:rsid w:val="00F469EB"/>
    <w:rsid w:val="00F532F9"/>
    <w:rsid w:val="00F65C1D"/>
    <w:rsid w:val="00F66B87"/>
    <w:rsid w:val="00F7417E"/>
    <w:rsid w:val="00F837F4"/>
    <w:rsid w:val="00F94A9C"/>
    <w:rsid w:val="00FC10ED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FDA90EF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7D3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987271b-a8fd-4e12-9b39-678458668862">DPM</DPM_x0020_Author>
    <DPM_x0020_File_x0020_name xmlns="3987271b-a8fd-4e12-9b39-678458668862">T17-WTSA.20-C-0039!A3!MSW-C</DPM_x0020_File_x0020_name>
    <DPM_x0020_Version xmlns="3987271b-a8fd-4e12-9b39-678458668862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987271b-a8fd-4e12-9b39-678458668862" targetNamespace="http://schemas.microsoft.com/office/2006/metadata/properties" ma:root="true" ma:fieldsID="d41af5c836d734370eb92e7ee5f83852" ns2:_="" ns3:_="">
    <xsd:import namespace="996b2e75-67fd-4955-a3b0-5ab9934cb50b"/>
    <xsd:import namespace="3987271b-a8fd-4e12-9b39-67845866886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271b-a8fd-4e12-9b39-67845866886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7271b-a8fd-4e12-9b39-67845866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987271b-a8fd-4e12-9b39-67845866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T17-WTSA.20-C-0039!A3!MSW-C</vt:lpstr>
    </vt:vector>
  </TitlesOfParts>
  <Manager>General Secretariat - Pool</Manager>
  <Company>International Telecommunication Union (ITU)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T17-WTSA.20-C-0039!A3!MSW-C</dc:title>
  <dc:subject>World Telecommunication Standardization Assembly</dc:subject>
  <dc:creator>Documents Proposals Manager (DPM)</dc:creator>
  <cp:keywords>DPM_v2019.11.13.1_test</cp:keywords>
  <dc:description>Template used by DPM and CPI for the WTSA-16</dc:description>
  <cp:lastModifiedBy>LI, Ziqian</cp:lastModifiedBy>
  <cp:revision>9</cp:revision>
  <cp:lastPrinted>2016-06-07T13:24:00Z</cp:lastPrinted>
  <dcterms:created xsi:type="dcterms:W3CDTF">2021-08-26T06:54:00Z</dcterms:created>
  <dcterms:modified xsi:type="dcterms:W3CDTF">2021-09-24T12:34:00Z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