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803"/>
        <w:gridCol w:w="3007"/>
      </w:tblGrid>
      <w:tr w:rsidR="00CF2532" w:rsidRPr="00A16FCA" w14:paraId="7AB56CAC" w14:textId="77777777" w:rsidTr="00CF2532">
        <w:trPr>
          <w:cantSplit/>
        </w:trPr>
        <w:tc>
          <w:tcPr>
            <w:tcW w:w="6804" w:type="dxa"/>
            <w:vAlign w:val="center"/>
          </w:tcPr>
          <w:p w14:paraId="22A5492B" w14:textId="0FECEE46" w:rsidR="00CF2532" w:rsidRPr="00A16FCA" w:rsidRDefault="00CF2532" w:rsidP="002C250D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A16FCA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A16FCA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A16FCA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AB140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</w:t>
            </w:r>
            <w:r w:rsidR="004B35D2" w:rsidRP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1</w:t>
            </w:r>
            <w:r w:rsidR="00153859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A16FC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</w:t>
            </w:r>
            <w:r w:rsidR="00CE36EA" w:rsidRPr="00A16FC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202</w:t>
            </w:r>
            <w:r w:rsid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39F4AD9F" w14:textId="77777777" w:rsidR="00CF2532" w:rsidRPr="00A16FCA" w:rsidRDefault="00CF2532" w:rsidP="002C250D">
            <w:pPr>
              <w:spacing w:before="0"/>
              <w:rPr>
                <w:lang w:val="fr-FR"/>
              </w:rPr>
            </w:pPr>
            <w:r w:rsidRPr="00A16FCA">
              <w:rPr>
                <w:noProof/>
                <w:lang w:val="en-US"/>
              </w:rPr>
              <w:drawing>
                <wp:inline distT="0" distB="0" distL="0" distR="0" wp14:anchorId="1914266F" wp14:editId="351336E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A16FCA" w14:paraId="40AAC673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1D17005E" w14:textId="77777777" w:rsidR="00595780" w:rsidRPr="00A16FCA" w:rsidRDefault="00595780" w:rsidP="002C250D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1675CF9F" w14:textId="77777777" w:rsidR="00595780" w:rsidRPr="00A16FCA" w:rsidRDefault="00595780" w:rsidP="002C250D">
            <w:pPr>
              <w:spacing w:before="0"/>
              <w:rPr>
                <w:lang w:val="fr-FR"/>
              </w:rPr>
            </w:pPr>
          </w:p>
        </w:tc>
      </w:tr>
      <w:tr w:rsidR="001D581B" w:rsidRPr="00A16FCA" w14:paraId="70E097D7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728C12C0" w14:textId="77777777" w:rsidR="00595780" w:rsidRPr="00A16FCA" w:rsidRDefault="00595780" w:rsidP="002C250D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02B83BF3" w14:textId="77777777" w:rsidR="00595780" w:rsidRPr="00A16FCA" w:rsidRDefault="00595780" w:rsidP="002C250D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A16FCA" w14:paraId="732D799E" w14:textId="77777777" w:rsidTr="00530525">
        <w:trPr>
          <w:cantSplit/>
        </w:trPr>
        <w:tc>
          <w:tcPr>
            <w:tcW w:w="6804" w:type="dxa"/>
          </w:tcPr>
          <w:p w14:paraId="732E06A5" w14:textId="77777777" w:rsidR="00C26BA2" w:rsidRPr="00A16FCA" w:rsidRDefault="00C26BA2" w:rsidP="002C250D">
            <w:pPr>
              <w:spacing w:before="0"/>
              <w:rPr>
                <w:lang w:val="fr-FR"/>
              </w:rPr>
            </w:pPr>
            <w:r w:rsidRPr="00A16FCA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47C1DC4E" w14:textId="696AB4A6" w:rsidR="00C26BA2" w:rsidRPr="00A16FCA" w:rsidRDefault="00C26BA2" w:rsidP="002C250D">
            <w:pPr>
              <w:pStyle w:val="DocNumber"/>
              <w:rPr>
                <w:lang w:val="fr-FR"/>
              </w:rPr>
            </w:pPr>
            <w:r>
              <w:rPr>
                <w:lang w:val="fr-FR"/>
              </w:rPr>
              <w:t>Addendum 8 au</w:t>
            </w:r>
            <w:r>
              <w:rPr>
                <w:lang w:val="fr-FR"/>
              </w:rPr>
              <w:br/>
              <w:t>Document 39</w:t>
            </w:r>
            <w:r w:rsidR="00E0580D">
              <w:rPr>
                <w:lang w:val="fr-FR"/>
              </w:rPr>
              <w:t>-F</w:t>
            </w:r>
          </w:p>
        </w:tc>
      </w:tr>
      <w:tr w:rsidR="001D581B" w:rsidRPr="00A16FCA" w14:paraId="35311BCF" w14:textId="77777777" w:rsidTr="00530525">
        <w:trPr>
          <w:cantSplit/>
        </w:trPr>
        <w:tc>
          <w:tcPr>
            <w:tcW w:w="6804" w:type="dxa"/>
          </w:tcPr>
          <w:p w14:paraId="329FA812" w14:textId="77777777" w:rsidR="00595780" w:rsidRPr="00A16FCA" w:rsidRDefault="00595780" w:rsidP="002C250D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31FF962D" w14:textId="77777777" w:rsidR="00595780" w:rsidRPr="00A16FCA" w:rsidRDefault="00C26BA2" w:rsidP="002C250D">
            <w:pPr>
              <w:spacing w:before="0"/>
              <w:rPr>
                <w:lang w:val="fr-FR"/>
              </w:rPr>
            </w:pPr>
            <w:r w:rsidRPr="00A16FCA">
              <w:rPr>
                <w:rFonts w:ascii="Verdana" w:hAnsi="Verdana"/>
                <w:b/>
                <w:sz w:val="20"/>
                <w:lang w:val="fr-FR"/>
              </w:rPr>
              <w:t>24 mars 2021</w:t>
            </w:r>
          </w:p>
        </w:tc>
      </w:tr>
      <w:tr w:rsidR="001D581B" w:rsidRPr="00A16FCA" w14:paraId="3A63A9BF" w14:textId="77777777" w:rsidTr="00530525">
        <w:trPr>
          <w:cantSplit/>
        </w:trPr>
        <w:tc>
          <w:tcPr>
            <w:tcW w:w="6804" w:type="dxa"/>
          </w:tcPr>
          <w:p w14:paraId="38049769" w14:textId="77777777" w:rsidR="00595780" w:rsidRPr="00A16FCA" w:rsidRDefault="00595780" w:rsidP="002C250D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23316E5D" w14:textId="77777777" w:rsidR="00595780" w:rsidRPr="00A16FCA" w:rsidRDefault="00C26BA2" w:rsidP="002C250D">
            <w:pPr>
              <w:spacing w:before="0"/>
              <w:rPr>
                <w:lang w:val="fr-FR"/>
              </w:rPr>
            </w:pPr>
            <w:r w:rsidRPr="00A16FCA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A16FCA" w14:paraId="22AE596D" w14:textId="77777777" w:rsidTr="00530525">
        <w:trPr>
          <w:cantSplit/>
        </w:trPr>
        <w:tc>
          <w:tcPr>
            <w:tcW w:w="9811" w:type="dxa"/>
            <w:gridSpan w:val="2"/>
          </w:tcPr>
          <w:p w14:paraId="1C73D490" w14:textId="77777777" w:rsidR="000032AD" w:rsidRPr="00A16FCA" w:rsidRDefault="000032AD" w:rsidP="002C250D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AB1402" w14:paraId="22677894" w14:textId="77777777" w:rsidTr="00530525">
        <w:trPr>
          <w:cantSplit/>
        </w:trPr>
        <w:tc>
          <w:tcPr>
            <w:tcW w:w="9811" w:type="dxa"/>
            <w:gridSpan w:val="2"/>
          </w:tcPr>
          <w:p w14:paraId="15A97E85" w14:textId="3DD129B7" w:rsidR="00595780" w:rsidRPr="00A16FCA" w:rsidRDefault="00E0580D" w:rsidP="002C250D">
            <w:pPr>
              <w:pStyle w:val="Source"/>
              <w:rPr>
                <w:lang w:val="fr-FR"/>
              </w:rPr>
            </w:pPr>
            <w:r>
              <w:rPr>
                <w:lang w:val="fr-FR"/>
              </w:rPr>
              <w:t>É</w:t>
            </w:r>
            <w:r w:rsidR="00C26BA2" w:rsidRPr="00A16FCA">
              <w:rPr>
                <w:lang w:val="fr-FR"/>
              </w:rPr>
              <w:t>tats Membres de la Commission interaméricaine des télécommunications (CITEL)</w:t>
            </w:r>
          </w:p>
        </w:tc>
      </w:tr>
      <w:tr w:rsidR="00595780" w:rsidRPr="00AB1402" w14:paraId="15B791C6" w14:textId="77777777" w:rsidTr="00530525">
        <w:trPr>
          <w:cantSplit/>
        </w:trPr>
        <w:tc>
          <w:tcPr>
            <w:tcW w:w="9811" w:type="dxa"/>
            <w:gridSpan w:val="2"/>
          </w:tcPr>
          <w:p w14:paraId="76898B72" w14:textId="079D2230" w:rsidR="00595780" w:rsidRPr="00A16FCA" w:rsidRDefault="00584F90" w:rsidP="002C250D">
            <w:pPr>
              <w:pStyle w:val="Title1"/>
              <w:rPr>
                <w:lang w:val="fr-FR"/>
              </w:rPr>
            </w:pPr>
            <w:r>
              <w:rPr>
                <w:lang w:val="fr-FR"/>
              </w:rPr>
              <w:t>PROPOSITION DE SUPPRESSION DE LA RÉSOLUTION</w:t>
            </w:r>
            <w:r w:rsidR="00C26BA2" w:rsidRPr="00A16FCA">
              <w:rPr>
                <w:lang w:val="fr-FR"/>
              </w:rPr>
              <w:t xml:space="preserve"> 90</w:t>
            </w:r>
          </w:p>
        </w:tc>
      </w:tr>
      <w:tr w:rsidR="00595780" w:rsidRPr="00AB1402" w14:paraId="05220AF5" w14:textId="77777777" w:rsidTr="00530525">
        <w:trPr>
          <w:cantSplit/>
        </w:trPr>
        <w:tc>
          <w:tcPr>
            <w:tcW w:w="9811" w:type="dxa"/>
            <w:gridSpan w:val="2"/>
          </w:tcPr>
          <w:p w14:paraId="3E60080F" w14:textId="77777777" w:rsidR="00595780" w:rsidRPr="00A16FCA" w:rsidRDefault="00595780" w:rsidP="002C250D">
            <w:pPr>
              <w:pStyle w:val="Title2"/>
              <w:rPr>
                <w:lang w:val="fr-FR"/>
              </w:rPr>
            </w:pPr>
          </w:p>
        </w:tc>
      </w:tr>
      <w:tr w:rsidR="00C26BA2" w:rsidRPr="00AB1402" w14:paraId="722C8DDE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060B14E0" w14:textId="77777777" w:rsidR="00C26BA2" w:rsidRPr="00A16FCA" w:rsidRDefault="00C26BA2" w:rsidP="002C250D">
            <w:pPr>
              <w:pStyle w:val="Agendaitem"/>
              <w:rPr>
                <w:lang w:val="fr-FR"/>
              </w:rPr>
            </w:pPr>
          </w:p>
        </w:tc>
      </w:tr>
    </w:tbl>
    <w:p w14:paraId="324B7C34" w14:textId="77777777" w:rsidR="00E11197" w:rsidRPr="00A16FCA" w:rsidRDefault="00E11197" w:rsidP="002C250D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1"/>
        <w:gridCol w:w="7899"/>
      </w:tblGrid>
      <w:tr w:rsidR="00E11197" w:rsidRPr="00AB1402" w14:paraId="645E8649" w14:textId="77777777" w:rsidTr="00E0580D">
        <w:trPr>
          <w:cantSplit/>
        </w:trPr>
        <w:tc>
          <w:tcPr>
            <w:tcW w:w="1911" w:type="dxa"/>
          </w:tcPr>
          <w:p w14:paraId="14E8A8CA" w14:textId="77777777" w:rsidR="00E11197" w:rsidRPr="00A16FCA" w:rsidRDefault="00E11197" w:rsidP="002C250D">
            <w:pPr>
              <w:rPr>
                <w:lang w:val="fr-FR"/>
              </w:rPr>
            </w:pPr>
            <w:r w:rsidRPr="00A16FCA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99" w:type="dxa"/>
          </w:tcPr>
          <w:p w14:paraId="3CA01551" w14:textId="1C22AD02" w:rsidR="00E11197" w:rsidRPr="002C250D" w:rsidRDefault="004D4379" w:rsidP="002C250D">
            <w:pPr>
              <w:rPr>
                <w:color w:val="000000" w:themeColor="text1"/>
                <w:lang w:val="fr-CH"/>
              </w:rPr>
            </w:pPr>
            <w:r w:rsidRPr="002B6C42">
              <w:rPr>
                <w:color w:val="000000" w:themeColor="text1"/>
                <w:lang w:val="fr-FR"/>
              </w:rPr>
              <w:t xml:space="preserve">Bien que la Résolution 90 de l'AMNT </w:t>
            </w:r>
            <w:r w:rsidR="002B6C42" w:rsidRPr="002B6C42">
              <w:rPr>
                <w:color w:val="000000" w:themeColor="text1"/>
                <w:lang w:val="fr-FR"/>
              </w:rPr>
              <w:t>traite du code source ouvert au sein du Sect</w:t>
            </w:r>
            <w:r w:rsidR="002B6C42">
              <w:rPr>
                <w:color w:val="000000" w:themeColor="text1"/>
                <w:lang w:val="fr-FR"/>
              </w:rPr>
              <w:t xml:space="preserve">eur de la normalisation des télécommunications de l'UIT, de nombreuses commissions d'études </w:t>
            </w:r>
            <w:r w:rsidR="003E2F9A">
              <w:rPr>
                <w:color w:val="000000" w:themeColor="text1"/>
                <w:lang w:val="fr-FR"/>
              </w:rPr>
              <w:t>participent déjà</w:t>
            </w:r>
            <w:r w:rsidR="00CE6B1A">
              <w:rPr>
                <w:color w:val="000000" w:themeColor="text1"/>
                <w:lang w:val="fr-FR"/>
              </w:rPr>
              <w:t xml:space="preserve"> avec succès</w:t>
            </w:r>
            <w:r w:rsidR="003E2F9A">
              <w:rPr>
                <w:color w:val="000000" w:themeColor="text1"/>
                <w:lang w:val="fr-FR"/>
              </w:rPr>
              <w:t xml:space="preserve"> à des projets </w:t>
            </w:r>
            <w:r w:rsidR="001E6ADA">
              <w:rPr>
                <w:color w:val="000000" w:themeColor="text1"/>
                <w:lang w:val="fr-FR"/>
              </w:rPr>
              <w:t>sur le code source ouvert</w:t>
            </w:r>
            <w:r w:rsidR="00CE6B1A">
              <w:rPr>
                <w:color w:val="000000" w:themeColor="text1"/>
                <w:lang w:val="fr-FR"/>
              </w:rPr>
              <w:t xml:space="preserve">, </w:t>
            </w:r>
            <w:r w:rsidR="000D4964">
              <w:rPr>
                <w:color w:val="000000" w:themeColor="text1"/>
                <w:lang w:val="fr-FR"/>
              </w:rPr>
              <w:t xml:space="preserve">sans </w:t>
            </w:r>
            <w:r w:rsidR="006F7878">
              <w:rPr>
                <w:color w:val="000000" w:themeColor="text1"/>
                <w:lang w:val="fr-FR"/>
              </w:rPr>
              <w:t>que cette Résolution soit nécessaire</w:t>
            </w:r>
            <w:r w:rsidR="00326621">
              <w:rPr>
                <w:color w:val="000000" w:themeColor="text1"/>
                <w:lang w:val="fr-FR"/>
              </w:rPr>
              <w:t xml:space="preserve">. </w:t>
            </w:r>
            <w:r w:rsidR="007D2FD3" w:rsidRPr="007D2FD3">
              <w:rPr>
                <w:color w:val="000000" w:themeColor="text1"/>
                <w:lang w:val="fr-FR"/>
              </w:rPr>
              <w:t xml:space="preserve">En conséquence, dans un souci de rationalisation, la Résolution 90 peut être supprimée. </w:t>
            </w:r>
          </w:p>
        </w:tc>
      </w:tr>
    </w:tbl>
    <w:p w14:paraId="1B92C7E6" w14:textId="77777777" w:rsidR="00081194" w:rsidRPr="002C250D" w:rsidRDefault="00081194" w:rsidP="002C250D">
      <w:pPr>
        <w:rPr>
          <w:lang w:val="fr-CH"/>
        </w:rPr>
      </w:pPr>
    </w:p>
    <w:p w14:paraId="690B8B75" w14:textId="77777777" w:rsidR="00F776DF" w:rsidRPr="002C250D" w:rsidRDefault="00F776DF" w:rsidP="002C250D">
      <w:pPr>
        <w:rPr>
          <w:lang w:val="fr-CH"/>
        </w:rPr>
      </w:pPr>
      <w:r w:rsidRPr="002C250D">
        <w:rPr>
          <w:lang w:val="fr-CH"/>
        </w:rPr>
        <w:br w:type="page"/>
      </w:r>
    </w:p>
    <w:p w14:paraId="309A6DE3" w14:textId="0E37522F" w:rsidR="005F6549" w:rsidRPr="00584F90" w:rsidRDefault="00E0580D" w:rsidP="00B35515">
      <w:pPr>
        <w:pStyle w:val="Proposal"/>
        <w:tabs>
          <w:tab w:val="center" w:pos="4819"/>
        </w:tabs>
        <w:rPr>
          <w:lang w:val="fr-FR"/>
        </w:rPr>
      </w:pPr>
      <w:r w:rsidRPr="00584F90">
        <w:rPr>
          <w:lang w:val="fr-FR"/>
        </w:rPr>
        <w:lastRenderedPageBreak/>
        <w:t>SUP</w:t>
      </w:r>
      <w:r w:rsidRPr="00584F90">
        <w:rPr>
          <w:lang w:val="fr-FR"/>
        </w:rPr>
        <w:tab/>
        <w:t>IAP/39A8/1</w:t>
      </w:r>
    </w:p>
    <w:p w14:paraId="2F7663D3" w14:textId="77777777" w:rsidR="006946D1" w:rsidRPr="001A2BC3" w:rsidRDefault="00E0580D" w:rsidP="002C250D">
      <w:pPr>
        <w:pStyle w:val="ResNo"/>
        <w:rPr>
          <w:b/>
          <w:bCs w:val="0"/>
          <w:lang w:val="fr-FR"/>
        </w:rPr>
      </w:pPr>
      <w:bookmarkStart w:id="0" w:name="_Toc475539651"/>
      <w:bookmarkStart w:id="1" w:name="_Toc475542360"/>
      <w:bookmarkStart w:id="2" w:name="_Toc476211462"/>
      <w:bookmarkStart w:id="3" w:name="_Toc476213399"/>
      <w:r w:rsidRPr="001A2BC3">
        <w:rPr>
          <w:lang w:val="fr-FR"/>
        </w:rPr>
        <w:t>RÉSOLUTION 90 (H</w:t>
      </w:r>
      <w:r w:rsidRPr="001A2BC3">
        <w:rPr>
          <w:caps w:val="0"/>
          <w:lang w:val="fr-FR"/>
        </w:rPr>
        <w:t>ammamet</w:t>
      </w:r>
      <w:r w:rsidRPr="001A2BC3">
        <w:rPr>
          <w:lang w:val="fr-FR"/>
        </w:rPr>
        <w:t>, 2016)</w:t>
      </w:r>
      <w:bookmarkEnd w:id="0"/>
      <w:bookmarkEnd w:id="1"/>
      <w:bookmarkEnd w:id="2"/>
      <w:bookmarkEnd w:id="3"/>
    </w:p>
    <w:p w14:paraId="6BE05EA1" w14:textId="77777777" w:rsidR="006946D1" w:rsidRPr="001A2BC3" w:rsidRDefault="00E0580D" w:rsidP="002C250D">
      <w:pPr>
        <w:pStyle w:val="Restitle"/>
        <w:rPr>
          <w:lang w:val="fr-FR"/>
        </w:rPr>
      </w:pPr>
      <w:bookmarkStart w:id="4" w:name="_Toc475539652"/>
      <w:bookmarkStart w:id="5" w:name="_Toc475542361"/>
      <w:bookmarkStart w:id="6" w:name="_Toc476211463"/>
      <w:bookmarkStart w:id="7" w:name="_Toc476213400"/>
      <w:r w:rsidRPr="001A2BC3">
        <w:rPr>
          <w:lang w:val="fr-FR"/>
        </w:rPr>
        <w:t>Code source ouvert au sein du Secteur de la normalisation des</w:t>
      </w:r>
      <w:r w:rsidRPr="001A2BC3">
        <w:rPr>
          <w:lang w:val="fr-FR"/>
        </w:rPr>
        <w:t> </w:t>
      </w:r>
      <w:r w:rsidRPr="001A2BC3">
        <w:rPr>
          <w:lang w:val="fr-FR"/>
        </w:rPr>
        <w:t>t</w:t>
      </w:r>
      <w:r w:rsidRPr="001A2BC3">
        <w:rPr>
          <w:lang w:val="fr-FR"/>
        </w:rPr>
        <w:t>é</w:t>
      </w:r>
      <w:r w:rsidRPr="001A2BC3">
        <w:rPr>
          <w:lang w:val="fr-FR"/>
        </w:rPr>
        <w:t>l</w:t>
      </w:r>
      <w:r w:rsidRPr="001A2BC3">
        <w:rPr>
          <w:lang w:val="fr-FR"/>
        </w:rPr>
        <w:t>é</w:t>
      </w:r>
      <w:r w:rsidRPr="001A2BC3">
        <w:rPr>
          <w:lang w:val="fr-FR"/>
        </w:rPr>
        <w:t>communications de l'UIT</w:t>
      </w:r>
      <w:bookmarkEnd w:id="4"/>
      <w:bookmarkEnd w:id="5"/>
      <w:bookmarkEnd w:id="6"/>
      <w:bookmarkEnd w:id="7"/>
    </w:p>
    <w:p w14:paraId="199B438C" w14:textId="77777777" w:rsidR="006946D1" w:rsidRPr="001A2BC3" w:rsidRDefault="00E0580D" w:rsidP="002C250D">
      <w:pPr>
        <w:pStyle w:val="Resref"/>
      </w:pPr>
      <w:r w:rsidRPr="001A2BC3">
        <w:t>(Hammamet, 2016)</w:t>
      </w:r>
    </w:p>
    <w:p w14:paraId="747B0B7A" w14:textId="77777777" w:rsidR="006946D1" w:rsidRPr="001A2BC3" w:rsidRDefault="00E0580D" w:rsidP="002C250D">
      <w:pPr>
        <w:pStyle w:val="Normalaftertitle0"/>
        <w:rPr>
          <w:lang w:val="fr-FR"/>
        </w:rPr>
      </w:pPr>
      <w:r w:rsidRPr="001A2BC3">
        <w:rPr>
          <w:lang w:val="fr-FR"/>
        </w:rPr>
        <w:t>L'Assemblée mondiale de normalisation des télécommunications (Hammamet, 2016),</w:t>
      </w:r>
    </w:p>
    <w:p w14:paraId="2F743B50" w14:textId="32D9FD55" w:rsidR="005F6549" w:rsidRPr="00AD68F7" w:rsidRDefault="00E0580D" w:rsidP="002C250D">
      <w:pPr>
        <w:pStyle w:val="Reasons"/>
        <w:tabs>
          <w:tab w:val="clear" w:pos="794"/>
        </w:tabs>
        <w:rPr>
          <w:lang w:val="fr-FR"/>
        </w:rPr>
      </w:pPr>
      <w:r w:rsidRPr="006F7878">
        <w:rPr>
          <w:b/>
          <w:lang w:val="fr-FR"/>
        </w:rPr>
        <w:t>Motifs:</w:t>
      </w:r>
      <w:r w:rsidRPr="006F7878">
        <w:rPr>
          <w:lang w:val="fr-FR"/>
        </w:rPr>
        <w:tab/>
      </w:r>
      <w:r w:rsidR="006F7878" w:rsidRPr="006F7878">
        <w:rPr>
          <w:lang w:val="fr-FR"/>
        </w:rPr>
        <w:t xml:space="preserve">La participation à des projets sur le </w:t>
      </w:r>
      <w:r w:rsidR="006F7878">
        <w:rPr>
          <w:lang w:val="fr-FR"/>
        </w:rPr>
        <w:t xml:space="preserve">code source ouvert est essentielle </w:t>
      </w:r>
      <w:r w:rsidR="00BA6E90">
        <w:rPr>
          <w:lang w:val="fr-FR"/>
        </w:rPr>
        <w:t>au développement et à l'évolution</w:t>
      </w:r>
      <w:r w:rsidR="00965CC8">
        <w:rPr>
          <w:lang w:val="fr-FR"/>
        </w:rPr>
        <w:t xml:space="preserve"> rapides</w:t>
      </w:r>
      <w:r w:rsidR="00BA6E90">
        <w:rPr>
          <w:lang w:val="fr-FR"/>
        </w:rPr>
        <w:t xml:space="preserve"> du processus de normalisation. </w:t>
      </w:r>
      <w:r w:rsidR="00965CC8">
        <w:rPr>
          <w:lang w:val="fr-FR"/>
        </w:rPr>
        <w:t>Or</w:t>
      </w:r>
      <w:r w:rsidR="00B77B80" w:rsidRPr="00B30B62">
        <w:rPr>
          <w:lang w:val="fr-FR"/>
        </w:rPr>
        <w:t xml:space="preserve">, la Résolution 90 </w:t>
      </w:r>
      <w:r w:rsidRPr="00B30B62">
        <w:rPr>
          <w:lang w:val="fr-FR"/>
        </w:rPr>
        <w:t xml:space="preserve">(Hammamet, 2016) </w:t>
      </w:r>
      <w:r w:rsidR="002E5A06" w:rsidRPr="00B30B62">
        <w:rPr>
          <w:lang w:val="fr-FR"/>
        </w:rPr>
        <w:t>s'est avérée inutile</w:t>
      </w:r>
      <w:r w:rsidRPr="00B30B62">
        <w:rPr>
          <w:lang w:val="fr-FR"/>
        </w:rPr>
        <w:t>,</w:t>
      </w:r>
      <w:r w:rsidR="00B30B62" w:rsidRPr="00B30B62">
        <w:rPr>
          <w:lang w:val="fr-FR"/>
        </w:rPr>
        <w:t xml:space="preserve"> étant donné que de nombre</w:t>
      </w:r>
      <w:r w:rsidR="00B30B62">
        <w:rPr>
          <w:lang w:val="fr-FR"/>
        </w:rPr>
        <w:t xml:space="preserve">uses commissions d'études </w:t>
      </w:r>
      <w:r w:rsidR="000F3C7B">
        <w:rPr>
          <w:lang w:val="fr-FR"/>
        </w:rPr>
        <w:t xml:space="preserve">tirent </w:t>
      </w:r>
      <w:r w:rsidR="009B1F95">
        <w:rPr>
          <w:lang w:val="fr-FR"/>
        </w:rPr>
        <w:t xml:space="preserve">déjà </w:t>
      </w:r>
      <w:r w:rsidR="000F3C7B">
        <w:rPr>
          <w:lang w:val="fr-FR"/>
        </w:rPr>
        <w:t xml:space="preserve">parti du code source ouvert </w:t>
      </w:r>
      <w:r w:rsidR="00965CC8">
        <w:rPr>
          <w:lang w:val="fr-FR"/>
        </w:rPr>
        <w:t>pour</w:t>
      </w:r>
      <w:r w:rsidR="000F3C7B">
        <w:rPr>
          <w:lang w:val="fr-FR"/>
        </w:rPr>
        <w:t xml:space="preserve"> l'élaboration de</w:t>
      </w:r>
      <w:r w:rsidR="00965CC8">
        <w:rPr>
          <w:lang w:val="fr-FR"/>
        </w:rPr>
        <w:t>s</w:t>
      </w:r>
      <w:r w:rsidR="000F3C7B">
        <w:rPr>
          <w:lang w:val="fr-FR"/>
        </w:rPr>
        <w:t xml:space="preserve"> Recommandations</w:t>
      </w:r>
      <w:r w:rsidR="0009542E">
        <w:rPr>
          <w:lang w:val="fr-FR"/>
        </w:rPr>
        <w:t xml:space="preserve"> de</w:t>
      </w:r>
      <w:r w:rsidR="000F3C7B">
        <w:rPr>
          <w:lang w:val="fr-FR"/>
        </w:rPr>
        <w:t xml:space="preserve"> </w:t>
      </w:r>
      <w:r w:rsidR="0009542E">
        <w:rPr>
          <w:lang w:val="fr-FR"/>
        </w:rPr>
        <w:t>l'</w:t>
      </w:r>
      <w:r w:rsidR="000F3C7B">
        <w:rPr>
          <w:lang w:val="fr-FR"/>
        </w:rPr>
        <w:t xml:space="preserve">UIT-T. </w:t>
      </w:r>
      <w:r w:rsidR="00965CC8">
        <w:rPr>
          <w:lang w:val="fr-FR"/>
        </w:rPr>
        <w:t>Ainsi</w:t>
      </w:r>
      <w:r w:rsidR="000F3C7B" w:rsidRPr="000F3C7B">
        <w:rPr>
          <w:lang w:val="fr-FR"/>
        </w:rPr>
        <w:t xml:space="preserve">, </w:t>
      </w:r>
      <w:r w:rsidR="0009542E">
        <w:rPr>
          <w:lang w:val="fr-FR"/>
        </w:rPr>
        <w:t>au sein d</w:t>
      </w:r>
      <w:r w:rsidR="00965CC8">
        <w:rPr>
          <w:lang w:val="fr-FR"/>
        </w:rPr>
        <w:t xml:space="preserve">e la </w:t>
      </w:r>
      <w:r w:rsidR="00021353">
        <w:rPr>
          <w:lang w:val="fr-FR"/>
        </w:rPr>
        <w:t>Commission d'études 15 de l'UIT-T</w:t>
      </w:r>
      <w:r w:rsidR="0009542E">
        <w:rPr>
          <w:lang w:val="fr-FR"/>
        </w:rPr>
        <w:t xml:space="preserve">, </w:t>
      </w:r>
      <w:r w:rsidR="004573C2">
        <w:rPr>
          <w:lang w:val="fr-FR"/>
        </w:rPr>
        <w:t>les responsables de l'étude de la Question 14/15</w:t>
      </w:r>
      <w:r w:rsidR="00021353">
        <w:rPr>
          <w:lang w:val="fr-FR"/>
        </w:rPr>
        <w:t xml:space="preserve"> utilise</w:t>
      </w:r>
      <w:r w:rsidR="004573C2">
        <w:rPr>
          <w:lang w:val="fr-FR"/>
        </w:rPr>
        <w:t>nt</w:t>
      </w:r>
      <w:r w:rsidR="00021353">
        <w:rPr>
          <w:lang w:val="fr-FR"/>
        </w:rPr>
        <w:t xml:space="preserve"> </w:t>
      </w:r>
      <w:r w:rsidR="00795511">
        <w:rPr>
          <w:lang w:val="fr-FR"/>
        </w:rPr>
        <w:t>des outils à code source ouvert et élabore</w:t>
      </w:r>
      <w:r w:rsidR="004573C2">
        <w:rPr>
          <w:lang w:val="fr-FR"/>
        </w:rPr>
        <w:t>nt</w:t>
      </w:r>
      <w:r w:rsidR="00795511">
        <w:rPr>
          <w:lang w:val="fr-FR"/>
        </w:rPr>
        <w:t xml:space="preserve"> des modèles </w:t>
      </w:r>
      <w:r w:rsidR="00230266">
        <w:rPr>
          <w:lang w:val="fr-FR"/>
        </w:rPr>
        <w:t xml:space="preserve">de données </w:t>
      </w:r>
      <w:r w:rsidR="00795511">
        <w:rPr>
          <w:lang w:val="fr-FR"/>
        </w:rPr>
        <w:t>YANG</w:t>
      </w:r>
      <w:r w:rsidR="004978FE">
        <w:rPr>
          <w:lang w:val="fr-FR"/>
        </w:rPr>
        <w:t xml:space="preserve"> en </w:t>
      </w:r>
      <w:r w:rsidR="00230266">
        <w:rPr>
          <w:lang w:val="fr-FR"/>
        </w:rPr>
        <w:t>mettant à profit le</w:t>
      </w:r>
      <w:r w:rsidR="004978FE">
        <w:rPr>
          <w:lang w:val="fr-FR"/>
        </w:rPr>
        <w:t xml:space="preserve"> catalogue et </w:t>
      </w:r>
      <w:r w:rsidR="00230266">
        <w:rPr>
          <w:lang w:val="fr-FR"/>
        </w:rPr>
        <w:t>le</w:t>
      </w:r>
      <w:r w:rsidR="004978FE">
        <w:rPr>
          <w:lang w:val="fr-FR"/>
        </w:rPr>
        <w:t xml:space="preserve"> répertoire </w:t>
      </w:r>
      <w:r w:rsidR="006060C5">
        <w:rPr>
          <w:lang w:val="fr-FR"/>
        </w:rPr>
        <w:t xml:space="preserve">sur les données YANG </w:t>
      </w:r>
      <w:r w:rsidR="004978FE">
        <w:rPr>
          <w:lang w:val="fr-FR"/>
        </w:rPr>
        <w:t xml:space="preserve">du </w:t>
      </w:r>
      <w:r w:rsidR="004978FE" w:rsidRPr="004978FE">
        <w:rPr>
          <w:color w:val="000000"/>
          <w:lang w:val="fr-FR"/>
        </w:rPr>
        <w:t>Groupe d'étude sur l'ingénierie Internet (IETF)</w:t>
      </w:r>
      <w:r w:rsidR="004978FE">
        <w:rPr>
          <w:lang w:val="fr-FR"/>
        </w:rPr>
        <w:t xml:space="preserve">. </w:t>
      </w:r>
      <w:r w:rsidR="00290384" w:rsidRPr="00AD68F7">
        <w:rPr>
          <w:lang w:val="fr-FR"/>
        </w:rPr>
        <w:t xml:space="preserve">Une collaboration a été instaurée avec </w:t>
      </w:r>
      <w:r w:rsidR="006765A5">
        <w:rPr>
          <w:lang w:val="fr-FR"/>
        </w:rPr>
        <w:t xml:space="preserve">l'IETF, </w:t>
      </w:r>
      <w:r w:rsidR="005E2A46" w:rsidRPr="00AD68F7">
        <w:rPr>
          <w:color w:val="000000"/>
          <w:lang w:val="fr-FR"/>
        </w:rPr>
        <w:t>l'Open Networking Foundation (ONF)</w:t>
      </w:r>
      <w:r w:rsidR="00F2519A" w:rsidRPr="00AD68F7">
        <w:rPr>
          <w:color w:val="000000"/>
          <w:lang w:val="fr-FR"/>
        </w:rPr>
        <w:t xml:space="preserve">, le Metro Ethernet Forum (EMF) </w:t>
      </w:r>
      <w:r w:rsidR="00290384" w:rsidRPr="00AD68F7">
        <w:rPr>
          <w:color w:val="000000"/>
          <w:lang w:val="fr-FR"/>
        </w:rPr>
        <w:t>et le Groupe de travail IEEE 802.1</w:t>
      </w:r>
      <w:r w:rsidR="00AD68F7" w:rsidRPr="00AD68F7">
        <w:rPr>
          <w:color w:val="000000"/>
          <w:lang w:val="fr-FR"/>
        </w:rPr>
        <w:t xml:space="preserve"> </w:t>
      </w:r>
      <w:r w:rsidR="00101247">
        <w:rPr>
          <w:color w:val="000000"/>
          <w:lang w:val="fr-FR"/>
        </w:rPr>
        <w:t xml:space="preserve">concernant </w:t>
      </w:r>
      <w:r w:rsidR="00965CC8">
        <w:rPr>
          <w:color w:val="000000"/>
          <w:lang w:val="fr-FR"/>
        </w:rPr>
        <w:t xml:space="preserve">les progrès dans le domaine </w:t>
      </w:r>
      <w:r w:rsidR="00AD68F7">
        <w:rPr>
          <w:color w:val="000000"/>
          <w:lang w:val="fr-FR"/>
        </w:rPr>
        <w:t>des technologies</w:t>
      </w:r>
      <w:r w:rsidR="00965CC8">
        <w:rPr>
          <w:color w:val="000000"/>
          <w:lang w:val="fr-FR"/>
        </w:rPr>
        <w:t xml:space="preserve"> reposant </w:t>
      </w:r>
      <w:r w:rsidR="00AD68F7">
        <w:rPr>
          <w:color w:val="000000"/>
          <w:lang w:val="fr-FR"/>
        </w:rPr>
        <w:t>sur l</w:t>
      </w:r>
      <w:r w:rsidR="00230266">
        <w:rPr>
          <w:color w:val="000000"/>
          <w:lang w:val="fr-FR"/>
        </w:rPr>
        <w:t xml:space="preserve">'exploitation et </w:t>
      </w:r>
      <w:r w:rsidR="002C250D">
        <w:rPr>
          <w:color w:val="000000"/>
          <w:lang w:val="fr-FR"/>
        </w:rPr>
        <w:t>l'</w:t>
      </w:r>
      <w:r w:rsidR="00965CC8">
        <w:rPr>
          <w:color w:val="000000"/>
          <w:lang w:val="fr-FR"/>
        </w:rPr>
        <w:t>élaboration</w:t>
      </w:r>
      <w:r w:rsidR="00230266">
        <w:rPr>
          <w:color w:val="000000"/>
          <w:lang w:val="fr-FR"/>
        </w:rPr>
        <w:t xml:space="preserve"> d'outils à code source ouvert.</w:t>
      </w:r>
      <w:r w:rsidR="00290384" w:rsidRPr="00AD68F7">
        <w:rPr>
          <w:color w:val="000000"/>
          <w:lang w:val="fr-FR"/>
        </w:rPr>
        <w:t xml:space="preserve"> </w:t>
      </w:r>
    </w:p>
    <w:p w14:paraId="743CFD42" w14:textId="77777777" w:rsidR="00E0580D" w:rsidRPr="00AD68F7" w:rsidRDefault="00E0580D" w:rsidP="002C250D">
      <w:pPr>
        <w:rPr>
          <w:lang w:val="fr-FR"/>
        </w:rPr>
      </w:pPr>
    </w:p>
    <w:p w14:paraId="62CCBFD7" w14:textId="77777777" w:rsidR="00E0580D" w:rsidRDefault="00E0580D" w:rsidP="002C250D">
      <w:pPr>
        <w:jc w:val="center"/>
      </w:pPr>
      <w:r>
        <w:t>______________</w:t>
      </w:r>
    </w:p>
    <w:sectPr w:rsidR="00E0580D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7EA6" w14:textId="77777777" w:rsidR="005A0BC8" w:rsidRDefault="005A0BC8">
      <w:r>
        <w:separator/>
      </w:r>
    </w:p>
  </w:endnote>
  <w:endnote w:type="continuationSeparator" w:id="0">
    <w:p w14:paraId="7F1726DE" w14:textId="77777777" w:rsidR="005A0BC8" w:rsidRDefault="005A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C01F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E1E1DE8" w14:textId="4D693B1C" w:rsidR="00E45D05" w:rsidRPr="00E0580D" w:rsidRDefault="00E45D05">
    <w:pPr>
      <w:ind w:right="360"/>
      <w:rPr>
        <w:lang w:val="fr-FR"/>
      </w:rPr>
    </w:pPr>
    <w:r>
      <w:fldChar w:fldCharType="begin"/>
    </w:r>
    <w:r w:rsidRPr="00E0580D">
      <w:rPr>
        <w:lang w:val="fr-FR"/>
      </w:rPr>
      <w:instrText xml:space="preserve"> FILENAME \p  \* MERGEFORMAT </w:instrText>
    </w:r>
    <w:r>
      <w:fldChar w:fldCharType="separate"/>
    </w:r>
    <w:r w:rsidR="00E0580D" w:rsidRPr="00E0580D">
      <w:rPr>
        <w:noProof/>
        <w:lang w:val="fr-FR"/>
      </w:rPr>
      <w:t>P:\TRAD\F\ITU-T\CONF-T\WTSA20\000\039ADD08FMontage.docx</w:t>
    </w:r>
    <w:r>
      <w:fldChar w:fldCharType="end"/>
    </w:r>
    <w:r w:rsidRPr="00E0580D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1402">
      <w:rPr>
        <w:noProof/>
      </w:rPr>
      <w:t>16.08.21</w:t>
    </w:r>
    <w:r>
      <w:fldChar w:fldCharType="end"/>
    </w:r>
    <w:r w:rsidRPr="00E0580D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580D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9FB8" w14:textId="2572FF18" w:rsidR="002C250D" w:rsidRPr="002C250D" w:rsidRDefault="002C250D" w:rsidP="002C250D">
    <w:pPr>
      <w:pStyle w:val="Footer"/>
      <w:rPr>
        <w:lang w:val="fr-FR"/>
      </w:rPr>
    </w:pPr>
    <w:r w:rsidRPr="002C250D">
      <w:fldChar w:fldCharType="begin"/>
    </w:r>
    <w:r w:rsidRPr="002C250D">
      <w:rPr>
        <w:lang w:val="fr-FR"/>
      </w:rPr>
      <w:instrText xml:space="preserve"> FILENAME \p  \* MERGEFORMAT </w:instrText>
    </w:r>
    <w:r w:rsidRPr="002C250D">
      <w:fldChar w:fldCharType="separate"/>
    </w:r>
    <w:r w:rsidRPr="002C250D">
      <w:rPr>
        <w:lang w:val="fr-FR"/>
      </w:rPr>
      <w:t>P:\FRA\</w:t>
    </w:r>
    <w:r>
      <w:rPr>
        <w:lang w:val="fr-FR"/>
      </w:rPr>
      <w:t>ITU-T\CONF-T\WTSA20\000\039ADD08</w:t>
    </w:r>
    <w:r w:rsidRPr="002C250D">
      <w:rPr>
        <w:lang w:val="fr-FR"/>
      </w:rPr>
      <w:t>F.docx</w:t>
    </w:r>
    <w:r w:rsidRPr="002C250D">
      <w:fldChar w:fldCharType="end"/>
    </w:r>
    <w:r w:rsidRPr="002C250D">
      <w:rPr>
        <w:lang w:val="fr-FR"/>
      </w:rPr>
      <w:t xml:space="preserve"> (</w:t>
    </w:r>
    <w:r>
      <w:rPr>
        <w:lang w:val="fr-FR"/>
      </w:rPr>
      <w:t>493238</w:t>
    </w:r>
    <w:r w:rsidRPr="002C250D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92C7" w14:textId="77777777" w:rsidR="002C250D" w:rsidRPr="002C250D" w:rsidRDefault="002C250D" w:rsidP="002C250D">
    <w:pPr>
      <w:pStyle w:val="Footer"/>
      <w:rPr>
        <w:lang w:val="fr-FR"/>
      </w:rPr>
    </w:pPr>
    <w:r w:rsidRPr="002C250D">
      <w:fldChar w:fldCharType="begin"/>
    </w:r>
    <w:r w:rsidRPr="002C250D">
      <w:rPr>
        <w:lang w:val="fr-FR"/>
      </w:rPr>
      <w:instrText xml:space="preserve"> FILENAME \p  \* MERGEFORMAT </w:instrText>
    </w:r>
    <w:r w:rsidRPr="002C250D">
      <w:fldChar w:fldCharType="separate"/>
    </w:r>
    <w:r w:rsidRPr="002C250D">
      <w:rPr>
        <w:lang w:val="fr-FR"/>
      </w:rPr>
      <w:t>P:\FRA\</w:t>
    </w:r>
    <w:r>
      <w:rPr>
        <w:lang w:val="fr-FR"/>
      </w:rPr>
      <w:t>ITU-T\CONF-T\WTSA20\000\039ADD08</w:t>
    </w:r>
    <w:r w:rsidRPr="002C250D">
      <w:rPr>
        <w:lang w:val="fr-FR"/>
      </w:rPr>
      <w:t>F.docx</w:t>
    </w:r>
    <w:r w:rsidRPr="002C250D">
      <w:fldChar w:fldCharType="end"/>
    </w:r>
    <w:r w:rsidRPr="002C250D">
      <w:rPr>
        <w:lang w:val="fr-FR"/>
      </w:rPr>
      <w:t xml:space="preserve"> (</w:t>
    </w:r>
    <w:r>
      <w:rPr>
        <w:lang w:val="fr-FR"/>
      </w:rPr>
      <w:t>493238</w:t>
    </w:r>
    <w:r w:rsidRPr="002C250D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7BF3" w14:textId="77777777" w:rsidR="005A0BC8" w:rsidRDefault="005A0BC8">
      <w:r>
        <w:rPr>
          <w:b/>
        </w:rPr>
        <w:t>_______________</w:t>
      </w:r>
    </w:p>
  </w:footnote>
  <w:footnote w:type="continuationSeparator" w:id="0">
    <w:p w14:paraId="5AB28B27" w14:textId="77777777" w:rsidR="005A0BC8" w:rsidRDefault="005A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A387" w14:textId="634AC076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5515">
      <w:rPr>
        <w:noProof/>
      </w:rPr>
      <w:t>2</w:t>
    </w:r>
    <w:r>
      <w:fldChar w:fldCharType="end"/>
    </w:r>
  </w:p>
  <w:p w14:paraId="7B3A36D3" w14:textId="37A3D58B" w:rsidR="00987C1F" w:rsidRDefault="00D300B0" w:rsidP="00B35515">
    <w:pPr>
      <w:pStyle w:val="Header"/>
      <w:spacing w:after="240"/>
    </w:pPr>
    <w:r>
      <w:fldChar w:fldCharType="begin"/>
    </w:r>
    <w:r>
      <w:instrText xml:space="preserve"> styleref DocNumber </w:instrText>
    </w:r>
    <w:r>
      <w:fldChar w:fldCharType="separate"/>
    </w:r>
    <w:r w:rsidR="00AB1402">
      <w:rPr>
        <w:noProof/>
      </w:rPr>
      <w:t>Addendum 8 au</w:t>
    </w:r>
    <w:r w:rsidR="00AB1402">
      <w:rPr>
        <w:noProof/>
      </w:rPr>
      <w:br/>
      <w:t>Document 39-F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C15CAA7-92D6-465F-8B70-00DEE638F504}"/>
    <w:docVar w:name="dgnword-eventsink" w:val="2202043730144"/>
  </w:docVars>
  <w:rsids>
    <w:rsidRoot w:val="00B31EF6"/>
    <w:rsid w:val="000032AD"/>
    <w:rsid w:val="000041EA"/>
    <w:rsid w:val="000211B2"/>
    <w:rsid w:val="00021353"/>
    <w:rsid w:val="00022A29"/>
    <w:rsid w:val="000355FD"/>
    <w:rsid w:val="00051E39"/>
    <w:rsid w:val="00077239"/>
    <w:rsid w:val="00081194"/>
    <w:rsid w:val="00086491"/>
    <w:rsid w:val="00091346"/>
    <w:rsid w:val="0009542E"/>
    <w:rsid w:val="0009706C"/>
    <w:rsid w:val="000A14AF"/>
    <w:rsid w:val="000D4964"/>
    <w:rsid w:val="000E05BB"/>
    <w:rsid w:val="000F3C7B"/>
    <w:rsid w:val="000F73FF"/>
    <w:rsid w:val="00101247"/>
    <w:rsid w:val="00114CF7"/>
    <w:rsid w:val="00123B68"/>
    <w:rsid w:val="00126F2E"/>
    <w:rsid w:val="00146F6F"/>
    <w:rsid w:val="00153859"/>
    <w:rsid w:val="00164C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1E6ADA"/>
    <w:rsid w:val="002009EA"/>
    <w:rsid w:val="00202CA0"/>
    <w:rsid w:val="00216B6D"/>
    <w:rsid w:val="00230266"/>
    <w:rsid w:val="00250AF4"/>
    <w:rsid w:val="00271316"/>
    <w:rsid w:val="002728A0"/>
    <w:rsid w:val="00290384"/>
    <w:rsid w:val="002B2A75"/>
    <w:rsid w:val="002B6C42"/>
    <w:rsid w:val="002C250D"/>
    <w:rsid w:val="002D4D50"/>
    <w:rsid w:val="002D58BE"/>
    <w:rsid w:val="002E210D"/>
    <w:rsid w:val="002E5A06"/>
    <w:rsid w:val="003023BC"/>
    <w:rsid w:val="003236A6"/>
    <w:rsid w:val="00326621"/>
    <w:rsid w:val="00332C56"/>
    <w:rsid w:val="00345A52"/>
    <w:rsid w:val="003468BE"/>
    <w:rsid w:val="00377BD3"/>
    <w:rsid w:val="003832C0"/>
    <w:rsid w:val="00384088"/>
    <w:rsid w:val="0039169B"/>
    <w:rsid w:val="003A7F8C"/>
    <w:rsid w:val="003B532E"/>
    <w:rsid w:val="003D0F8B"/>
    <w:rsid w:val="003E2F9A"/>
    <w:rsid w:val="003F062B"/>
    <w:rsid w:val="004054F5"/>
    <w:rsid w:val="004079B0"/>
    <w:rsid w:val="0041348E"/>
    <w:rsid w:val="00417AD4"/>
    <w:rsid w:val="00444030"/>
    <w:rsid w:val="004508E2"/>
    <w:rsid w:val="004573C2"/>
    <w:rsid w:val="00476533"/>
    <w:rsid w:val="00492075"/>
    <w:rsid w:val="004969AD"/>
    <w:rsid w:val="004978FE"/>
    <w:rsid w:val="004A26C4"/>
    <w:rsid w:val="004B13CB"/>
    <w:rsid w:val="004B35D2"/>
    <w:rsid w:val="004D4379"/>
    <w:rsid w:val="004D5D5C"/>
    <w:rsid w:val="004E42A3"/>
    <w:rsid w:val="0050139F"/>
    <w:rsid w:val="0050602B"/>
    <w:rsid w:val="00526703"/>
    <w:rsid w:val="00530525"/>
    <w:rsid w:val="0055140B"/>
    <w:rsid w:val="00584F90"/>
    <w:rsid w:val="00595780"/>
    <w:rsid w:val="005964AB"/>
    <w:rsid w:val="005A0BC8"/>
    <w:rsid w:val="005C099A"/>
    <w:rsid w:val="005C31A5"/>
    <w:rsid w:val="005E10C9"/>
    <w:rsid w:val="005E28A3"/>
    <w:rsid w:val="005E2A46"/>
    <w:rsid w:val="005E61DD"/>
    <w:rsid w:val="005F6549"/>
    <w:rsid w:val="006023DF"/>
    <w:rsid w:val="006060C5"/>
    <w:rsid w:val="00634B23"/>
    <w:rsid w:val="00657DE0"/>
    <w:rsid w:val="006765A5"/>
    <w:rsid w:val="00685313"/>
    <w:rsid w:val="0069092B"/>
    <w:rsid w:val="00692833"/>
    <w:rsid w:val="006948ED"/>
    <w:rsid w:val="006A6E9B"/>
    <w:rsid w:val="006B249F"/>
    <w:rsid w:val="006B7C2A"/>
    <w:rsid w:val="006C23DA"/>
    <w:rsid w:val="006E013B"/>
    <w:rsid w:val="006E3D45"/>
    <w:rsid w:val="006F580E"/>
    <w:rsid w:val="006F7878"/>
    <w:rsid w:val="007149F9"/>
    <w:rsid w:val="00733A30"/>
    <w:rsid w:val="00735391"/>
    <w:rsid w:val="00736521"/>
    <w:rsid w:val="00745AEE"/>
    <w:rsid w:val="00750F10"/>
    <w:rsid w:val="007742CA"/>
    <w:rsid w:val="00790D70"/>
    <w:rsid w:val="00793969"/>
    <w:rsid w:val="00795511"/>
    <w:rsid w:val="007D2FD3"/>
    <w:rsid w:val="007D5320"/>
    <w:rsid w:val="008006C5"/>
    <w:rsid w:val="00800972"/>
    <w:rsid w:val="00804475"/>
    <w:rsid w:val="00811633"/>
    <w:rsid w:val="00813B79"/>
    <w:rsid w:val="00827C21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8F68F9"/>
    <w:rsid w:val="009019FD"/>
    <w:rsid w:val="0092425C"/>
    <w:rsid w:val="009274B4"/>
    <w:rsid w:val="00934EA2"/>
    <w:rsid w:val="00940614"/>
    <w:rsid w:val="00944A5C"/>
    <w:rsid w:val="00952A66"/>
    <w:rsid w:val="00957670"/>
    <w:rsid w:val="00965CC8"/>
    <w:rsid w:val="00987C1F"/>
    <w:rsid w:val="009960DB"/>
    <w:rsid w:val="009A20BD"/>
    <w:rsid w:val="009B1F95"/>
    <w:rsid w:val="009B4C19"/>
    <w:rsid w:val="009C3191"/>
    <w:rsid w:val="009C56E5"/>
    <w:rsid w:val="009E5FC8"/>
    <w:rsid w:val="009E687A"/>
    <w:rsid w:val="009F63E2"/>
    <w:rsid w:val="00A066F1"/>
    <w:rsid w:val="00A141AF"/>
    <w:rsid w:val="00A16D29"/>
    <w:rsid w:val="00A16FCA"/>
    <w:rsid w:val="00A30305"/>
    <w:rsid w:val="00A31D2D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1402"/>
    <w:rsid w:val="00AB5A50"/>
    <w:rsid w:val="00AB7C5F"/>
    <w:rsid w:val="00AD68F7"/>
    <w:rsid w:val="00AF0648"/>
    <w:rsid w:val="00B30B62"/>
    <w:rsid w:val="00B31EF6"/>
    <w:rsid w:val="00B35515"/>
    <w:rsid w:val="00B639E9"/>
    <w:rsid w:val="00B77B80"/>
    <w:rsid w:val="00B817CD"/>
    <w:rsid w:val="00B94AD0"/>
    <w:rsid w:val="00BA5265"/>
    <w:rsid w:val="00BA6E90"/>
    <w:rsid w:val="00BB3A95"/>
    <w:rsid w:val="00BB6D50"/>
    <w:rsid w:val="00BC2011"/>
    <w:rsid w:val="00BE4A21"/>
    <w:rsid w:val="00BF3F06"/>
    <w:rsid w:val="00C0018F"/>
    <w:rsid w:val="00C01211"/>
    <w:rsid w:val="00C037F2"/>
    <w:rsid w:val="00C16A5A"/>
    <w:rsid w:val="00C20466"/>
    <w:rsid w:val="00C214ED"/>
    <w:rsid w:val="00C234E6"/>
    <w:rsid w:val="00C26BA2"/>
    <w:rsid w:val="00C324A8"/>
    <w:rsid w:val="00C54517"/>
    <w:rsid w:val="00C64CD8"/>
    <w:rsid w:val="00C72D1B"/>
    <w:rsid w:val="00C905B6"/>
    <w:rsid w:val="00C94561"/>
    <w:rsid w:val="00C97C68"/>
    <w:rsid w:val="00CA1A47"/>
    <w:rsid w:val="00CC247A"/>
    <w:rsid w:val="00CE36EA"/>
    <w:rsid w:val="00CE388F"/>
    <w:rsid w:val="00CE5E47"/>
    <w:rsid w:val="00CE6B1A"/>
    <w:rsid w:val="00CF020F"/>
    <w:rsid w:val="00CF1E9D"/>
    <w:rsid w:val="00CF2532"/>
    <w:rsid w:val="00CF2B5B"/>
    <w:rsid w:val="00D14CE0"/>
    <w:rsid w:val="00D300B0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580D"/>
    <w:rsid w:val="00E07AF5"/>
    <w:rsid w:val="00E11197"/>
    <w:rsid w:val="00E14E2A"/>
    <w:rsid w:val="00E152A9"/>
    <w:rsid w:val="00E26226"/>
    <w:rsid w:val="00E341B0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2519A"/>
    <w:rsid w:val="00F41110"/>
    <w:rsid w:val="00F523BD"/>
    <w:rsid w:val="00F6155B"/>
    <w:rsid w:val="00F65C19"/>
    <w:rsid w:val="00F7356B"/>
    <w:rsid w:val="00F776DF"/>
    <w:rsid w:val="00F840C7"/>
    <w:rsid w:val="00FA771F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A3E6DD7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uiPriority w:val="99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paragraph" w:customStyle="1" w:styleId="Normalaftertitle0">
    <w:name w:val="Normal after title"/>
    <w:basedOn w:val="Normal"/>
    <w:next w:val="Normal"/>
    <w:rsid w:val="00125FDC"/>
    <w:pPr>
      <w:spacing w:before="280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012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121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01211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1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1211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064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250D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d4d3c67-c4be-4215-a2fa-78d4ac50b52a" targetNamespace="http://schemas.microsoft.com/office/2006/metadata/properties" ma:root="true" ma:fieldsID="d41af5c836d734370eb92e7ee5f83852" ns2:_="" ns3:_="">
    <xsd:import namespace="996b2e75-67fd-4955-a3b0-5ab9934cb50b"/>
    <xsd:import namespace="9d4d3c67-c4be-4215-a2fa-78d4ac50b52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d3c67-c4be-4215-a2fa-78d4ac50b52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d4d3c67-c4be-4215-a2fa-78d4ac50b52a">DPM</DPM_x0020_Author>
    <DPM_x0020_File_x0020_name xmlns="9d4d3c67-c4be-4215-a2fa-78d4ac50b52a">T17-WTSA.20-C-0039!A8!MSW-F</DPM_x0020_File_x0020_name>
    <DPM_x0020_Version xmlns="9d4d3c67-c4be-4215-a2fa-78d4ac50b52a">DPM_2019.11.13.01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d4d3c67-c4be-4215-a2fa-78d4ac50b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0D7CF-0C92-42F0-8E7B-CFE4BB262D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d4d3c67-c4be-4215-a2fa-78d4ac50b52a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T17-WTSA.20-C-0039!A8!MSW-F</vt:lpstr>
    </vt:vector>
  </TitlesOfParts>
  <Manager>General Secretariat - Pool</Manager>
  <Company>International Telecommunication Union (ITU)</Company>
  <LinksUpToDate>false</LinksUpToDate>
  <CharactersWithSpaces>1896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T17-WTSA.20-C-0039!A8!MSW-F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Chanavat, Emilie</cp:lastModifiedBy>
  <cp:revision>2</cp:revision>
  <cp:lastPrinted>2016-06-07T13:22:00Z</cp:lastPrinted>
  <dcterms:created xsi:type="dcterms:W3CDTF">2021-09-20T06:06:00Z</dcterms:created>
  <dcterms:modified xsi:type="dcterms:W3CDTF">2021-09-20T06:06:00Z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