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06B4CB34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2D35371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034EA32" w14:textId="06D3B9C2" w:rsidR="00A33A95" w:rsidRPr="00136B82" w:rsidRDefault="00CA2ECF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9095954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7E45105" wp14:editId="4D04F72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1259E32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0E43BA4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ED0F3C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06DCA2E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3B32A9C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1A7E0F5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333DAE" w14:paraId="78B20730" w14:textId="77777777" w:rsidTr="004E2A5D">
        <w:trPr>
          <w:cantSplit/>
        </w:trPr>
        <w:tc>
          <w:tcPr>
            <w:tcW w:w="6619" w:type="dxa"/>
            <w:gridSpan w:val="2"/>
          </w:tcPr>
          <w:p w14:paraId="4EF222DF" w14:textId="77777777" w:rsidR="00A809E8" w:rsidRPr="00333DA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33DAE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A30AEE3" w14:textId="77777777" w:rsidR="00A809E8" w:rsidRPr="00333DAE" w:rsidRDefault="00907B6F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>الإضافة </w:t>
            </w:r>
            <w:r w:rsidR="005C3880" w:rsidRPr="00333DAE">
              <w:t>8</w:t>
            </w:r>
            <w:r w:rsidR="005C3880" w:rsidRPr="00333DAE">
              <w:br/>
            </w:r>
            <w:r w:rsidR="00333DAE">
              <w:rPr>
                <w:rFonts w:hint="cs"/>
                <w:rtl/>
              </w:rPr>
              <w:t xml:space="preserve">للوثيقة </w:t>
            </w:r>
            <w:r w:rsidR="00333DAE">
              <w:t>39-A</w:t>
            </w:r>
          </w:p>
        </w:tc>
      </w:tr>
      <w:tr w:rsidR="005C3880" w:rsidRPr="00333DAE" w14:paraId="74A69D82" w14:textId="77777777" w:rsidTr="004E2A5D">
        <w:trPr>
          <w:cantSplit/>
        </w:trPr>
        <w:tc>
          <w:tcPr>
            <w:tcW w:w="6619" w:type="dxa"/>
            <w:gridSpan w:val="2"/>
          </w:tcPr>
          <w:p w14:paraId="60CABCA3" w14:textId="77777777" w:rsidR="005C3880" w:rsidRPr="00333DA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CB3B153" w14:textId="77777777" w:rsidR="005C3880" w:rsidRPr="00333DA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33DAE">
              <w:rPr>
                <w:rFonts w:eastAsia="SimSun"/>
              </w:rPr>
              <w:t>24</w:t>
            </w:r>
            <w:r w:rsidRPr="00333DAE">
              <w:rPr>
                <w:rFonts w:eastAsia="SimSun"/>
                <w:rtl/>
              </w:rPr>
              <w:t xml:space="preserve"> مارس </w:t>
            </w:r>
            <w:r w:rsidRPr="00333DAE">
              <w:rPr>
                <w:rFonts w:eastAsia="SimSun"/>
              </w:rPr>
              <w:t>2021</w:t>
            </w:r>
          </w:p>
        </w:tc>
      </w:tr>
      <w:tr w:rsidR="005C3880" w:rsidRPr="00333DAE" w14:paraId="3DB0C013" w14:textId="77777777" w:rsidTr="004E2A5D">
        <w:trPr>
          <w:cantSplit/>
        </w:trPr>
        <w:tc>
          <w:tcPr>
            <w:tcW w:w="6619" w:type="dxa"/>
            <w:gridSpan w:val="2"/>
          </w:tcPr>
          <w:p w14:paraId="36F574B2" w14:textId="77777777" w:rsidR="005C3880" w:rsidRPr="00333DA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18A9CDF" w14:textId="77777777" w:rsidR="005C3880" w:rsidRPr="00333DAE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333DAE">
              <w:rPr>
                <w:rtl/>
              </w:rPr>
              <w:t>الأصل: بالإنكليزية</w:t>
            </w:r>
          </w:p>
        </w:tc>
      </w:tr>
      <w:tr w:rsidR="005C3880" w14:paraId="6F295EAD" w14:textId="77777777" w:rsidTr="004E2A5D">
        <w:trPr>
          <w:cantSplit/>
        </w:trPr>
        <w:tc>
          <w:tcPr>
            <w:tcW w:w="9672" w:type="dxa"/>
            <w:gridSpan w:val="3"/>
          </w:tcPr>
          <w:p w14:paraId="40C5610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40242E1" w14:textId="77777777" w:rsidTr="004E2A5D">
        <w:trPr>
          <w:cantSplit/>
        </w:trPr>
        <w:tc>
          <w:tcPr>
            <w:tcW w:w="9672" w:type="dxa"/>
            <w:gridSpan w:val="3"/>
          </w:tcPr>
          <w:p w14:paraId="21221813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23F69439" w14:textId="77777777" w:rsidTr="004E2A5D">
        <w:trPr>
          <w:cantSplit/>
        </w:trPr>
        <w:tc>
          <w:tcPr>
            <w:tcW w:w="9672" w:type="dxa"/>
            <w:gridSpan w:val="3"/>
          </w:tcPr>
          <w:p w14:paraId="55CC917F" w14:textId="77777777" w:rsidR="005C3880" w:rsidRPr="00BD6EF3" w:rsidRDefault="00907B6F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 لإلغاء القرار</w:t>
            </w:r>
            <w:r w:rsidR="00333DAE">
              <w:rPr>
                <w:rFonts w:hint="cs"/>
                <w:rtl/>
              </w:rPr>
              <w:t xml:space="preserve"> </w:t>
            </w:r>
            <w:r w:rsidR="00333DAE">
              <w:t>90</w:t>
            </w:r>
          </w:p>
        </w:tc>
      </w:tr>
      <w:tr w:rsidR="005C3880" w14:paraId="4FC05582" w14:textId="77777777" w:rsidTr="004E2A5D">
        <w:trPr>
          <w:cantSplit/>
        </w:trPr>
        <w:tc>
          <w:tcPr>
            <w:tcW w:w="9672" w:type="dxa"/>
            <w:gridSpan w:val="3"/>
          </w:tcPr>
          <w:p w14:paraId="45A11570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4C6082A1" w14:textId="77777777" w:rsidTr="00FC7FD8">
        <w:trPr>
          <w:cantSplit/>
        </w:trPr>
        <w:tc>
          <w:tcPr>
            <w:tcW w:w="9672" w:type="dxa"/>
            <w:gridSpan w:val="3"/>
          </w:tcPr>
          <w:p w14:paraId="209D44AE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70925687" w14:textId="77777777" w:rsidTr="00FC7FD8">
        <w:trPr>
          <w:cantSplit/>
        </w:trPr>
        <w:tc>
          <w:tcPr>
            <w:tcW w:w="1348" w:type="dxa"/>
          </w:tcPr>
          <w:p w14:paraId="2D8035E7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AA0A979" w14:textId="77777777" w:rsidR="005C3880" w:rsidRDefault="003B0F4A" w:rsidP="005C3880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على </w:t>
            </w:r>
            <w:r w:rsidR="00333DAE">
              <w:rPr>
                <w:rFonts w:hint="cs"/>
                <w:rtl/>
              </w:rPr>
              <w:t xml:space="preserve">الرغم من أن القرار </w:t>
            </w:r>
            <w:r w:rsidR="00333DAE">
              <w:t>90</w:t>
            </w:r>
            <w:r w:rsidR="00333DAE">
              <w:rPr>
                <w:rFonts w:hint="cs"/>
                <w:rtl/>
                <w:lang w:bidi="ar-EG"/>
              </w:rPr>
              <w:t xml:space="preserve"> للجمعية العالمية لتقييس الاتصالات يتناول المصادر المفتوحة في قطاع تقييس الاتصالات بالاتحاد، </w:t>
            </w:r>
            <w:r w:rsidR="00BE0DE5">
              <w:rPr>
                <w:rFonts w:hint="cs"/>
                <w:rtl/>
              </w:rPr>
              <w:t xml:space="preserve">فإن العديد من لجان الدراسات تواصل </w:t>
            </w:r>
            <w:r w:rsidR="007409DF">
              <w:rPr>
                <w:rFonts w:hint="cs"/>
                <w:rtl/>
              </w:rPr>
              <w:t xml:space="preserve">بنجاح </w:t>
            </w:r>
            <w:r w:rsidR="001F346D">
              <w:rPr>
                <w:rFonts w:hint="cs"/>
                <w:rtl/>
              </w:rPr>
              <w:t>الانخراط في أنشطة</w:t>
            </w:r>
            <w:r w:rsidR="00414FA8">
              <w:rPr>
                <w:rFonts w:hint="cs"/>
                <w:rtl/>
              </w:rPr>
              <w:t xml:space="preserve"> النهوض</w:t>
            </w:r>
            <w:r w:rsidR="007409DF">
              <w:rPr>
                <w:rFonts w:hint="cs"/>
                <w:rtl/>
              </w:rPr>
              <w:t xml:space="preserve"> </w:t>
            </w:r>
            <w:r w:rsidR="00414FA8">
              <w:rPr>
                <w:rFonts w:hint="cs"/>
                <w:rtl/>
              </w:rPr>
              <w:t>ب</w:t>
            </w:r>
            <w:r w:rsidR="007409DF">
              <w:rPr>
                <w:rFonts w:hint="cs"/>
                <w:rtl/>
              </w:rPr>
              <w:t>المصادر المفتوحة، بدون الحاجة إلى هذا القرار.</w:t>
            </w:r>
            <w:r w:rsidR="00B3429A">
              <w:rPr>
                <w:rFonts w:hint="cs"/>
                <w:rtl/>
              </w:rPr>
              <w:t xml:space="preserve"> </w:t>
            </w:r>
            <w:r w:rsidR="007409DF">
              <w:rPr>
                <w:rFonts w:hint="cs"/>
                <w:rtl/>
              </w:rPr>
              <w:t>وعليه، يمكن إلغاء القرار 90 توخياً للتبسيط.</w:t>
            </w:r>
            <w:r w:rsidR="00B3429A">
              <w:rPr>
                <w:rFonts w:hint="cs"/>
                <w:rtl/>
              </w:rPr>
              <w:t xml:space="preserve"> </w:t>
            </w:r>
          </w:p>
        </w:tc>
      </w:tr>
    </w:tbl>
    <w:p w14:paraId="390E7580" w14:textId="77777777" w:rsidR="002F3E46" w:rsidRDefault="002F3E46" w:rsidP="00523D37">
      <w:pPr>
        <w:rPr>
          <w:lang w:bidi="ar-EG"/>
        </w:rPr>
      </w:pPr>
    </w:p>
    <w:p w14:paraId="7ABE7E19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8F873AC" w14:textId="77777777" w:rsidR="002D0146" w:rsidRPr="00333DAE" w:rsidRDefault="00333DAE">
      <w:pPr>
        <w:pStyle w:val="Proposal"/>
        <w:rPr>
          <w:rtl/>
        </w:rPr>
      </w:pPr>
      <w:r>
        <w:lastRenderedPageBreak/>
        <w:t>SUP</w:t>
      </w:r>
      <w:r>
        <w:tab/>
        <w:t>IAP/39A8/1</w:t>
      </w:r>
    </w:p>
    <w:p w14:paraId="6E7A9195" w14:textId="77777777" w:rsidR="00851760" w:rsidRPr="00410333" w:rsidRDefault="00333DAE" w:rsidP="00E952D6">
      <w:pPr>
        <w:pStyle w:val="ResNo"/>
        <w:rPr>
          <w:rtl/>
        </w:rPr>
      </w:pPr>
      <w:bookmarkStart w:id="1" w:name="RES_90"/>
      <w:r w:rsidRPr="00410333">
        <w:rPr>
          <w:rtl/>
        </w:rPr>
        <w:t xml:space="preserve">القرار </w:t>
      </w:r>
      <w:r w:rsidRPr="00410333">
        <w:rPr>
          <w:rStyle w:val="href"/>
        </w:rPr>
        <w:t>90</w:t>
      </w:r>
      <w:r w:rsidRPr="00410333">
        <w:rPr>
          <w:rFonts w:hint="cs"/>
          <w:rtl/>
        </w:rPr>
        <w:t xml:space="preserve"> (الحمامات، </w:t>
      </w:r>
      <w:r w:rsidRPr="00410333">
        <w:t>2016</w:t>
      </w:r>
      <w:r w:rsidRPr="00410333">
        <w:rPr>
          <w:rFonts w:hint="cs"/>
          <w:rtl/>
        </w:rPr>
        <w:t>)</w:t>
      </w:r>
    </w:p>
    <w:p w14:paraId="6F2FE3F5" w14:textId="77777777" w:rsidR="00851760" w:rsidRPr="00410333" w:rsidRDefault="00333DAE" w:rsidP="00E952D6">
      <w:pPr>
        <w:pStyle w:val="Restitle"/>
        <w:rPr>
          <w:rtl/>
          <w:lang w:bidi="ar-EG"/>
        </w:rPr>
      </w:pPr>
      <w:bookmarkStart w:id="2" w:name="_Toc476751161"/>
      <w:bookmarkEnd w:id="1"/>
      <w:r w:rsidRPr="00410333">
        <w:rPr>
          <w:rtl/>
          <w:lang w:bidi="ar-EG"/>
        </w:rPr>
        <w:t>المصادر المفتوحة في قطاع تقييس الاتصالات</w:t>
      </w:r>
      <w:r w:rsidRPr="00410333">
        <w:rPr>
          <w:rFonts w:hint="cs"/>
          <w:rtl/>
          <w:lang w:bidi="ar-EG"/>
        </w:rPr>
        <w:t xml:space="preserve"> ل</w:t>
      </w:r>
      <w:r w:rsidRPr="00410333">
        <w:rPr>
          <w:rtl/>
          <w:lang w:bidi="ar-EG"/>
        </w:rPr>
        <w:t>لاتحاد</w:t>
      </w:r>
      <w:r w:rsidRPr="00410333">
        <w:rPr>
          <w:rFonts w:hint="cs"/>
          <w:rtl/>
          <w:lang w:bidi="ar-EG"/>
        </w:rPr>
        <w:t xml:space="preserve"> الدولي للاتصالات</w:t>
      </w:r>
      <w:bookmarkEnd w:id="2"/>
    </w:p>
    <w:p w14:paraId="1B491E53" w14:textId="77777777" w:rsidR="00851760" w:rsidRPr="005F71A3" w:rsidRDefault="00333DAE" w:rsidP="00E952D6">
      <w:pPr>
        <w:pStyle w:val="Resref"/>
        <w:rPr>
          <w:iCs w:val="0"/>
          <w:rtl/>
          <w:lang w:bidi="ar-EG"/>
        </w:rPr>
      </w:pPr>
      <w:r w:rsidRPr="005F71A3">
        <w:rPr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r w:rsidRPr="005F71A3">
        <w:rPr>
          <w:rtl/>
          <w:lang w:bidi="ar-EG"/>
        </w:rPr>
        <w:t>)</w:t>
      </w:r>
    </w:p>
    <w:p w14:paraId="5F1D146B" w14:textId="77777777" w:rsidR="00851760" w:rsidRDefault="00333DAE" w:rsidP="00E922E1">
      <w:pPr>
        <w:pStyle w:val="Normalaftertitle"/>
        <w:rPr>
          <w:rtl/>
        </w:rPr>
      </w:pPr>
      <w:r w:rsidRPr="00410333">
        <w:rPr>
          <w:rtl/>
        </w:rPr>
        <w:t xml:space="preserve">إن الجمعية العالمية لتقييس الاتصالات (الحمامات، </w:t>
      </w:r>
      <w:r w:rsidRPr="00410333">
        <w:t>2016</w:t>
      </w:r>
      <w:r w:rsidRPr="00410333">
        <w:rPr>
          <w:rFonts w:hint="cs"/>
          <w:rtl/>
        </w:rPr>
        <w:t>)،</w:t>
      </w:r>
    </w:p>
    <w:p w14:paraId="79A52489" w14:textId="63DB2056" w:rsidR="002D0146" w:rsidRPr="004E4620" w:rsidRDefault="00333DAE" w:rsidP="00772F19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772F19">
        <w:rPr>
          <w:b w:val="0"/>
          <w:bCs w:val="0"/>
          <w:rtl/>
        </w:rPr>
        <w:tab/>
      </w:r>
      <w:r w:rsidR="00414FA8">
        <w:rPr>
          <w:rFonts w:hint="cs"/>
          <w:b w:val="0"/>
          <w:bCs w:val="0"/>
          <w:rtl/>
        </w:rPr>
        <w:t>الانخراط في أنشطة النهوض</w:t>
      </w:r>
      <w:r w:rsidR="009960CB">
        <w:rPr>
          <w:rFonts w:hint="cs"/>
          <w:b w:val="0"/>
          <w:bCs w:val="0"/>
          <w:rtl/>
        </w:rPr>
        <w:t xml:space="preserve"> بالمصادر المفتوحة أمر أساسي </w:t>
      </w:r>
      <w:r w:rsidR="00E7144C">
        <w:rPr>
          <w:rFonts w:hint="cs"/>
          <w:b w:val="0"/>
          <w:bCs w:val="0"/>
          <w:rtl/>
        </w:rPr>
        <w:t>لتحقيق سرعة تقدم عملية التقييس وتطورها. ومع ذلك، فقد ثبت أن القرار 90 (الحمامات، 2016) غير ضروري، إذ يجني العديد من لجان الدراسات بالفعل فوائد المص</w:t>
      </w:r>
      <w:r w:rsidR="001F346D">
        <w:rPr>
          <w:rFonts w:hint="cs"/>
          <w:b w:val="0"/>
          <w:bCs w:val="0"/>
          <w:rtl/>
        </w:rPr>
        <w:t>ا</w:t>
      </w:r>
      <w:r w:rsidR="00E7144C">
        <w:rPr>
          <w:rFonts w:hint="cs"/>
          <w:b w:val="0"/>
          <w:bCs w:val="0"/>
          <w:rtl/>
        </w:rPr>
        <w:t>در المفتوح</w:t>
      </w:r>
      <w:r w:rsidR="001F346D">
        <w:rPr>
          <w:rFonts w:hint="cs"/>
          <w:b w:val="0"/>
          <w:bCs w:val="0"/>
          <w:rtl/>
        </w:rPr>
        <w:t>ة</w:t>
      </w:r>
      <w:r w:rsidR="00E7144C">
        <w:rPr>
          <w:rFonts w:hint="cs"/>
          <w:b w:val="0"/>
          <w:bCs w:val="0"/>
          <w:rtl/>
        </w:rPr>
        <w:t xml:space="preserve"> لدى إعداد توصيات قطاع تقييس الاتصالات. وعلى سبيل المثال، يستخدم فريق دراسة المسألة 15/14 التابع للجنة الدراسات</w:t>
      </w:r>
      <w:r w:rsidR="003D6D38">
        <w:rPr>
          <w:rFonts w:hint="eastAsia"/>
          <w:b w:val="0"/>
          <w:bCs w:val="0"/>
          <w:rtl/>
        </w:rPr>
        <w:t> </w:t>
      </w:r>
      <w:r w:rsidR="00E7144C">
        <w:rPr>
          <w:rFonts w:hint="cs"/>
          <w:b w:val="0"/>
          <w:bCs w:val="0"/>
          <w:rtl/>
        </w:rPr>
        <w:t>15 لقطاع تقييس الاتصالات أدوات مفتوحة المصدر وي</w:t>
      </w:r>
      <w:r w:rsidR="001F346D">
        <w:rPr>
          <w:rFonts w:hint="cs"/>
          <w:b w:val="0"/>
          <w:bCs w:val="0"/>
          <w:rtl/>
        </w:rPr>
        <w:t>ُ</w:t>
      </w:r>
      <w:r w:rsidR="00E7144C">
        <w:rPr>
          <w:rFonts w:hint="cs"/>
          <w:b w:val="0"/>
          <w:bCs w:val="0"/>
          <w:rtl/>
        </w:rPr>
        <w:t xml:space="preserve">عد نماذج </w:t>
      </w:r>
      <w:r w:rsidR="00881F96">
        <w:rPr>
          <w:b w:val="0"/>
          <w:bCs w:val="0"/>
        </w:rPr>
        <w:t>YANG</w:t>
      </w:r>
      <w:r w:rsidR="00E7144C">
        <w:rPr>
          <w:rFonts w:hint="cs"/>
          <w:b w:val="0"/>
          <w:bCs w:val="0"/>
          <w:rtl/>
        </w:rPr>
        <w:t xml:space="preserve"> بالاستفادة من كتالوج </w:t>
      </w:r>
      <w:r w:rsidR="00881F96">
        <w:rPr>
          <w:rFonts w:hint="cs"/>
          <w:b w:val="0"/>
          <w:bCs w:val="0"/>
          <w:rtl/>
        </w:rPr>
        <w:t>ومستودع</w:t>
      </w:r>
      <w:r w:rsidR="003E7050">
        <w:rPr>
          <w:rFonts w:hint="eastAsia"/>
          <w:b w:val="0"/>
          <w:bCs w:val="0"/>
          <w:rtl/>
        </w:rPr>
        <w:t> </w:t>
      </w:r>
      <w:r w:rsidR="00881F96">
        <w:rPr>
          <w:b w:val="0"/>
          <w:bCs w:val="0"/>
        </w:rPr>
        <w:t>YANG</w:t>
      </w:r>
      <w:r w:rsidR="00881F96">
        <w:rPr>
          <w:rFonts w:hint="cs"/>
          <w:b w:val="0"/>
          <w:bCs w:val="0"/>
          <w:rtl/>
        </w:rPr>
        <w:t xml:space="preserve"> الخاص بفريق مهام هندسة الإنترنت </w:t>
      </w:r>
      <w:r w:rsidR="00881F96">
        <w:rPr>
          <w:b w:val="0"/>
          <w:bCs w:val="0"/>
        </w:rPr>
        <w:t>(IETF)</w:t>
      </w:r>
      <w:r w:rsidR="00881F96">
        <w:rPr>
          <w:rFonts w:hint="cs"/>
          <w:b w:val="0"/>
          <w:bCs w:val="0"/>
          <w:rtl/>
        </w:rPr>
        <w:t>. ويجري العمل بالتعاون مع فريق مهام هندسة الإنترنت ومؤسسة الشبكات المفتوحة</w:t>
      </w:r>
      <w:r w:rsidR="00005239">
        <w:rPr>
          <w:rFonts w:hint="eastAsia"/>
          <w:b w:val="0"/>
          <w:bCs w:val="0"/>
          <w:rtl/>
        </w:rPr>
        <w:t> </w:t>
      </w:r>
      <w:r w:rsidR="00146E22">
        <w:rPr>
          <w:b w:val="0"/>
          <w:bCs w:val="0"/>
        </w:rPr>
        <w:t>(ONF)</w:t>
      </w:r>
      <w:r w:rsidR="00881F96">
        <w:rPr>
          <w:rFonts w:hint="cs"/>
          <w:b w:val="0"/>
          <w:bCs w:val="0"/>
          <w:rtl/>
        </w:rPr>
        <w:t xml:space="preserve"> و</w:t>
      </w:r>
      <w:r w:rsidR="00146E22">
        <w:rPr>
          <w:rFonts w:hint="cs"/>
          <w:b w:val="0"/>
          <w:bCs w:val="0"/>
          <w:rtl/>
        </w:rPr>
        <w:t xml:space="preserve">منتدى الإثرنت الحضرية </w:t>
      </w:r>
      <w:r w:rsidR="00146E22">
        <w:rPr>
          <w:b w:val="0"/>
          <w:bCs w:val="0"/>
        </w:rPr>
        <w:t>(MEF)</w:t>
      </w:r>
      <w:r w:rsidR="00881F96">
        <w:rPr>
          <w:rFonts w:hint="cs"/>
          <w:b w:val="0"/>
          <w:bCs w:val="0"/>
          <w:rtl/>
        </w:rPr>
        <w:t xml:space="preserve"> و</w:t>
      </w:r>
      <w:r w:rsidR="001F346D">
        <w:rPr>
          <w:rFonts w:hint="cs"/>
          <w:b w:val="0"/>
          <w:bCs w:val="0"/>
          <w:rtl/>
        </w:rPr>
        <w:t>فريق العمل بشأن المعيار 802.1</w:t>
      </w:r>
      <w:r w:rsidR="00881F96">
        <w:rPr>
          <w:rFonts w:hint="cs"/>
          <w:b w:val="0"/>
          <w:bCs w:val="0"/>
          <w:rtl/>
        </w:rPr>
        <w:t xml:space="preserve"> </w:t>
      </w:r>
      <w:r w:rsidR="001F346D">
        <w:rPr>
          <w:rFonts w:hint="cs"/>
          <w:b w:val="0"/>
          <w:bCs w:val="0"/>
          <w:rtl/>
        </w:rPr>
        <w:t xml:space="preserve">التابع لمعهد مهندسي الكهرباء والإلكترونيات </w:t>
      </w:r>
      <w:r w:rsidR="001F346D">
        <w:rPr>
          <w:b w:val="0"/>
          <w:bCs w:val="0"/>
        </w:rPr>
        <w:t>(IEEE 802.1)</w:t>
      </w:r>
      <w:r w:rsidR="001F346D">
        <w:rPr>
          <w:rFonts w:hint="cs"/>
          <w:b w:val="0"/>
          <w:bCs w:val="0"/>
          <w:rtl/>
        </w:rPr>
        <w:t xml:space="preserve"> </w:t>
      </w:r>
      <w:r w:rsidR="00881F96">
        <w:rPr>
          <w:rFonts w:hint="cs"/>
          <w:b w:val="0"/>
          <w:bCs w:val="0"/>
          <w:rtl/>
        </w:rPr>
        <w:t>من أجل النهوض بالتكنولوجيات التي تعتمد على تشغيل وتطوير أدوات مفتوحة المصدر.</w:t>
      </w:r>
    </w:p>
    <w:p w14:paraId="4F77898A" w14:textId="75856937" w:rsidR="00333DAE" w:rsidRPr="00333DAE" w:rsidRDefault="00333DAE" w:rsidP="0000523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</w:t>
      </w:r>
      <w:r w:rsidR="0039104D">
        <w:rPr>
          <w:rFonts w:hint="cs"/>
          <w:rtl/>
          <w:lang w:bidi="ar-EG"/>
        </w:rPr>
        <w:t>ــــــــــــــ</w:t>
      </w:r>
      <w:r>
        <w:rPr>
          <w:rFonts w:hint="cs"/>
          <w:rtl/>
          <w:lang w:bidi="ar-EG"/>
        </w:rPr>
        <w:t>ـــــــــــــــــــــــــــــــــــــــــــ</w:t>
      </w:r>
    </w:p>
    <w:sectPr w:rsidR="00333DAE" w:rsidRPr="00333DAE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A179" w14:textId="77777777" w:rsidR="0009651F" w:rsidRDefault="0009651F" w:rsidP="002919E1">
      <w:r>
        <w:separator/>
      </w:r>
    </w:p>
    <w:p w14:paraId="7BCC5474" w14:textId="77777777" w:rsidR="0009651F" w:rsidRDefault="0009651F" w:rsidP="002919E1"/>
    <w:p w14:paraId="68D0DA81" w14:textId="77777777" w:rsidR="0009651F" w:rsidRDefault="0009651F" w:rsidP="002919E1"/>
    <w:p w14:paraId="2F5B6426" w14:textId="77777777" w:rsidR="0009651F" w:rsidRDefault="0009651F"/>
  </w:endnote>
  <w:endnote w:type="continuationSeparator" w:id="0">
    <w:p w14:paraId="75EB652B" w14:textId="77777777" w:rsidR="0009651F" w:rsidRDefault="0009651F" w:rsidP="002919E1">
      <w:r>
        <w:continuationSeparator/>
      </w:r>
    </w:p>
    <w:p w14:paraId="62952871" w14:textId="77777777" w:rsidR="0009651F" w:rsidRDefault="0009651F" w:rsidP="002919E1"/>
    <w:p w14:paraId="0F3D60C7" w14:textId="77777777" w:rsidR="0009651F" w:rsidRDefault="0009651F" w:rsidP="002919E1"/>
    <w:p w14:paraId="40B67115" w14:textId="77777777" w:rsidR="0009651F" w:rsidRDefault="0009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0708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701310">
      <w:rPr>
        <w:noProof/>
        <w:sz w:val="16"/>
        <w:szCs w:val="16"/>
        <w:lang w:val="fr-FR"/>
      </w:rPr>
      <w:t>P:\ARA\ITU-T\CONF-T\WTSA20\000\039ADD08A.docx</w:t>
    </w:r>
    <w:r w:rsidRPr="00FC7FD8">
      <w:rPr>
        <w:sz w:val="16"/>
        <w:szCs w:val="16"/>
      </w:rPr>
      <w:fldChar w:fldCharType="end"/>
    </w:r>
    <w:r w:rsidRPr="00333DAE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333DAE">
      <w:rPr>
        <w:sz w:val="16"/>
        <w:szCs w:val="16"/>
        <w:lang w:val="fr-FR"/>
      </w:rPr>
      <w:t>493238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70E6" w14:textId="77777777" w:rsidR="0009651F" w:rsidRDefault="0009651F" w:rsidP="002919E1">
      <w:r>
        <w:t>___________________</w:t>
      </w:r>
    </w:p>
  </w:footnote>
  <w:footnote w:type="continuationSeparator" w:id="0">
    <w:p w14:paraId="5B3D26D4" w14:textId="77777777" w:rsidR="0009651F" w:rsidRDefault="0009651F" w:rsidP="002919E1">
      <w:r>
        <w:continuationSeparator/>
      </w:r>
    </w:p>
    <w:p w14:paraId="54078C53" w14:textId="77777777" w:rsidR="0009651F" w:rsidRDefault="0009651F" w:rsidP="002919E1"/>
    <w:p w14:paraId="409F28EA" w14:textId="77777777" w:rsidR="0009651F" w:rsidRDefault="0009651F" w:rsidP="002919E1"/>
    <w:p w14:paraId="34F16DE7" w14:textId="77777777" w:rsidR="0009651F" w:rsidRDefault="00096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D6EC" w14:textId="77777777" w:rsidR="00281F5F" w:rsidRDefault="00281F5F" w:rsidP="002919E1"/>
  <w:p w14:paraId="2CAD0E73" w14:textId="77777777" w:rsidR="00281F5F" w:rsidRDefault="00281F5F" w:rsidP="002919E1"/>
  <w:p w14:paraId="06102F2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E2CA" w14:textId="77777777" w:rsidR="00281F5F" w:rsidRPr="0088384B" w:rsidRDefault="00281F5F" w:rsidP="00333DAE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33DAE">
      <w:rPr>
        <w:rStyle w:val="PageNumber"/>
        <w:rFonts w:hint="cs"/>
        <w:rtl/>
        <w:lang w:bidi="ar-EG"/>
      </w:rPr>
      <w:t>الإضافة </w:t>
    </w:r>
    <w:r w:rsidR="00333DAE">
      <w:rPr>
        <w:rStyle w:val="PageNumber"/>
        <w:lang w:bidi="ar-EG"/>
      </w:rPr>
      <w:t>8</w:t>
    </w:r>
    <w:r w:rsidR="00333DAE">
      <w:rPr>
        <w:rStyle w:val="PageNumber"/>
        <w:rtl/>
        <w:lang w:bidi="ar-EG"/>
      </w:rPr>
      <w:br/>
    </w:r>
    <w:r w:rsidR="00333DAE">
      <w:rPr>
        <w:rStyle w:val="PageNumber"/>
        <w:rFonts w:hint="cs"/>
        <w:rtl/>
        <w:lang w:bidi="ar-EG"/>
      </w:rPr>
      <w:t xml:space="preserve">للوثيقة </w:t>
    </w:r>
    <w:r w:rsidR="00333DAE">
      <w:rPr>
        <w:rStyle w:val="PageNumber"/>
      </w:rPr>
      <w:t>39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523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651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46E22"/>
    <w:rsid w:val="00147335"/>
    <w:rsid w:val="00167364"/>
    <w:rsid w:val="001903B2"/>
    <w:rsid w:val="001B5953"/>
    <w:rsid w:val="001D3837"/>
    <w:rsid w:val="001D746E"/>
    <w:rsid w:val="001E190C"/>
    <w:rsid w:val="001E51EE"/>
    <w:rsid w:val="001E54F6"/>
    <w:rsid w:val="001E5A8C"/>
    <w:rsid w:val="001F346D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0146"/>
    <w:rsid w:val="002D5F64"/>
    <w:rsid w:val="002D6BB4"/>
    <w:rsid w:val="002D6FBF"/>
    <w:rsid w:val="002E48BF"/>
    <w:rsid w:val="002E61C2"/>
    <w:rsid w:val="002F3E46"/>
    <w:rsid w:val="00311E3F"/>
    <w:rsid w:val="00314B1E"/>
    <w:rsid w:val="00333DAE"/>
    <w:rsid w:val="0033737F"/>
    <w:rsid w:val="00343CD1"/>
    <w:rsid w:val="00353652"/>
    <w:rsid w:val="003569E1"/>
    <w:rsid w:val="003815E2"/>
    <w:rsid w:val="00381FAD"/>
    <w:rsid w:val="00382A66"/>
    <w:rsid w:val="00384AE2"/>
    <w:rsid w:val="0039104D"/>
    <w:rsid w:val="003923B1"/>
    <w:rsid w:val="003965FE"/>
    <w:rsid w:val="00397C17"/>
    <w:rsid w:val="003B0F4A"/>
    <w:rsid w:val="003B27AD"/>
    <w:rsid w:val="003B4F23"/>
    <w:rsid w:val="003C12F6"/>
    <w:rsid w:val="003C3A13"/>
    <w:rsid w:val="003D6A4D"/>
    <w:rsid w:val="003D6D38"/>
    <w:rsid w:val="003E02EF"/>
    <w:rsid w:val="003E1D90"/>
    <w:rsid w:val="003E7050"/>
    <w:rsid w:val="00400CD4"/>
    <w:rsid w:val="004147B9"/>
    <w:rsid w:val="00414FA8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4620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0EFA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1310"/>
    <w:rsid w:val="00716B1D"/>
    <w:rsid w:val="007248EC"/>
    <w:rsid w:val="007263B4"/>
    <w:rsid w:val="00726744"/>
    <w:rsid w:val="00731150"/>
    <w:rsid w:val="00734E41"/>
    <w:rsid w:val="00736DCC"/>
    <w:rsid w:val="007409DF"/>
    <w:rsid w:val="00741855"/>
    <w:rsid w:val="00742B73"/>
    <w:rsid w:val="00751251"/>
    <w:rsid w:val="007610E7"/>
    <w:rsid w:val="00764079"/>
    <w:rsid w:val="00770AA0"/>
    <w:rsid w:val="007710F5"/>
    <w:rsid w:val="00771F7E"/>
    <w:rsid w:val="00772F19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1F96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07B6F"/>
    <w:rsid w:val="00951718"/>
    <w:rsid w:val="00960962"/>
    <w:rsid w:val="00972CE0"/>
    <w:rsid w:val="009960CB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429A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0DE5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2ECF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6909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144C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52D6"/>
    <w:rsid w:val="00F5691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FFB34B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T17-WTSA.20-C-0039!A8!MSW-A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542EAF80-B8FB-40C1-BF4A-441112ED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38BEA-786C-4C0D-95CA-B2FE67AC2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4BBB29-5EA6-4776-A8EE-D8C9F4B2ACC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T17-WTSA.20-C-0039!A8!MSW-A</vt:lpstr>
    </vt:vector>
  </TitlesOfParts>
  <Manager>General Secretariat - Pool</Manager>
  <Company>International Telecommunication Union (ITU)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T17-WTSA.20-C-0039!A8!MSW-A</dc:title>
  <dc:creator>Documents Proposals Manager (DPM)</dc:creator>
  <cp:keywords>DPM_v2021.3.2.1_prod</cp:keywords>
  <cp:lastModifiedBy>Arabic</cp:lastModifiedBy>
  <cp:revision>5</cp:revision>
  <cp:lastPrinted>2019-06-26T10:10:00Z</cp:lastPrinted>
  <dcterms:created xsi:type="dcterms:W3CDTF">2021-09-30T07:41:00Z</dcterms:created>
  <dcterms:modified xsi:type="dcterms:W3CDTF">2021-10-01T16:34:00Z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