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7"/>
        <w:gridCol w:w="5447"/>
        <w:gridCol w:w="3354"/>
      </w:tblGrid>
      <w:tr w:rsidR="00D42EE8" w:rsidRPr="00944576" w:rsidTr="00D42EE8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D42EE8" w:rsidRPr="00944576" w:rsidRDefault="00D42EE8" w:rsidP="00915518">
            <w:pPr>
              <w:spacing w:before="240"/>
            </w:pPr>
            <w:r w:rsidRPr="00944576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D42EE8" w:rsidRPr="00944576" w:rsidRDefault="00D42EE8" w:rsidP="009155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before="20" w:after="48"/>
              <w:ind w:left="34"/>
              <w:rPr>
                <w:b/>
                <w:sz w:val="28"/>
                <w:szCs w:val="28"/>
              </w:rPr>
            </w:pPr>
            <w:r w:rsidRPr="00944576">
              <w:rPr>
                <w:b/>
                <w:bCs/>
                <w:sz w:val="28"/>
                <w:szCs w:val="28"/>
              </w:rPr>
              <w:t>Conférence</w:t>
            </w:r>
            <w:r w:rsidRPr="00944576">
              <w:rPr>
                <w:b/>
                <w:sz w:val="28"/>
                <w:szCs w:val="28"/>
              </w:rPr>
              <w:t xml:space="preserve"> mondiale de développement des télécommunications (CMDT-17)</w:t>
            </w:r>
          </w:p>
          <w:p w:rsidR="00D42EE8" w:rsidRPr="00944576" w:rsidRDefault="00D42EE8" w:rsidP="009155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after="48"/>
              <w:ind w:left="34"/>
            </w:pPr>
            <w:r w:rsidRPr="00944576">
              <w:rPr>
                <w:b/>
                <w:bCs/>
                <w:sz w:val="26"/>
                <w:szCs w:val="26"/>
              </w:rPr>
              <w:t>Buenos Aires, Argentine, 9</w:t>
            </w:r>
            <w:r w:rsidR="0056763F" w:rsidRPr="00944576">
              <w:rPr>
                <w:b/>
                <w:bCs/>
                <w:sz w:val="26"/>
                <w:szCs w:val="26"/>
              </w:rPr>
              <w:t>-</w:t>
            </w:r>
            <w:r w:rsidRPr="00944576">
              <w:rPr>
                <w:b/>
                <w:bCs/>
                <w:sz w:val="26"/>
                <w:szCs w:val="26"/>
              </w:rPr>
              <w:t>20 octobre 2017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42EE8" w:rsidRPr="00944576" w:rsidRDefault="00515188" w:rsidP="00915518">
            <w:pPr>
              <w:spacing w:before="0" w:after="80"/>
            </w:pPr>
            <w:bookmarkStart w:id="0" w:name="dlogo"/>
            <w:bookmarkEnd w:id="0"/>
            <w:r w:rsidRPr="00944576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155786</wp:posOffset>
                  </wp:positionH>
                  <wp:positionV relativeFrom="paragraph">
                    <wp:posOffset>-19899</wp:posOffset>
                  </wp:positionV>
                  <wp:extent cx="1783544" cy="762935"/>
                  <wp:effectExtent l="0" t="0" r="7620" b="0"/>
                  <wp:wrapNone/>
                  <wp:docPr id="3" name="Picture 3" descr="C:\Users\murphy\AppData\Local\Microsoft\Windows\Temporary Internet Files\Content.Outlook\PQ94T9LJ\bd_F_25Years_Horizontal-411959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rphy\AppData\Local\Microsoft\Windows\Temporary Internet Files\Content.Outlook\PQ94T9LJ\bd_F_25Years_Horizontal-411959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44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EE8" w:rsidRPr="00944576" w:rsidTr="00D42EE8">
        <w:trPr>
          <w:cantSplit/>
        </w:trPr>
        <w:tc>
          <w:tcPr>
            <w:tcW w:w="6628" w:type="dxa"/>
            <w:gridSpan w:val="2"/>
            <w:tcBorders>
              <w:top w:val="single" w:sz="12" w:space="0" w:color="auto"/>
            </w:tcBorders>
          </w:tcPr>
          <w:p w:rsidR="00D42EE8" w:rsidRPr="00944576" w:rsidRDefault="00D42EE8" w:rsidP="00915518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 w:colFirst="0" w:colLast="1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D42EE8" w:rsidRPr="00944576" w:rsidRDefault="00D42EE8" w:rsidP="00915518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D42EE8" w:rsidRPr="00944576" w:rsidTr="00403E92">
        <w:trPr>
          <w:cantSplit/>
        </w:trPr>
        <w:tc>
          <w:tcPr>
            <w:tcW w:w="6628" w:type="dxa"/>
            <w:gridSpan w:val="2"/>
          </w:tcPr>
          <w:p w:rsidR="00D42EE8" w:rsidRPr="00944576" w:rsidRDefault="00000B37" w:rsidP="00915518">
            <w:pPr>
              <w:pStyle w:val="Committee"/>
              <w:spacing w:before="0"/>
            </w:pPr>
            <w:bookmarkStart w:id="2" w:name="dnum" w:colFirst="1" w:colLast="1"/>
            <w:bookmarkEnd w:id="1"/>
            <w:r w:rsidRPr="00944576">
              <w:rPr>
                <w:rFonts w:ascii="Verdana" w:hAnsi="Verdana"/>
                <w:sz w:val="20"/>
              </w:rPr>
              <w:t>SÉANCE PLÉNIÈRE</w:t>
            </w:r>
          </w:p>
        </w:tc>
        <w:tc>
          <w:tcPr>
            <w:tcW w:w="3260" w:type="dxa"/>
          </w:tcPr>
          <w:p w:rsidR="00D42EE8" w:rsidRPr="00944576" w:rsidRDefault="00000B37" w:rsidP="00915518">
            <w:pPr>
              <w:spacing w:before="0"/>
              <w:rPr>
                <w:bCs/>
                <w:szCs w:val="24"/>
              </w:rPr>
            </w:pPr>
            <w:r w:rsidRPr="00944576">
              <w:rPr>
                <w:rFonts w:ascii="Verdana" w:hAnsi="Verdana"/>
                <w:b/>
                <w:sz w:val="20"/>
              </w:rPr>
              <w:t>Addendum 3 au</w:t>
            </w:r>
            <w:r w:rsidRPr="00944576">
              <w:rPr>
                <w:rFonts w:ascii="Verdana" w:hAnsi="Verdana"/>
                <w:b/>
                <w:sz w:val="20"/>
              </w:rPr>
              <w:br/>
              <w:t>Document CMDT-17/19</w:t>
            </w:r>
            <w:r w:rsidR="00700D0A" w:rsidRPr="00944576">
              <w:rPr>
                <w:rFonts w:ascii="Verdana" w:hAnsi="Verdana"/>
                <w:b/>
                <w:sz w:val="20"/>
              </w:rPr>
              <w:t>-</w:t>
            </w:r>
            <w:r w:rsidRPr="00944576">
              <w:rPr>
                <w:rFonts w:ascii="Verdana" w:hAnsi="Verdana"/>
                <w:b/>
                <w:sz w:val="20"/>
              </w:rPr>
              <w:t>F</w:t>
            </w:r>
          </w:p>
        </w:tc>
      </w:tr>
      <w:tr w:rsidR="00D42EE8" w:rsidRPr="00944576" w:rsidTr="00403E92">
        <w:trPr>
          <w:cantSplit/>
        </w:trPr>
        <w:tc>
          <w:tcPr>
            <w:tcW w:w="6628" w:type="dxa"/>
            <w:gridSpan w:val="2"/>
          </w:tcPr>
          <w:p w:rsidR="00D42EE8" w:rsidRPr="00944576" w:rsidRDefault="00D42EE8" w:rsidP="00915518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260" w:type="dxa"/>
          </w:tcPr>
          <w:p w:rsidR="00D42EE8" w:rsidRPr="00944576" w:rsidRDefault="00000B37" w:rsidP="00915518">
            <w:pPr>
              <w:spacing w:before="0"/>
              <w:rPr>
                <w:bCs/>
                <w:szCs w:val="24"/>
              </w:rPr>
            </w:pPr>
            <w:r w:rsidRPr="00944576">
              <w:rPr>
                <w:rFonts w:ascii="Verdana" w:hAnsi="Verdana"/>
                <w:b/>
                <w:sz w:val="20"/>
              </w:rPr>
              <w:t>16 août 2017</w:t>
            </w:r>
          </w:p>
        </w:tc>
      </w:tr>
      <w:tr w:rsidR="00D42EE8" w:rsidRPr="00944576" w:rsidTr="00403E92">
        <w:trPr>
          <w:cantSplit/>
        </w:trPr>
        <w:tc>
          <w:tcPr>
            <w:tcW w:w="6628" w:type="dxa"/>
            <w:gridSpan w:val="2"/>
          </w:tcPr>
          <w:p w:rsidR="00D42EE8" w:rsidRPr="00944576" w:rsidRDefault="00D42EE8" w:rsidP="00915518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</w:tcPr>
          <w:p w:rsidR="00D42EE8" w:rsidRPr="00944576" w:rsidRDefault="00000B37" w:rsidP="00915518">
            <w:pPr>
              <w:spacing w:before="0"/>
              <w:rPr>
                <w:b/>
                <w:bCs/>
                <w:szCs w:val="24"/>
              </w:rPr>
            </w:pPr>
            <w:r w:rsidRPr="00944576"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D42EE8" w:rsidRPr="00944576" w:rsidTr="00CD6715">
        <w:trPr>
          <w:cantSplit/>
        </w:trPr>
        <w:tc>
          <w:tcPr>
            <w:tcW w:w="9888" w:type="dxa"/>
            <w:gridSpan w:val="3"/>
          </w:tcPr>
          <w:p w:rsidR="00D42EE8" w:rsidRPr="00944576" w:rsidRDefault="005B6CE3" w:rsidP="00915518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</w:tabs>
              <w:spacing w:before="240" w:after="240" w:afterAutospacing="0"/>
            </w:pPr>
            <w:bookmarkStart w:id="5" w:name="dsource" w:colFirst="1" w:colLast="1"/>
            <w:bookmarkEnd w:id="4"/>
            <w:r w:rsidRPr="00944576">
              <w:t>Etats Membres de l</w:t>
            </w:r>
            <w:r w:rsidR="009314BA" w:rsidRPr="00944576">
              <w:t>'</w:t>
            </w:r>
            <w:r w:rsidRPr="00944576">
              <w:t>Union africaine des télécommunications</w:t>
            </w:r>
          </w:p>
        </w:tc>
      </w:tr>
      <w:tr w:rsidR="00D42EE8" w:rsidRPr="00944576" w:rsidTr="007934DB">
        <w:trPr>
          <w:cantSplit/>
        </w:trPr>
        <w:tc>
          <w:tcPr>
            <w:tcW w:w="9888" w:type="dxa"/>
            <w:gridSpan w:val="3"/>
          </w:tcPr>
          <w:p w:rsidR="00D42EE8" w:rsidRPr="00944576" w:rsidRDefault="008D55E6" w:rsidP="00915518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</w:pPr>
            <w:bookmarkStart w:id="6" w:name="dtitle1" w:colFirst="1" w:colLast="1"/>
            <w:bookmarkEnd w:id="5"/>
            <w:r w:rsidRPr="00944576">
              <w:t>NOUVELLES INITIATIVES RéGIONALES</w:t>
            </w:r>
          </w:p>
        </w:tc>
      </w:tr>
      <w:tr w:rsidR="00D42EE8" w:rsidRPr="00944576" w:rsidTr="007934DB">
        <w:trPr>
          <w:cantSplit/>
        </w:trPr>
        <w:tc>
          <w:tcPr>
            <w:tcW w:w="9888" w:type="dxa"/>
            <w:gridSpan w:val="3"/>
          </w:tcPr>
          <w:p w:rsidR="00D42EE8" w:rsidRPr="00944576" w:rsidRDefault="00D42EE8" w:rsidP="00915518">
            <w:pPr>
              <w:pStyle w:val="Title2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</w:pPr>
          </w:p>
        </w:tc>
      </w:tr>
      <w:tr w:rsidR="00CD2EB0" w:rsidRPr="0094457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B0" w:rsidRPr="00944576" w:rsidRDefault="004D21D6" w:rsidP="00915518">
            <w:r w:rsidRPr="00944576">
              <w:rPr>
                <w:rFonts w:ascii="Calibri" w:eastAsia="SimSun" w:hAnsi="Calibri" w:cs="Traditional Arabic"/>
                <w:b/>
                <w:bCs/>
                <w:szCs w:val="24"/>
              </w:rPr>
              <w:t>Domaine prioritaire:</w:t>
            </w:r>
          </w:p>
          <w:p w:rsidR="00CD2EB0" w:rsidRPr="00944576" w:rsidRDefault="008D55E6" w:rsidP="00915518">
            <w:pPr>
              <w:rPr>
                <w:szCs w:val="24"/>
              </w:rPr>
            </w:pPr>
            <w:r w:rsidRPr="00944576">
              <w:rPr>
                <w:szCs w:val="24"/>
              </w:rPr>
              <w:t>–</w:t>
            </w:r>
            <w:r w:rsidRPr="00944576">
              <w:rPr>
                <w:szCs w:val="24"/>
              </w:rPr>
              <w:tab/>
            </w:r>
            <w:r w:rsidRPr="00944576">
              <w:rPr>
                <w:rFonts w:ascii="Calibri" w:eastAsia="SimSun" w:hAnsi="Calibri" w:cs="Traditional Arabic"/>
                <w:szCs w:val="24"/>
              </w:rPr>
              <w:t xml:space="preserve">Initiatives régionales, </w:t>
            </w:r>
            <w:r w:rsidRPr="00944576">
              <w:rPr>
                <w:szCs w:val="28"/>
              </w:rPr>
              <w:t>projets qui leur sont associés et mécanismes de financement</w:t>
            </w:r>
          </w:p>
          <w:p w:rsidR="00CD2EB0" w:rsidRPr="00944576" w:rsidRDefault="004D21D6" w:rsidP="00915518">
            <w:r w:rsidRPr="00944576">
              <w:rPr>
                <w:rFonts w:ascii="Calibri" w:eastAsia="SimSun" w:hAnsi="Calibri" w:cs="Traditional Arabic"/>
                <w:b/>
                <w:bCs/>
                <w:szCs w:val="24"/>
              </w:rPr>
              <w:t>Résumé:</w:t>
            </w:r>
          </w:p>
          <w:p w:rsidR="00CD2EB0" w:rsidRPr="00944576" w:rsidRDefault="000E6B0A" w:rsidP="00DC0EC4">
            <w:pPr>
              <w:rPr>
                <w:szCs w:val="24"/>
              </w:rPr>
            </w:pPr>
            <w:r w:rsidRPr="00944576">
              <w:rPr>
                <w:szCs w:val="24"/>
              </w:rPr>
              <w:t>La 2</w:t>
            </w:r>
            <w:r w:rsidR="00DC0EC4">
              <w:rPr>
                <w:szCs w:val="24"/>
              </w:rPr>
              <w:t>èm</w:t>
            </w:r>
            <w:r w:rsidRPr="00944576">
              <w:rPr>
                <w:szCs w:val="24"/>
              </w:rPr>
              <w:t>e réunion préparatoire régionale a permis de</w:t>
            </w:r>
            <w:r w:rsidR="00915518" w:rsidRPr="00944576">
              <w:rPr>
                <w:szCs w:val="24"/>
              </w:rPr>
              <w:t xml:space="preserve"> faire la synthèse des propositions de nouvelles </w:t>
            </w:r>
            <w:r w:rsidRPr="00944576">
              <w:rPr>
                <w:szCs w:val="24"/>
              </w:rPr>
              <w:t>initiatives régionales</w:t>
            </w:r>
            <w:r w:rsidR="008D55E6" w:rsidRPr="00944576">
              <w:rPr>
                <w:szCs w:val="24"/>
              </w:rPr>
              <w:t xml:space="preserve"> </w:t>
            </w:r>
            <w:r w:rsidRPr="00944576">
              <w:rPr>
                <w:szCs w:val="24"/>
              </w:rPr>
              <w:t>compte tenu des principes et con</w:t>
            </w:r>
            <w:r w:rsidR="00915518" w:rsidRPr="00944576">
              <w:rPr>
                <w:szCs w:val="24"/>
              </w:rPr>
              <w:t>tribu</w:t>
            </w:r>
            <w:r w:rsidRPr="00944576">
              <w:rPr>
                <w:szCs w:val="24"/>
              </w:rPr>
              <w:t>tions suivants:</w:t>
            </w:r>
          </w:p>
          <w:p w:rsidR="008D55E6" w:rsidRPr="00944576" w:rsidRDefault="008D55E6" w:rsidP="00915518">
            <w:pPr>
              <w:pStyle w:val="enumlev1"/>
            </w:pPr>
            <w:r w:rsidRPr="00944576">
              <w:t>1)</w:t>
            </w:r>
            <w:r w:rsidRPr="00944576">
              <w:tab/>
            </w:r>
            <w:r w:rsidR="000E6B0A" w:rsidRPr="00944576">
              <w:t>les lignes directrices de l'UIT sur l'élaboration des</w:t>
            </w:r>
            <w:r w:rsidRPr="00944576">
              <w:t xml:space="preserve"> initiatives </w:t>
            </w:r>
            <w:r w:rsidR="000E6B0A" w:rsidRPr="00944576">
              <w:t>régionales</w:t>
            </w:r>
            <w:r w:rsidR="00915518" w:rsidRPr="00944576">
              <w:t>;</w:t>
            </w:r>
          </w:p>
          <w:p w:rsidR="008D55E6" w:rsidRPr="00944576" w:rsidRDefault="008D55E6" w:rsidP="00915518">
            <w:pPr>
              <w:pStyle w:val="enumlev1"/>
            </w:pPr>
            <w:r w:rsidRPr="00944576">
              <w:t>2)</w:t>
            </w:r>
            <w:r w:rsidRPr="00944576">
              <w:tab/>
            </w:r>
            <w:r w:rsidR="000E6B0A" w:rsidRPr="00944576">
              <w:t>les résultats de la première réunion préparatoire pour</w:t>
            </w:r>
            <w:r w:rsidRPr="00944576">
              <w:t xml:space="preserve"> </w:t>
            </w:r>
            <w:r w:rsidR="000E6B0A" w:rsidRPr="00944576">
              <w:t>l'Afrique organisée à</w:t>
            </w:r>
            <w:r w:rsidR="00915518" w:rsidRPr="00944576">
              <w:t xml:space="preserve"> Kigali;</w:t>
            </w:r>
          </w:p>
          <w:p w:rsidR="008D55E6" w:rsidRPr="00944576" w:rsidRDefault="008D55E6" w:rsidP="00915518">
            <w:pPr>
              <w:pStyle w:val="enumlev1"/>
            </w:pPr>
            <w:r w:rsidRPr="00944576">
              <w:t>3)</w:t>
            </w:r>
            <w:r w:rsidRPr="00944576">
              <w:tab/>
            </w:r>
            <w:r w:rsidR="00A45632" w:rsidRPr="00944576">
              <w:t>les contributions des Etats Membres et</w:t>
            </w:r>
            <w:r w:rsidRPr="00944576">
              <w:t xml:space="preserve"> </w:t>
            </w:r>
            <w:r w:rsidR="00A45632" w:rsidRPr="00944576">
              <w:t>des Associés</w:t>
            </w:r>
            <w:r w:rsidRPr="00944576">
              <w:t xml:space="preserve"> </w:t>
            </w:r>
            <w:r w:rsidR="00A45632" w:rsidRPr="00944576">
              <w:t>africains à cette réunion</w:t>
            </w:r>
            <w:r w:rsidR="00915518" w:rsidRPr="00944576">
              <w:t>;</w:t>
            </w:r>
          </w:p>
          <w:p w:rsidR="008D55E6" w:rsidRPr="00944576" w:rsidRDefault="008D55E6" w:rsidP="00915518">
            <w:pPr>
              <w:pStyle w:val="enumlev1"/>
            </w:pPr>
            <w:r w:rsidRPr="00944576">
              <w:t>4)</w:t>
            </w:r>
            <w:r w:rsidRPr="00944576">
              <w:tab/>
            </w:r>
            <w:r w:rsidR="00561F9F" w:rsidRPr="00944576">
              <w:t>la réduction de sept à cinq</w:t>
            </w:r>
            <w:r w:rsidR="00A45632" w:rsidRPr="00944576">
              <w:t xml:space="preserve"> initiatives</w:t>
            </w:r>
            <w:r w:rsidR="00915518" w:rsidRPr="00944576">
              <w:t>.</w:t>
            </w:r>
          </w:p>
          <w:p w:rsidR="008D55E6" w:rsidRPr="00944576" w:rsidRDefault="00A45632" w:rsidP="00915518">
            <w:pPr>
              <w:rPr>
                <w:szCs w:val="24"/>
              </w:rPr>
            </w:pPr>
            <w:r w:rsidRPr="00944576">
              <w:rPr>
                <w:szCs w:val="24"/>
              </w:rPr>
              <w:t xml:space="preserve">Le présent document expose les initiatives régionales pour la région </w:t>
            </w:r>
            <w:r w:rsidR="002713B0" w:rsidRPr="00944576">
              <w:rPr>
                <w:szCs w:val="24"/>
              </w:rPr>
              <w:t>Afrique</w:t>
            </w:r>
            <w:r w:rsidR="008D55E6" w:rsidRPr="00944576">
              <w:rPr>
                <w:szCs w:val="24"/>
              </w:rPr>
              <w:t>.</w:t>
            </w:r>
          </w:p>
          <w:p w:rsidR="00CD2EB0" w:rsidRPr="00944576" w:rsidRDefault="004D21D6" w:rsidP="00915518">
            <w:r w:rsidRPr="00944576">
              <w:rPr>
                <w:rFonts w:ascii="Calibri" w:eastAsia="SimSun" w:hAnsi="Calibri" w:cs="Traditional Arabic"/>
                <w:b/>
                <w:bCs/>
                <w:szCs w:val="24"/>
              </w:rPr>
              <w:t>Résultats attendus:</w:t>
            </w:r>
          </w:p>
          <w:p w:rsidR="00CD2EB0" w:rsidRPr="00944576" w:rsidRDefault="008D55E6" w:rsidP="00915518">
            <w:pPr>
              <w:rPr>
                <w:szCs w:val="24"/>
              </w:rPr>
            </w:pPr>
            <w:r w:rsidRPr="00944576">
              <w:rPr>
                <w:szCs w:val="24"/>
              </w:rPr>
              <w:t xml:space="preserve">La CMDT-17 </w:t>
            </w:r>
            <w:r w:rsidR="00A45632" w:rsidRPr="00944576">
              <w:rPr>
                <w:szCs w:val="24"/>
              </w:rPr>
              <w:t>est invitée à examiner et adopter les propositions communes pour la région Afrique ci-jointes</w:t>
            </w:r>
            <w:r w:rsidRPr="00944576">
              <w:rPr>
                <w:szCs w:val="24"/>
              </w:rPr>
              <w:t>.</w:t>
            </w:r>
          </w:p>
          <w:p w:rsidR="00CD2EB0" w:rsidRPr="00944576" w:rsidRDefault="004D21D6" w:rsidP="00915518">
            <w:pPr>
              <w:rPr>
                <w:rFonts w:ascii="Calibri" w:eastAsia="SimSun" w:hAnsi="Calibri" w:cs="Traditional Arabic"/>
                <w:b/>
                <w:bCs/>
                <w:szCs w:val="24"/>
              </w:rPr>
            </w:pPr>
            <w:r w:rsidRPr="00944576">
              <w:rPr>
                <w:rFonts w:ascii="Calibri" w:eastAsia="SimSun" w:hAnsi="Calibri" w:cs="Traditional Arabic"/>
                <w:b/>
                <w:bCs/>
                <w:szCs w:val="24"/>
              </w:rPr>
              <w:t>Références:</w:t>
            </w:r>
          </w:p>
          <w:p w:rsidR="00CD2EB0" w:rsidRPr="00944576" w:rsidRDefault="008D55E6" w:rsidP="00915518">
            <w:pPr>
              <w:spacing w:after="120"/>
              <w:rPr>
                <w:szCs w:val="24"/>
              </w:rPr>
            </w:pPr>
            <w:r w:rsidRPr="00944576">
              <w:rPr>
                <w:color w:val="000000"/>
                <w:szCs w:val="24"/>
              </w:rPr>
              <w:t xml:space="preserve">Documents TDAG17-22/73(Rév.1) et </w:t>
            </w:r>
            <w:r w:rsidRPr="00944576">
              <w:rPr>
                <w:bCs/>
                <w:szCs w:val="24"/>
              </w:rPr>
              <w:t>RPM-AFR16/9</w:t>
            </w:r>
          </w:p>
        </w:tc>
      </w:tr>
    </w:tbl>
    <w:p w:rsidR="00E71FC7" w:rsidRPr="00944576" w:rsidRDefault="00E71FC7" w:rsidP="00915518">
      <w:bookmarkStart w:id="7" w:name="dbreak"/>
      <w:bookmarkEnd w:id="6"/>
      <w:bookmarkEnd w:id="7"/>
    </w:p>
    <w:p w:rsidR="00E71FC7" w:rsidRPr="00944576" w:rsidRDefault="00E71FC7" w:rsidP="00915518">
      <w:pPr>
        <w:tabs>
          <w:tab w:val="clear" w:pos="794"/>
          <w:tab w:val="clear" w:pos="1191"/>
          <w:tab w:val="clear" w:pos="1588"/>
          <w:tab w:val="clear" w:pos="1985"/>
          <w:tab w:val="clear" w:pos="2268"/>
          <w:tab w:val="clear" w:pos="2552"/>
        </w:tabs>
        <w:overflowPunct/>
        <w:autoSpaceDE/>
        <w:autoSpaceDN/>
        <w:adjustRightInd/>
        <w:spacing w:before="0"/>
        <w:textAlignment w:val="auto"/>
      </w:pPr>
      <w:r w:rsidRPr="00944576">
        <w:br w:type="page"/>
      </w:r>
    </w:p>
    <w:p w:rsidR="00AD4E1C" w:rsidRPr="00944576" w:rsidRDefault="004D21D6" w:rsidP="00915518">
      <w:pPr>
        <w:pStyle w:val="Volumetitle"/>
        <w:jc w:val="left"/>
        <w:rPr>
          <w:rFonts w:asciiTheme="minorHAnsi" w:hAnsiTheme="minorHAnsi"/>
          <w:lang w:val="fr-FR"/>
        </w:rPr>
      </w:pPr>
      <w:r w:rsidRPr="00944576">
        <w:rPr>
          <w:rFonts w:asciiTheme="minorHAnsi" w:hAnsiTheme="minorHAnsi"/>
          <w:lang w:val="fr-FR"/>
        </w:rPr>
        <w:lastRenderedPageBreak/>
        <w:t>INITIATIVES RÉGIONALES</w:t>
      </w:r>
    </w:p>
    <w:p w:rsidR="004C3123" w:rsidRPr="00944576" w:rsidRDefault="004D21D6" w:rsidP="00915518">
      <w:pPr>
        <w:pStyle w:val="Section1"/>
        <w:rPr>
          <w:sz w:val="24"/>
          <w:szCs w:val="24"/>
        </w:rPr>
      </w:pPr>
      <w:bookmarkStart w:id="8" w:name="_Toc394060805"/>
      <w:bookmarkStart w:id="9" w:name="_Toc401906690"/>
      <w:r w:rsidRPr="00944576">
        <w:rPr>
          <w:sz w:val="24"/>
          <w:szCs w:val="24"/>
        </w:rPr>
        <w:t>INITIATIVES RÉGIONALES POUR L</w:t>
      </w:r>
      <w:r w:rsidR="009314BA" w:rsidRPr="00944576">
        <w:rPr>
          <w:sz w:val="24"/>
          <w:szCs w:val="24"/>
        </w:rPr>
        <w:t>'</w:t>
      </w:r>
      <w:r w:rsidRPr="00944576">
        <w:rPr>
          <w:sz w:val="24"/>
          <w:szCs w:val="24"/>
        </w:rPr>
        <w:t>AFRIQUE</w:t>
      </w:r>
      <w:bookmarkEnd w:id="8"/>
      <w:bookmarkEnd w:id="9"/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AFCP/19A3/1</w:t>
      </w:r>
    </w:p>
    <w:p w:rsidR="004C3123" w:rsidRPr="00944576" w:rsidRDefault="004D21D6" w:rsidP="00915518">
      <w:pPr>
        <w:pStyle w:val="Heading1"/>
        <w:rPr>
          <w:sz w:val="24"/>
          <w:szCs w:val="24"/>
        </w:rPr>
      </w:pPr>
      <w:bookmarkStart w:id="10" w:name="_Toc271023337"/>
      <w:r w:rsidRPr="00944576">
        <w:rPr>
          <w:sz w:val="24"/>
          <w:szCs w:val="24"/>
        </w:rPr>
        <w:t>AFR1: Renforcement des capacités humaines et institutionnelles</w:t>
      </w:r>
      <w:bookmarkEnd w:id="10"/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ADD</w:t>
      </w:r>
      <w:r w:rsidRPr="00944576">
        <w:rPr>
          <w:lang w:val="fr-FR"/>
        </w:rPr>
        <w:tab/>
        <w:t>AFCP/19A3/2</w:t>
      </w:r>
    </w:p>
    <w:p w:rsidR="00CD2EB0" w:rsidRPr="00944576" w:rsidRDefault="004D21D6" w:rsidP="00915518">
      <w:r w:rsidRPr="00944576">
        <w:rPr>
          <w:rFonts w:ascii="Calibri"/>
          <w:b/>
        </w:rPr>
        <w:t xml:space="preserve">AFR1: </w:t>
      </w:r>
      <w:r w:rsidR="00915518" w:rsidRPr="00944576">
        <w:rPr>
          <w:rFonts w:ascii="Calibri"/>
          <w:b/>
        </w:rPr>
        <w:t>Création d'</w:t>
      </w:r>
      <w:r w:rsidR="00A45632" w:rsidRPr="00944576">
        <w:rPr>
          <w:rFonts w:ascii="Calibri"/>
          <w:b/>
        </w:rPr>
        <w:t xml:space="preserve">économies numériques et </w:t>
      </w:r>
      <w:r w:rsidR="00915518" w:rsidRPr="00944576">
        <w:rPr>
          <w:rFonts w:ascii="Calibri"/>
          <w:b/>
        </w:rPr>
        <w:t xml:space="preserve">promotion de </w:t>
      </w:r>
      <w:r w:rsidR="00A45632" w:rsidRPr="00944576">
        <w:rPr>
          <w:rFonts w:ascii="Calibri"/>
          <w:b/>
        </w:rPr>
        <w:t>l'</w:t>
      </w:r>
      <w:r w:rsidRPr="00944576">
        <w:rPr>
          <w:rFonts w:ascii="Calibri"/>
          <w:b/>
        </w:rPr>
        <w:t xml:space="preserve">innovation </w:t>
      </w:r>
      <w:r w:rsidR="00A45632" w:rsidRPr="00944576">
        <w:rPr>
          <w:rFonts w:ascii="Calibri"/>
          <w:b/>
        </w:rPr>
        <w:t>en</w:t>
      </w:r>
      <w:r w:rsidRPr="00944576">
        <w:rPr>
          <w:rFonts w:ascii="Calibri"/>
          <w:b/>
        </w:rPr>
        <w:t xml:space="preserve"> Afri</w:t>
      </w:r>
      <w:r w:rsidR="00A45632" w:rsidRPr="00944576">
        <w:rPr>
          <w:rFonts w:ascii="Calibri"/>
          <w:b/>
        </w:rPr>
        <w:t>que</w:t>
      </w:r>
    </w:p>
    <w:p w:rsidR="00CD2EB0" w:rsidRPr="00944576" w:rsidRDefault="007513F7" w:rsidP="00AE59D0">
      <w:r w:rsidRPr="00944576">
        <w:rPr>
          <w:b/>
          <w:bCs/>
        </w:rPr>
        <w:t>Objectif</w:t>
      </w:r>
      <w:r w:rsidRPr="00944576">
        <w:t xml:space="preserve">: </w:t>
      </w:r>
      <w:bookmarkStart w:id="11" w:name="lt_pId046"/>
      <w:r w:rsidR="00A45632" w:rsidRPr="00944576">
        <w:t>Les pays de la région Afrique ont besoin d'</w:t>
      </w:r>
      <w:r w:rsidRPr="00944576">
        <w:t xml:space="preserve">interventions </w:t>
      </w:r>
      <w:r w:rsidR="00A45632" w:rsidRPr="00944576">
        <w:t xml:space="preserve">qui permettraient à leur économie de passer au numérique. </w:t>
      </w:r>
      <w:bookmarkEnd w:id="11"/>
      <w:r w:rsidR="001A3538" w:rsidRPr="00944576">
        <w:t>Il est indispensable que l'UIT aide</w:t>
      </w:r>
      <w:r w:rsidR="00A45632" w:rsidRPr="00944576">
        <w:t xml:space="preserve"> les Etats Membres de cette région à </w:t>
      </w:r>
      <w:r w:rsidR="00561F9F" w:rsidRPr="00944576">
        <w:t>tirer</w:t>
      </w:r>
      <w:r w:rsidR="001A3538" w:rsidRPr="00944576">
        <w:t xml:space="preserve"> pleinement </w:t>
      </w:r>
      <w:r w:rsidR="00561F9F" w:rsidRPr="00944576">
        <w:t xml:space="preserve">parti </w:t>
      </w:r>
      <w:r w:rsidR="001A3538" w:rsidRPr="00944576">
        <w:t xml:space="preserve">des avantages de l'économie numérique en relevant les nouveaux défis qui se posent sur le plan de la réglementation et des </w:t>
      </w:r>
      <w:r w:rsidR="00915518" w:rsidRPr="00944576">
        <w:t>politiques</w:t>
      </w:r>
      <w:r w:rsidR="001A3538" w:rsidRPr="00944576">
        <w:t>.</w:t>
      </w:r>
      <w:r w:rsidRPr="00944576">
        <w:t xml:space="preserve"> </w:t>
      </w:r>
      <w:bookmarkStart w:id="12" w:name="lt_pId047"/>
      <w:r w:rsidR="001A3538" w:rsidRPr="00944576">
        <w:t>Dans la droite ligne de la croissance des économies numériques, les innovations reposant sur les TIC</w:t>
      </w:r>
      <w:r w:rsidR="00561F9F" w:rsidRPr="00944576">
        <w:t>,</w:t>
      </w:r>
      <w:r w:rsidR="001A3538" w:rsidRPr="00944576">
        <w:t xml:space="preserve"> dont le potentiel </w:t>
      </w:r>
      <w:r w:rsidR="00FE692D" w:rsidRPr="00944576">
        <w:t>en ce qui concerne le</w:t>
      </w:r>
      <w:r w:rsidR="001A3538" w:rsidRPr="00944576">
        <w:t xml:space="preserve"> développement socio-économique des pays est avéré</w:t>
      </w:r>
      <w:r w:rsidR="00561F9F" w:rsidRPr="00944576">
        <w:t>,</w:t>
      </w:r>
      <w:r w:rsidR="001A3538" w:rsidRPr="00944576">
        <w:t xml:space="preserve"> vont également croissant</w:t>
      </w:r>
      <w:r w:rsidRPr="00944576">
        <w:t>.</w:t>
      </w:r>
      <w:bookmarkEnd w:id="12"/>
      <w:r w:rsidRPr="00944576">
        <w:t xml:space="preserve"> </w:t>
      </w:r>
      <w:r w:rsidR="001A3538" w:rsidRPr="00944576">
        <w:t xml:space="preserve">Il est demandé à l'UIT </w:t>
      </w:r>
      <w:r w:rsidR="00FE692D" w:rsidRPr="00944576">
        <w:t>de prêter son concours</w:t>
      </w:r>
      <w:r w:rsidR="001A3538" w:rsidRPr="00944576">
        <w:t xml:space="preserve"> aux Etats Membres de la région Afrique</w:t>
      </w:r>
      <w:r w:rsidR="00483F73" w:rsidRPr="00944576">
        <w:t xml:space="preserve"> de façon à bâtir des</w:t>
      </w:r>
      <w:r w:rsidRPr="00944576">
        <w:t xml:space="preserve"> </w:t>
      </w:r>
      <w:bookmarkStart w:id="13" w:name="lt_pId049"/>
      <w:r w:rsidR="00915518" w:rsidRPr="00944576">
        <w:t>écosystèmes</w:t>
      </w:r>
      <w:r w:rsidR="00483F73" w:rsidRPr="00944576">
        <w:t xml:space="preserve"> de l'innovation </w:t>
      </w:r>
      <w:r w:rsidR="00FE692D" w:rsidRPr="00944576">
        <w:t xml:space="preserve">plus efficaces qui </w:t>
      </w:r>
      <w:r w:rsidR="00483F73" w:rsidRPr="00944576">
        <w:t>repos</w:t>
      </w:r>
      <w:r w:rsidR="00FE692D" w:rsidRPr="00944576">
        <w:t>e</w:t>
      </w:r>
      <w:r w:rsidR="00483F73" w:rsidRPr="00944576">
        <w:t>nt sur les TIC.</w:t>
      </w:r>
      <w:bookmarkEnd w:id="13"/>
    </w:p>
    <w:p w:rsidR="007513F7" w:rsidRPr="00944576" w:rsidRDefault="007513F7" w:rsidP="00915518">
      <w:pPr>
        <w:pStyle w:val="Headingb"/>
      </w:pPr>
      <w:r w:rsidRPr="00944576">
        <w:lastRenderedPageBreak/>
        <w:t>Résultats attendus</w:t>
      </w:r>
    </w:p>
    <w:p w:rsidR="007513F7" w:rsidRPr="00944576" w:rsidRDefault="007513F7" w:rsidP="00915518">
      <w:pPr>
        <w:pStyle w:val="enumlev1"/>
      </w:pPr>
      <w:r w:rsidRPr="00944576">
        <w:t>1)</w:t>
      </w:r>
      <w:r w:rsidRPr="00944576">
        <w:tab/>
      </w:r>
      <w:bookmarkStart w:id="14" w:name="lt_pId052"/>
      <w:r w:rsidR="00FE692D" w:rsidRPr="00944576">
        <w:t>Fournir une assistance</w:t>
      </w:r>
      <w:r w:rsidR="00483F73" w:rsidRPr="00944576">
        <w:t xml:space="preserve"> à l'élaboration de stratégies nationales </w:t>
      </w:r>
      <w:r w:rsidR="00FE692D" w:rsidRPr="00944576">
        <w:t>dans le domaine de</w:t>
      </w:r>
      <w:r w:rsidR="00483F73" w:rsidRPr="00944576">
        <w:t xml:space="preserve"> l'économie numérique</w:t>
      </w:r>
      <w:r w:rsidR="00A70B6A" w:rsidRPr="00944576">
        <w:t xml:space="preserve"> axées sur des politiques et des réglementations </w:t>
      </w:r>
      <w:r w:rsidR="00FE692D" w:rsidRPr="00944576">
        <w:t>propices permettant de</w:t>
      </w:r>
      <w:r w:rsidR="00A70B6A" w:rsidRPr="00944576">
        <w:t xml:space="preserve"> favoriser le recours aux technologies numériques</w:t>
      </w:r>
      <w:bookmarkEnd w:id="14"/>
      <w:r w:rsidRPr="00944576">
        <w:t>.</w:t>
      </w:r>
    </w:p>
    <w:p w:rsidR="007513F7" w:rsidRPr="00944576" w:rsidRDefault="007513F7" w:rsidP="00915518">
      <w:pPr>
        <w:pStyle w:val="enumlev1"/>
      </w:pPr>
      <w:r w:rsidRPr="00944576">
        <w:t>2)</w:t>
      </w:r>
      <w:r w:rsidRPr="00944576">
        <w:tab/>
      </w:r>
      <w:bookmarkStart w:id="15" w:name="lt_pId054"/>
      <w:r w:rsidR="00FE692D" w:rsidRPr="00944576">
        <w:t>Encourager</w:t>
      </w:r>
      <w:r w:rsidR="00A70B6A" w:rsidRPr="00944576">
        <w:t xml:space="preserve"> l'inclusion numérique et</w:t>
      </w:r>
      <w:r w:rsidR="00FE692D" w:rsidRPr="00944576">
        <w:t xml:space="preserve"> aider</w:t>
      </w:r>
      <w:r w:rsidR="00A70B6A" w:rsidRPr="00944576">
        <w:t xml:space="preserve"> à l'élaboration de stratégies, politiques, cadre</w:t>
      </w:r>
      <w:r w:rsidR="00FE692D" w:rsidRPr="00944576">
        <w:t>s</w:t>
      </w:r>
      <w:r w:rsidR="00A70B6A" w:rsidRPr="00944576">
        <w:t xml:space="preserve"> réglementaires et lignes directrices visant précisément à permettre l'inclusion sociale et financière grâce à l'amélioration de la culture et de l'accessibilité du numérique.</w:t>
      </w:r>
      <w:bookmarkEnd w:id="15"/>
    </w:p>
    <w:p w:rsidR="007513F7" w:rsidRPr="00944576" w:rsidRDefault="007513F7" w:rsidP="00915518">
      <w:pPr>
        <w:pStyle w:val="enumlev1"/>
      </w:pPr>
      <w:r w:rsidRPr="00944576">
        <w:t>3)</w:t>
      </w:r>
      <w:r w:rsidRPr="00944576">
        <w:tab/>
      </w:r>
      <w:bookmarkStart w:id="16" w:name="lt_pId056"/>
      <w:r w:rsidR="00A70B6A" w:rsidRPr="00944576">
        <w:t>Aide</w:t>
      </w:r>
      <w:r w:rsidR="0041543C" w:rsidRPr="00944576">
        <w:t>r à élaborer</w:t>
      </w:r>
      <w:r w:rsidR="00A70B6A" w:rsidRPr="00944576">
        <w:t xml:space="preserve"> de</w:t>
      </w:r>
      <w:r w:rsidR="0041543C" w:rsidRPr="00944576">
        <w:t>s</w:t>
      </w:r>
      <w:r w:rsidR="00A70B6A" w:rsidRPr="00944576">
        <w:t xml:space="preserve"> plans d'action</w:t>
      </w:r>
      <w:r w:rsidR="00A1685B" w:rsidRPr="00944576">
        <w:t xml:space="preserve"> assortis d'indicateurs fondamentaux de performance liés au numérique et </w:t>
      </w:r>
      <w:r w:rsidR="00915518" w:rsidRPr="00944576">
        <w:t>concernant notamment l'adoption de cyber</w:t>
      </w:r>
      <w:r w:rsidR="00A1685B" w:rsidRPr="00944576">
        <w:t xml:space="preserve">applications orientées vers le développement durable dans divers </w:t>
      </w:r>
      <w:r w:rsidR="00915518" w:rsidRPr="00944576">
        <w:t>pans</w:t>
      </w:r>
      <w:r w:rsidR="00A1685B" w:rsidRPr="00944576">
        <w:t xml:space="preserve"> des économies africaines.</w:t>
      </w:r>
      <w:bookmarkEnd w:id="16"/>
    </w:p>
    <w:p w:rsidR="007513F7" w:rsidRPr="00944576" w:rsidRDefault="007513F7" w:rsidP="00915518">
      <w:pPr>
        <w:pStyle w:val="enumlev1"/>
      </w:pPr>
      <w:r w:rsidRPr="00944576">
        <w:t>4)</w:t>
      </w:r>
      <w:r w:rsidRPr="00944576">
        <w:tab/>
      </w:r>
      <w:bookmarkStart w:id="17" w:name="lt_pId058"/>
      <w:r w:rsidR="0041543C" w:rsidRPr="00944576">
        <w:t>Fournir une aide concernant</w:t>
      </w:r>
      <w:r w:rsidR="00A1685B" w:rsidRPr="00944576">
        <w:t xml:space="preserve"> l'adoption et l'application de normes pertinentes visant à </w:t>
      </w:r>
      <w:r w:rsidR="0041543C" w:rsidRPr="00944576">
        <w:t>résoudre les problèmes</w:t>
      </w:r>
      <w:r w:rsidR="00A1685B" w:rsidRPr="00944576">
        <w:t xml:space="preserve"> </w:t>
      </w:r>
      <w:r w:rsidR="0041543C" w:rsidRPr="00944576">
        <w:t>d</w:t>
      </w:r>
      <w:r w:rsidR="00A1685B" w:rsidRPr="00944576">
        <w:t>'inter</w:t>
      </w:r>
      <w:r w:rsidR="00546EDB" w:rsidRPr="00944576">
        <w:t>opérabilité qui découlent de la généralisation de l'innovation numérique, laquelle engendre des changements et des perturbations.</w:t>
      </w:r>
      <w:bookmarkEnd w:id="17"/>
    </w:p>
    <w:p w:rsidR="007513F7" w:rsidRPr="00944576" w:rsidRDefault="007513F7" w:rsidP="00915518">
      <w:pPr>
        <w:pStyle w:val="enumlev1"/>
      </w:pPr>
      <w:r w:rsidRPr="00944576">
        <w:t>5)</w:t>
      </w:r>
      <w:r w:rsidRPr="00944576">
        <w:tab/>
      </w:r>
      <w:bookmarkStart w:id="18" w:name="lt_pId060"/>
      <w:r w:rsidR="0041543C" w:rsidRPr="00944576">
        <w:t>Fournir un appui</w:t>
      </w:r>
      <w:r w:rsidR="00D2148B" w:rsidRPr="00944576">
        <w:t xml:space="preserve"> </w:t>
      </w:r>
      <w:r w:rsidR="0041543C" w:rsidRPr="00944576">
        <w:t>en ce qui concerne le</w:t>
      </w:r>
      <w:r w:rsidR="00D2148B" w:rsidRPr="00944576">
        <w:t xml:space="preserve"> r</w:t>
      </w:r>
      <w:r w:rsidR="00546EDB" w:rsidRPr="00944576">
        <w:t xml:space="preserve">enforcement des moyens dont disposent les Etats Membres pour mettre au point des interventions efficaces </w:t>
      </w:r>
      <w:bookmarkEnd w:id="18"/>
      <w:r w:rsidR="00546EDB" w:rsidRPr="00944576">
        <w:t>en matière</w:t>
      </w:r>
      <w:r w:rsidR="0041543C" w:rsidRPr="00944576">
        <w:t xml:space="preserve"> de politiques d'innovation, à toutes les étapes</w:t>
      </w:r>
      <w:r w:rsidR="0098296F" w:rsidRPr="00944576">
        <w:t xml:space="preserve"> de ce processus</w:t>
      </w:r>
      <w:r w:rsidRPr="00944576">
        <w:t>.</w:t>
      </w:r>
    </w:p>
    <w:p w:rsidR="007513F7" w:rsidRPr="00944576" w:rsidRDefault="007513F7" w:rsidP="00915518">
      <w:pPr>
        <w:pStyle w:val="enumlev1"/>
      </w:pPr>
      <w:r w:rsidRPr="00944576">
        <w:lastRenderedPageBreak/>
        <w:t>6)</w:t>
      </w:r>
      <w:r w:rsidRPr="00944576">
        <w:tab/>
      </w:r>
      <w:bookmarkStart w:id="19" w:name="lt_pId062"/>
      <w:r w:rsidR="00546EDB" w:rsidRPr="00944576">
        <w:t>Aide</w:t>
      </w:r>
      <w:r w:rsidR="0098296F" w:rsidRPr="00944576">
        <w:t>r</w:t>
      </w:r>
      <w:r w:rsidR="00546EDB" w:rsidRPr="00944576">
        <w:t xml:space="preserve"> à </w:t>
      </w:r>
      <w:r w:rsidR="0098296F" w:rsidRPr="00944576">
        <w:t>mettre</w:t>
      </w:r>
      <w:r w:rsidR="00D93FEB" w:rsidRPr="00944576">
        <w:t xml:space="preserve"> au point de</w:t>
      </w:r>
      <w:r w:rsidR="0098296F" w:rsidRPr="00944576">
        <w:t>s</w:t>
      </w:r>
      <w:r w:rsidR="00D93FEB" w:rsidRPr="00944576">
        <w:t xml:space="preserve"> modèles de financement d</w:t>
      </w:r>
      <w:r w:rsidR="00915518" w:rsidRPr="00944576">
        <w:t xml:space="preserve">e l'écosystème </w:t>
      </w:r>
      <w:r w:rsidR="00D93FEB" w:rsidRPr="00944576">
        <w:t xml:space="preserve">des TIC en Afrique et </w:t>
      </w:r>
      <w:r w:rsidR="0098296F" w:rsidRPr="00944576">
        <w:t>à</w:t>
      </w:r>
      <w:r w:rsidR="00D93FEB" w:rsidRPr="00944576">
        <w:t xml:space="preserve"> </w:t>
      </w:r>
      <w:r w:rsidR="0098296F" w:rsidRPr="00944576">
        <w:t>trouver</w:t>
      </w:r>
      <w:r w:rsidR="00D93FEB" w:rsidRPr="00944576">
        <w:t xml:space="preserve"> des possibilités de partenariat pour</w:t>
      </w:r>
      <w:r w:rsidRPr="00944576">
        <w:t xml:space="preserve"> </w:t>
      </w:r>
      <w:r w:rsidR="00D93FEB" w:rsidRPr="00944576">
        <w:t xml:space="preserve">mettre en place des cadres </w:t>
      </w:r>
      <w:r w:rsidR="0098296F" w:rsidRPr="00944576">
        <w:t>propices à</w:t>
      </w:r>
      <w:r w:rsidR="00D93FEB" w:rsidRPr="00944576">
        <w:t xml:space="preserve"> une innovation durable.</w:t>
      </w:r>
      <w:bookmarkEnd w:id="19"/>
    </w:p>
    <w:p w:rsidR="007513F7" w:rsidRPr="00944576" w:rsidRDefault="007513F7" w:rsidP="00915518">
      <w:pPr>
        <w:pStyle w:val="enumlev1"/>
      </w:pPr>
      <w:r w:rsidRPr="00944576">
        <w:t>7)</w:t>
      </w:r>
      <w:r w:rsidRPr="00944576">
        <w:tab/>
      </w:r>
      <w:bookmarkStart w:id="20" w:name="lt_pId064"/>
      <w:r w:rsidR="008D11A0" w:rsidRPr="00944576">
        <w:t>Fournir</w:t>
      </w:r>
      <w:r w:rsidR="0098296F" w:rsidRPr="00944576">
        <w:t xml:space="preserve"> un a</w:t>
      </w:r>
      <w:r w:rsidR="00D2148B" w:rsidRPr="00944576">
        <w:t xml:space="preserve">ppui </w:t>
      </w:r>
      <w:r w:rsidR="0098296F" w:rsidRPr="00944576">
        <w:t>concernant le</w:t>
      </w:r>
      <w:r w:rsidR="00D2148B" w:rsidRPr="00944576">
        <w:t xml:space="preserve"> renforcement des capacités, particulièrement dans le domaine de la protection de la propriété intellectuelle, pilier fondamental de l'innovation</w:t>
      </w:r>
      <w:bookmarkEnd w:id="20"/>
      <w:r w:rsidRPr="00944576">
        <w:t>.</w:t>
      </w:r>
    </w:p>
    <w:p w:rsidR="007513F7" w:rsidRPr="00944576" w:rsidRDefault="007513F7" w:rsidP="00915518">
      <w:pPr>
        <w:pStyle w:val="enumlev1"/>
      </w:pPr>
      <w:r w:rsidRPr="00944576">
        <w:t>8)</w:t>
      </w:r>
      <w:r w:rsidRPr="00944576">
        <w:tab/>
      </w:r>
      <w:bookmarkStart w:id="21" w:name="lt_pId066"/>
      <w:r w:rsidR="0098296F" w:rsidRPr="00944576">
        <w:t>Fournir une a</w:t>
      </w:r>
      <w:r w:rsidR="00D2148B" w:rsidRPr="00944576">
        <w:t xml:space="preserve">ide à l'élaboration et à la mise en place de cadres </w:t>
      </w:r>
      <w:r w:rsidR="0098296F" w:rsidRPr="00944576">
        <w:t>de</w:t>
      </w:r>
      <w:r w:rsidR="00D2148B" w:rsidRPr="00944576">
        <w:t xml:space="preserve"> fabrication de</w:t>
      </w:r>
      <w:r w:rsidR="0098296F" w:rsidRPr="00944576">
        <w:t>s</w:t>
      </w:r>
      <w:r w:rsidR="00D2148B" w:rsidRPr="00944576">
        <w:t xml:space="preserve"> biens liés aux TIC en Afrique </w:t>
      </w:r>
      <w:r w:rsidR="0098296F" w:rsidRPr="00944576">
        <w:t>qui sont le fruit</w:t>
      </w:r>
      <w:r w:rsidR="00D2148B" w:rsidRPr="00944576">
        <w:t xml:space="preserve"> de travaux innovants.</w:t>
      </w:r>
      <w:bookmarkEnd w:id="21"/>
    </w:p>
    <w:p w:rsidR="007513F7" w:rsidRPr="00944576" w:rsidRDefault="007513F7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AFCP/19A3/3</w:t>
      </w:r>
    </w:p>
    <w:p w:rsidR="004C3123" w:rsidRPr="00944576" w:rsidRDefault="004D21D6" w:rsidP="00915518">
      <w:pPr>
        <w:pStyle w:val="Heading1"/>
        <w:ind w:left="0" w:firstLine="0"/>
        <w:rPr>
          <w:sz w:val="24"/>
          <w:szCs w:val="24"/>
          <w:lang w:eastAsia="ja-JP"/>
        </w:rPr>
      </w:pPr>
      <w:bookmarkStart w:id="22" w:name="_Toc271023338"/>
      <w:r w:rsidRPr="00944576">
        <w:rPr>
          <w:sz w:val="24"/>
          <w:szCs w:val="24"/>
          <w:lang w:eastAsia="ja-JP"/>
        </w:rPr>
        <w:t>AFR2: Renforcement et harmonisation des cadres politiques et réglementaires en vue de l</w:t>
      </w:r>
      <w:r w:rsidR="009314BA" w:rsidRPr="00944576">
        <w:rPr>
          <w:sz w:val="24"/>
          <w:szCs w:val="24"/>
          <w:lang w:eastAsia="ja-JP"/>
        </w:rPr>
        <w:t>'</w:t>
      </w:r>
      <w:r w:rsidRPr="00944576">
        <w:rPr>
          <w:sz w:val="24"/>
          <w:szCs w:val="24"/>
          <w:lang w:eastAsia="ja-JP"/>
        </w:rPr>
        <w:t>intégration des marchés africains des télécommunications/TIC</w:t>
      </w:r>
      <w:bookmarkEnd w:id="22"/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ADD</w:t>
      </w:r>
      <w:r w:rsidRPr="00944576">
        <w:rPr>
          <w:lang w:val="fr-FR"/>
        </w:rPr>
        <w:tab/>
        <w:t>AFCP/19A3/4</w:t>
      </w:r>
    </w:p>
    <w:p w:rsidR="00CD2EB0" w:rsidRPr="00944576" w:rsidRDefault="004D21D6" w:rsidP="00915518">
      <w:r w:rsidRPr="00944576">
        <w:rPr>
          <w:rFonts w:ascii="Calibri"/>
          <w:b/>
        </w:rPr>
        <w:t xml:space="preserve">AFR2: Promotion </w:t>
      </w:r>
      <w:r w:rsidR="0074743C" w:rsidRPr="00944576">
        <w:rPr>
          <w:rFonts w:ascii="Calibri"/>
          <w:b/>
        </w:rPr>
        <w:t>des nouvelles technologies large bande</w:t>
      </w:r>
    </w:p>
    <w:p w:rsidR="007513F7" w:rsidRPr="00944576" w:rsidRDefault="007513F7" w:rsidP="00915518">
      <w:r w:rsidRPr="00944576">
        <w:rPr>
          <w:b/>
          <w:bCs/>
        </w:rPr>
        <w:t>Objectif</w:t>
      </w:r>
      <w:r w:rsidRPr="00944576">
        <w:t xml:space="preserve">: </w:t>
      </w:r>
      <w:bookmarkStart w:id="23" w:name="lt_pId072"/>
      <w:r w:rsidR="00DC0EC4" w:rsidRPr="00944576">
        <w:t>F</w:t>
      </w:r>
      <w:r w:rsidR="0074743C" w:rsidRPr="00944576">
        <w:t xml:space="preserve">avoriser la création de nouvelles technologies pour aider la région Afrique à </w:t>
      </w:r>
      <w:r w:rsidR="008D11A0" w:rsidRPr="00944576">
        <w:t>tirer</w:t>
      </w:r>
      <w:r w:rsidR="0074743C" w:rsidRPr="00944576">
        <w:t xml:space="preserve"> pleinement </w:t>
      </w:r>
      <w:r w:rsidR="008D11A0" w:rsidRPr="00944576">
        <w:t xml:space="preserve">parti </w:t>
      </w:r>
      <w:r w:rsidR="0074743C" w:rsidRPr="00944576">
        <w:t>des avantages du large bande haut débit</w:t>
      </w:r>
      <w:r w:rsidR="008D11A0" w:rsidRPr="00944576">
        <w:t xml:space="preserve"> et</w:t>
      </w:r>
      <w:r w:rsidR="0074743C" w:rsidRPr="00944576">
        <w:t xml:space="preserve"> de qualité</w:t>
      </w:r>
      <w:r w:rsidRPr="00944576">
        <w:t>.</w:t>
      </w:r>
      <w:bookmarkEnd w:id="23"/>
    </w:p>
    <w:p w:rsidR="007513F7" w:rsidRPr="00944576" w:rsidRDefault="007513F7" w:rsidP="00915518">
      <w:pPr>
        <w:pStyle w:val="Headingb"/>
      </w:pPr>
      <w:r w:rsidRPr="00944576">
        <w:lastRenderedPageBreak/>
        <w:t>Résultats attendus</w:t>
      </w:r>
    </w:p>
    <w:p w:rsidR="007513F7" w:rsidRPr="00944576" w:rsidRDefault="007513F7" w:rsidP="00915518">
      <w:pPr>
        <w:pStyle w:val="enumlev1"/>
      </w:pPr>
      <w:r w:rsidRPr="00944576">
        <w:t>1)</w:t>
      </w:r>
      <w:r w:rsidRPr="00944576">
        <w:tab/>
      </w:r>
      <w:bookmarkStart w:id="24" w:name="lt_pId075"/>
      <w:r w:rsidR="008D11A0" w:rsidRPr="00944576">
        <w:t>Fournir une assistance en matière</w:t>
      </w:r>
      <w:r w:rsidR="0074743C" w:rsidRPr="00944576">
        <w:t xml:space="preserve"> </w:t>
      </w:r>
      <w:r w:rsidR="008D11A0" w:rsidRPr="00944576">
        <w:t>d</w:t>
      </w:r>
      <w:r w:rsidR="0074743C" w:rsidRPr="00944576">
        <w:t>'élaboration de plans stratégiques nationaux et régionaux axés sur des politiques et des réglementations propices aux réseaux large bande haut débit et de qualité dans la région</w:t>
      </w:r>
      <w:bookmarkEnd w:id="24"/>
      <w:r w:rsidRPr="00944576">
        <w:t>.</w:t>
      </w:r>
    </w:p>
    <w:p w:rsidR="007513F7" w:rsidRPr="00944576" w:rsidRDefault="007513F7" w:rsidP="00915518">
      <w:pPr>
        <w:pStyle w:val="enumlev1"/>
      </w:pPr>
      <w:r w:rsidRPr="00944576">
        <w:t>2)</w:t>
      </w:r>
      <w:r w:rsidRPr="00944576">
        <w:tab/>
      </w:r>
      <w:bookmarkStart w:id="25" w:name="lt_pId077"/>
      <w:r w:rsidR="008D11A0" w:rsidRPr="00944576">
        <w:t>Fournir un a</w:t>
      </w:r>
      <w:r w:rsidR="0074743C" w:rsidRPr="00944576">
        <w:t xml:space="preserve">ppui </w:t>
      </w:r>
      <w:r w:rsidR="008D11A0" w:rsidRPr="00944576">
        <w:t>permettant d'</w:t>
      </w:r>
      <w:r w:rsidR="0074743C" w:rsidRPr="00944576">
        <w:t>échange</w:t>
      </w:r>
      <w:r w:rsidR="008D11A0" w:rsidRPr="00944576">
        <w:t>r l</w:t>
      </w:r>
      <w:r w:rsidR="0074743C" w:rsidRPr="00944576">
        <w:t>es bonnes pratiques relatives</w:t>
      </w:r>
      <w:r w:rsidR="00915518" w:rsidRPr="00944576">
        <w:t xml:space="preserve"> aux modèles de financement et de recenser les </w:t>
      </w:r>
      <w:r w:rsidR="0074743C" w:rsidRPr="00944576">
        <w:t xml:space="preserve">possibilités de partenariat pour </w:t>
      </w:r>
      <w:r w:rsidR="008D11A0" w:rsidRPr="00944576">
        <w:t>favoriser</w:t>
      </w:r>
      <w:r w:rsidR="0074743C" w:rsidRPr="00944576">
        <w:t xml:space="preserve"> le large bande haut débit et de qualité.</w:t>
      </w:r>
      <w:bookmarkEnd w:id="25"/>
    </w:p>
    <w:p w:rsidR="007513F7" w:rsidRPr="00944576" w:rsidRDefault="007513F7" w:rsidP="00915518">
      <w:pPr>
        <w:pStyle w:val="enumlev1"/>
      </w:pPr>
      <w:r w:rsidRPr="00944576">
        <w:t>3)</w:t>
      </w:r>
      <w:r w:rsidRPr="00944576">
        <w:tab/>
      </w:r>
      <w:bookmarkStart w:id="26" w:name="lt_pId079"/>
      <w:r w:rsidR="008D11A0" w:rsidRPr="00944576">
        <w:t>Encourager</w:t>
      </w:r>
      <w:r w:rsidR="0074743C" w:rsidRPr="00944576">
        <w:t xml:space="preserve"> l'harmonisation des plans sous-régionaux relatifs au large bande pour garantir</w:t>
      </w:r>
      <w:r w:rsidR="005A047E" w:rsidRPr="00944576">
        <w:t xml:space="preserve"> l'accès de tous au large bande haut débit et de qualité de façon équitable.</w:t>
      </w:r>
      <w:bookmarkEnd w:id="26"/>
    </w:p>
    <w:p w:rsidR="007513F7" w:rsidRPr="00944576" w:rsidRDefault="007513F7" w:rsidP="00915518">
      <w:pPr>
        <w:pStyle w:val="enumlev1"/>
      </w:pPr>
      <w:r w:rsidRPr="00944576">
        <w:rPr>
          <w:color w:val="231F20"/>
        </w:rPr>
        <w:t>4)</w:t>
      </w:r>
      <w:r w:rsidRPr="00944576">
        <w:rPr>
          <w:color w:val="231F20"/>
        </w:rPr>
        <w:tab/>
      </w:r>
      <w:bookmarkStart w:id="27" w:name="lt_pId081"/>
      <w:r w:rsidR="00C5629B" w:rsidRPr="00944576">
        <w:rPr>
          <w:color w:val="231F20"/>
        </w:rPr>
        <w:t>Aide</w:t>
      </w:r>
      <w:r w:rsidR="007668D5" w:rsidRPr="00944576">
        <w:rPr>
          <w:color w:val="231F20"/>
        </w:rPr>
        <w:t>r</w:t>
      </w:r>
      <w:r w:rsidR="00C5629B" w:rsidRPr="00944576">
        <w:rPr>
          <w:color w:val="231F20"/>
        </w:rPr>
        <w:t xml:space="preserve"> </w:t>
      </w:r>
      <w:r w:rsidR="007668D5" w:rsidRPr="00944576">
        <w:rPr>
          <w:color w:val="231F20"/>
        </w:rPr>
        <w:t>à</w:t>
      </w:r>
      <w:r w:rsidR="00C5629B" w:rsidRPr="00944576">
        <w:rPr>
          <w:color w:val="231F20"/>
        </w:rPr>
        <w:t xml:space="preserve"> renforce</w:t>
      </w:r>
      <w:r w:rsidR="007668D5" w:rsidRPr="00944576">
        <w:rPr>
          <w:color w:val="231F20"/>
        </w:rPr>
        <w:t>r</w:t>
      </w:r>
      <w:r w:rsidR="00C5629B" w:rsidRPr="00944576">
        <w:rPr>
          <w:color w:val="231F20"/>
        </w:rPr>
        <w:t xml:space="preserve"> </w:t>
      </w:r>
      <w:r w:rsidR="007668D5" w:rsidRPr="00944576">
        <w:rPr>
          <w:color w:val="231F20"/>
        </w:rPr>
        <w:t>l</w:t>
      </w:r>
      <w:r w:rsidR="00C5629B" w:rsidRPr="00944576">
        <w:rPr>
          <w:color w:val="231F20"/>
        </w:rPr>
        <w:t>es capacités humaines au moyen notamment de</w:t>
      </w:r>
      <w:r w:rsidR="00915518" w:rsidRPr="00944576">
        <w:rPr>
          <w:color w:val="231F20"/>
        </w:rPr>
        <w:t xml:space="preserve"> programmes de</w:t>
      </w:r>
      <w:r w:rsidR="00C5629B" w:rsidRPr="00944576">
        <w:rPr>
          <w:color w:val="231F20"/>
        </w:rPr>
        <w:t xml:space="preserve"> formations et d'ateliers afin d'échanger des connaissances techniques et de permettre aux personnes handicapées d</w:t>
      </w:r>
      <w:r w:rsidR="00915518" w:rsidRPr="00944576">
        <w:rPr>
          <w:color w:val="231F20"/>
        </w:rPr>
        <w:t>e participer à l'apparition de</w:t>
      </w:r>
      <w:r w:rsidR="006F1919" w:rsidRPr="00944576">
        <w:rPr>
          <w:color w:val="231F20"/>
        </w:rPr>
        <w:t xml:space="preserve"> nouvelles technologies large bande et d'en tirer parti.</w:t>
      </w:r>
      <w:bookmarkEnd w:id="27"/>
    </w:p>
    <w:p w:rsidR="007513F7" w:rsidRPr="00944576" w:rsidRDefault="007513F7" w:rsidP="00915518">
      <w:pPr>
        <w:pStyle w:val="enumlev1"/>
        <w:rPr>
          <w:color w:val="231F20"/>
        </w:rPr>
      </w:pPr>
      <w:r w:rsidRPr="00944576">
        <w:rPr>
          <w:color w:val="231F20"/>
        </w:rPr>
        <w:t>5)</w:t>
      </w:r>
      <w:r w:rsidRPr="00944576">
        <w:rPr>
          <w:color w:val="231F20"/>
        </w:rPr>
        <w:tab/>
      </w:r>
      <w:bookmarkStart w:id="28" w:name="lt_pId083"/>
      <w:r w:rsidR="007668D5" w:rsidRPr="00944576">
        <w:rPr>
          <w:color w:val="231F20"/>
        </w:rPr>
        <w:t xml:space="preserve">Fournir un appui </w:t>
      </w:r>
      <w:r w:rsidR="00915518" w:rsidRPr="00944576">
        <w:rPr>
          <w:color w:val="231F20"/>
        </w:rPr>
        <w:t xml:space="preserve">en faveur de </w:t>
      </w:r>
      <w:r w:rsidR="008332B1" w:rsidRPr="00944576">
        <w:rPr>
          <w:color w:val="231F20"/>
        </w:rPr>
        <w:t>la</w:t>
      </w:r>
      <w:r w:rsidRPr="00944576">
        <w:rPr>
          <w:color w:val="231F20"/>
        </w:rPr>
        <w:t xml:space="preserve"> promotion, </w:t>
      </w:r>
      <w:r w:rsidR="00915518" w:rsidRPr="00944576">
        <w:rPr>
          <w:color w:val="231F20"/>
        </w:rPr>
        <w:t>de</w:t>
      </w:r>
      <w:r w:rsidR="008332B1" w:rsidRPr="00944576">
        <w:rPr>
          <w:color w:val="231F20"/>
        </w:rPr>
        <w:t xml:space="preserve"> la </w:t>
      </w:r>
      <w:r w:rsidRPr="00944576">
        <w:rPr>
          <w:color w:val="231F20"/>
        </w:rPr>
        <w:t xml:space="preserve">coordination </w:t>
      </w:r>
      <w:r w:rsidR="00915518" w:rsidRPr="00944576">
        <w:rPr>
          <w:color w:val="231F20"/>
        </w:rPr>
        <w:t>et de</w:t>
      </w:r>
      <w:r w:rsidR="008332B1" w:rsidRPr="00944576">
        <w:rPr>
          <w:color w:val="231F20"/>
        </w:rPr>
        <w:t xml:space="preserve"> la création de points d'échange </w:t>
      </w:r>
      <w:r w:rsidR="00915518" w:rsidRPr="00944576">
        <w:rPr>
          <w:color w:val="231F20"/>
        </w:rPr>
        <w:t>I</w:t>
      </w:r>
      <w:r w:rsidR="008332B1" w:rsidRPr="00944576">
        <w:rPr>
          <w:color w:val="231F20"/>
        </w:rPr>
        <w:t xml:space="preserve">nternet aux niveaux national, sous-régional et régional pour mieux </w:t>
      </w:r>
      <w:r w:rsidR="00915518" w:rsidRPr="00944576">
        <w:rPr>
          <w:color w:val="231F20"/>
        </w:rPr>
        <w:t>contrôler</w:t>
      </w:r>
      <w:r w:rsidR="008332B1" w:rsidRPr="00944576">
        <w:rPr>
          <w:color w:val="231F20"/>
        </w:rPr>
        <w:t xml:space="preserve"> </w:t>
      </w:r>
      <w:r w:rsidR="007668D5" w:rsidRPr="00944576">
        <w:rPr>
          <w:color w:val="231F20"/>
        </w:rPr>
        <w:t>la</w:t>
      </w:r>
      <w:r w:rsidR="008332B1" w:rsidRPr="00944576">
        <w:rPr>
          <w:color w:val="231F20"/>
        </w:rPr>
        <w:t xml:space="preserve"> bande</w:t>
      </w:r>
      <w:r w:rsidR="00915518" w:rsidRPr="00944576">
        <w:rPr>
          <w:color w:val="231F20"/>
        </w:rPr>
        <w:t xml:space="preserve"> passante</w:t>
      </w:r>
      <w:r w:rsidR="008332B1" w:rsidRPr="00944576">
        <w:rPr>
          <w:color w:val="231F20"/>
        </w:rPr>
        <w:t>.</w:t>
      </w:r>
      <w:r w:rsidRPr="00944576">
        <w:rPr>
          <w:color w:val="231F20"/>
        </w:rPr>
        <w:t xml:space="preserve"> </w:t>
      </w:r>
      <w:bookmarkEnd w:id="28"/>
    </w:p>
    <w:p w:rsidR="007513F7" w:rsidRPr="00944576" w:rsidRDefault="007513F7" w:rsidP="00915518">
      <w:pPr>
        <w:pStyle w:val="enumlev1"/>
      </w:pPr>
      <w:r w:rsidRPr="00944576">
        <w:rPr>
          <w:color w:val="231F20"/>
        </w:rPr>
        <w:t>6)</w:t>
      </w:r>
      <w:r w:rsidRPr="00944576">
        <w:rPr>
          <w:color w:val="231F20"/>
        </w:rPr>
        <w:tab/>
      </w:r>
      <w:bookmarkStart w:id="29" w:name="lt_pId085"/>
      <w:r w:rsidR="007668D5" w:rsidRPr="00944576">
        <w:rPr>
          <w:color w:val="231F20"/>
        </w:rPr>
        <w:t>Prêter assistance en ce qui concerne le</w:t>
      </w:r>
      <w:r w:rsidR="002713B0" w:rsidRPr="00944576">
        <w:rPr>
          <w:color w:val="231F20"/>
        </w:rPr>
        <w:t xml:space="preserve"> développement </w:t>
      </w:r>
      <w:r w:rsidR="008332B1" w:rsidRPr="00944576">
        <w:rPr>
          <w:color w:val="231F20"/>
        </w:rPr>
        <w:t>de</w:t>
      </w:r>
      <w:r w:rsidRPr="00944576">
        <w:rPr>
          <w:color w:val="231F20"/>
        </w:rPr>
        <w:t xml:space="preserve"> </w:t>
      </w:r>
      <w:r w:rsidR="008332B1" w:rsidRPr="00944576">
        <w:rPr>
          <w:color w:val="231F20"/>
        </w:rPr>
        <w:t>l'</w:t>
      </w:r>
      <w:r w:rsidRPr="00944576">
        <w:rPr>
          <w:color w:val="231F20"/>
        </w:rPr>
        <w:t xml:space="preserve">initiative </w:t>
      </w:r>
      <w:r w:rsidR="002713B0" w:rsidRPr="00944576">
        <w:rPr>
          <w:color w:val="231F20"/>
        </w:rPr>
        <w:t>relative au réseau dorsal régional et continental pour garantir la résilience des câbles sous-marins.</w:t>
      </w:r>
      <w:bookmarkEnd w:id="29"/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AFCP/19A3/5</w:t>
      </w:r>
    </w:p>
    <w:p w:rsidR="004C3123" w:rsidRPr="00944576" w:rsidRDefault="004D21D6" w:rsidP="00915518">
      <w:pPr>
        <w:pStyle w:val="Heading1"/>
        <w:rPr>
          <w:sz w:val="24"/>
          <w:szCs w:val="24"/>
          <w:lang w:eastAsia="ja-JP"/>
        </w:rPr>
      </w:pPr>
      <w:r w:rsidRPr="00944576">
        <w:rPr>
          <w:sz w:val="24"/>
          <w:szCs w:val="24"/>
          <w:lang w:eastAsia="ja-JP"/>
        </w:rPr>
        <w:t>AFR3: Développement de l</w:t>
      </w:r>
      <w:r w:rsidR="009314BA" w:rsidRPr="00944576">
        <w:rPr>
          <w:sz w:val="24"/>
          <w:szCs w:val="24"/>
          <w:lang w:eastAsia="ja-JP"/>
        </w:rPr>
        <w:t>'</w:t>
      </w:r>
      <w:r w:rsidRPr="00944576">
        <w:rPr>
          <w:sz w:val="24"/>
          <w:szCs w:val="24"/>
          <w:lang w:eastAsia="ja-JP"/>
        </w:rPr>
        <w:t>accès au large bande et adoption du large bande</w:t>
      </w:r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ADD</w:t>
      </w:r>
      <w:r w:rsidRPr="00944576">
        <w:rPr>
          <w:lang w:val="fr-FR"/>
        </w:rPr>
        <w:tab/>
        <w:t>AFCP/19A3/6</w:t>
      </w:r>
    </w:p>
    <w:p w:rsidR="00CD2EB0" w:rsidRPr="00944576" w:rsidRDefault="004D21D6" w:rsidP="00915518">
      <w:pPr>
        <w:rPr>
          <w:rFonts w:ascii="Calibri"/>
          <w:b/>
        </w:rPr>
      </w:pPr>
      <w:r w:rsidRPr="00944576">
        <w:rPr>
          <w:rFonts w:ascii="Calibri"/>
          <w:b/>
        </w:rPr>
        <w:t xml:space="preserve">AFR3: </w:t>
      </w:r>
      <w:r w:rsidR="00915518" w:rsidRPr="00944576">
        <w:rPr>
          <w:rFonts w:ascii="Calibri"/>
          <w:b/>
        </w:rPr>
        <w:t>Renforcement de</w:t>
      </w:r>
      <w:r w:rsidR="002713B0" w:rsidRPr="00944576">
        <w:rPr>
          <w:rFonts w:ascii="Calibri"/>
          <w:b/>
        </w:rPr>
        <w:t xml:space="preserve"> la confiance et </w:t>
      </w:r>
      <w:r w:rsidR="00915518" w:rsidRPr="00944576">
        <w:rPr>
          <w:rFonts w:ascii="Calibri"/>
          <w:b/>
        </w:rPr>
        <w:t xml:space="preserve">de </w:t>
      </w:r>
      <w:r w:rsidR="002713B0" w:rsidRPr="00944576">
        <w:rPr>
          <w:rFonts w:ascii="Calibri"/>
          <w:b/>
        </w:rPr>
        <w:t>la sécurité dans l'utilisation des télécommunications/TIC</w:t>
      </w:r>
    </w:p>
    <w:p w:rsidR="007513F7" w:rsidRPr="00944576" w:rsidRDefault="007513F7" w:rsidP="00915518">
      <w:pPr>
        <w:rPr>
          <w:rFonts w:eastAsia="Batang"/>
        </w:rPr>
      </w:pPr>
      <w:r w:rsidRPr="00944576">
        <w:rPr>
          <w:rFonts w:ascii="Calibri"/>
          <w:b/>
          <w:bCs/>
        </w:rPr>
        <w:t>Objectif</w:t>
      </w:r>
      <w:r w:rsidRPr="00944576">
        <w:rPr>
          <w:rFonts w:ascii="Calibri"/>
        </w:rPr>
        <w:t xml:space="preserve">: </w:t>
      </w:r>
      <w:bookmarkStart w:id="30" w:name="lt_pId091"/>
      <w:r w:rsidR="002713B0" w:rsidRPr="00944576">
        <w:rPr>
          <w:rFonts w:eastAsia="Batang"/>
        </w:rPr>
        <w:t xml:space="preserve">Aider les Etats Membres à élaborer et mettre en oeuvre des politiques et des stratégies, des normes ainsi que des mécanismes </w:t>
      </w:r>
      <w:r w:rsidR="007668D5" w:rsidRPr="00944576">
        <w:rPr>
          <w:rFonts w:eastAsia="Batang"/>
        </w:rPr>
        <w:t>destinés à</w:t>
      </w:r>
      <w:r w:rsidR="002713B0" w:rsidRPr="00944576">
        <w:rPr>
          <w:rFonts w:eastAsia="Batang"/>
        </w:rPr>
        <w:t xml:space="preserve"> renforcer la sécurité </w:t>
      </w:r>
      <w:r w:rsidR="00915518" w:rsidRPr="00944576">
        <w:rPr>
          <w:rFonts w:eastAsia="Batang"/>
        </w:rPr>
        <w:t xml:space="preserve">des réseaux et </w:t>
      </w:r>
      <w:r w:rsidR="002713B0" w:rsidRPr="00944576">
        <w:rPr>
          <w:rFonts w:eastAsia="Batang"/>
        </w:rPr>
        <w:t>des systèmes d'information,</w:t>
      </w:r>
      <w:r w:rsidR="007668D5" w:rsidRPr="00944576">
        <w:rPr>
          <w:rFonts w:eastAsia="Batang"/>
        </w:rPr>
        <w:t xml:space="preserve"> à</w:t>
      </w:r>
      <w:r w:rsidR="002713B0" w:rsidRPr="00944576">
        <w:rPr>
          <w:rFonts w:eastAsia="Batang"/>
        </w:rPr>
        <w:t xml:space="preserve"> assurer l'interopérabilité des technologies numériques, </w:t>
      </w:r>
      <w:r w:rsidR="007668D5" w:rsidRPr="00944576">
        <w:rPr>
          <w:rFonts w:eastAsia="Batang"/>
        </w:rPr>
        <w:t xml:space="preserve">à </w:t>
      </w:r>
      <w:r w:rsidR="002713B0" w:rsidRPr="00944576">
        <w:rPr>
          <w:rFonts w:eastAsia="Batang"/>
        </w:rPr>
        <w:t xml:space="preserve">protéger les données et les personnes et </w:t>
      </w:r>
      <w:r w:rsidR="007668D5" w:rsidRPr="00944576">
        <w:rPr>
          <w:rFonts w:eastAsia="Batang"/>
        </w:rPr>
        <w:t xml:space="preserve">à </w:t>
      </w:r>
      <w:r w:rsidR="002713B0" w:rsidRPr="00944576">
        <w:rPr>
          <w:rFonts w:eastAsia="Batang"/>
        </w:rPr>
        <w:t>garantir la confiance numérique.</w:t>
      </w:r>
      <w:bookmarkEnd w:id="30"/>
      <w:r w:rsidR="004A3D41" w:rsidRPr="00944576">
        <w:rPr>
          <w:rFonts w:eastAsia="Batang"/>
        </w:rPr>
        <w:t xml:space="preserve"> Protéger l'infrastructure des TIC et renforcer la confiance en ce qui concerne leur utilisation et celle des applications qui y sont associées. </w:t>
      </w:r>
      <w:r w:rsidRPr="00944576">
        <w:rPr>
          <w:rFonts w:eastAsia="Batang"/>
        </w:rPr>
        <w:t xml:space="preserve"> </w:t>
      </w:r>
    </w:p>
    <w:p w:rsidR="007513F7" w:rsidRPr="00944576" w:rsidRDefault="007513F7" w:rsidP="00915518">
      <w:pPr>
        <w:pStyle w:val="Headingb"/>
      </w:pPr>
      <w:r w:rsidRPr="00944576">
        <w:t>Résultats attendus</w:t>
      </w:r>
    </w:p>
    <w:p w:rsidR="00690037" w:rsidRPr="00944576" w:rsidRDefault="00A8185A" w:rsidP="007D7C8A">
      <w:pPr>
        <w:pStyle w:val="enumlev1"/>
        <w:rPr>
          <w:rFonts w:eastAsia="Batang"/>
        </w:rPr>
      </w:pPr>
      <w:r w:rsidRPr="00944576">
        <w:rPr>
          <w:rFonts w:eastAsia="Batang"/>
        </w:rPr>
        <w:t>1)</w:t>
      </w:r>
      <w:r w:rsidRPr="00944576">
        <w:rPr>
          <w:rFonts w:eastAsia="Batang"/>
        </w:rPr>
        <w:tab/>
      </w:r>
      <w:r w:rsidR="00A64EE0" w:rsidRPr="00944576">
        <w:rPr>
          <w:rFonts w:eastAsia="Batang"/>
        </w:rPr>
        <w:t xml:space="preserve">Veiller </w:t>
      </w:r>
      <w:r w:rsidR="00915518" w:rsidRPr="00944576">
        <w:rPr>
          <w:rFonts w:eastAsia="Batang"/>
        </w:rPr>
        <w:t xml:space="preserve">à ce que, dans le cadre du </w:t>
      </w:r>
      <w:r w:rsidR="00690037" w:rsidRPr="00944576">
        <w:rPr>
          <w:rFonts w:eastAsia="Batang"/>
        </w:rPr>
        <w:t>Programme Connect 2020</w:t>
      </w:r>
      <w:r w:rsidR="007D7C8A" w:rsidRPr="00944576">
        <w:rPr>
          <w:rFonts w:eastAsia="Batang"/>
        </w:rPr>
        <w:t>,</w:t>
      </w:r>
      <w:r w:rsidR="00690037" w:rsidRPr="00944576">
        <w:rPr>
          <w:rFonts w:eastAsia="Batang"/>
        </w:rPr>
        <w:t xml:space="preserve"> l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 xml:space="preserve">état de préparation en matière de cybersécurité </w:t>
      </w:r>
      <w:r w:rsidR="007D7C8A" w:rsidRPr="00944576">
        <w:rPr>
          <w:rFonts w:eastAsia="Batang"/>
        </w:rPr>
        <w:t xml:space="preserve">atteigne </w:t>
      </w:r>
      <w:r w:rsidR="00690037" w:rsidRPr="00944576">
        <w:rPr>
          <w:rFonts w:eastAsia="Batang"/>
        </w:rPr>
        <w:t>40% à l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>horizon 2020.</w:t>
      </w:r>
    </w:p>
    <w:p w:rsidR="00690037" w:rsidRPr="00944576" w:rsidRDefault="00A8185A" w:rsidP="007D7C8A">
      <w:pPr>
        <w:pStyle w:val="enumlev1"/>
        <w:rPr>
          <w:rFonts w:eastAsia="Batang"/>
        </w:rPr>
      </w:pPr>
      <w:r w:rsidRPr="00944576">
        <w:rPr>
          <w:rFonts w:eastAsia="Batang"/>
        </w:rPr>
        <w:t>2)</w:t>
      </w:r>
      <w:r w:rsidRPr="00944576">
        <w:rPr>
          <w:rFonts w:eastAsia="Batang"/>
        </w:rPr>
        <w:tab/>
      </w:r>
      <w:r w:rsidR="00A64EE0" w:rsidRPr="00944576">
        <w:rPr>
          <w:rFonts w:eastAsia="Batang"/>
        </w:rPr>
        <w:t>A</w:t>
      </w:r>
      <w:r w:rsidR="007D7C8A" w:rsidRPr="00944576">
        <w:rPr>
          <w:rFonts w:eastAsia="Batang"/>
        </w:rPr>
        <w:t>id</w:t>
      </w:r>
      <w:r w:rsidR="00A64EE0" w:rsidRPr="00944576">
        <w:rPr>
          <w:rFonts w:eastAsia="Batang"/>
        </w:rPr>
        <w:t>er</w:t>
      </w:r>
      <w:r w:rsidR="00690037" w:rsidRPr="00944576">
        <w:rPr>
          <w:rFonts w:eastAsia="Batang"/>
        </w:rPr>
        <w:t xml:space="preserve"> les Etats </w:t>
      </w:r>
      <w:r w:rsidR="007D7C8A" w:rsidRPr="00944576">
        <w:rPr>
          <w:rFonts w:eastAsia="Batang"/>
        </w:rPr>
        <w:t xml:space="preserve">Membres à évaluer et à adapter les </w:t>
      </w:r>
      <w:r w:rsidRPr="00944576">
        <w:rPr>
          <w:rFonts w:eastAsia="Batang"/>
        </w:rPr>
        <w:t>cadres législatif</w:t>
      </w:r>
      <w:r w:rsidR="00690037" w:rsidRPr="00944576">
        <w:rPr>
          <w:rFonts w:eastAsia="Batang"/>
        </w:rPr>
        <w:t xml:space="preserve"> et réglementaire </w:t>
      </w:r>
      <w:r w:rsidR="00A64EE0" w:rsidRPr="00944576">
        <w:rPr>
          <w:rFonts w:eastAsia="Batang"/>
        </w:rPr>
        <w:t xml:space="preserve">sur la base d'une meilleure </w:t>
      </w:r>
      <w:r w:rsidR="007D7C8A" w:rsidRPr="00944576">
        <w:rPr>
          <w:rFonts w:eastAsia="Batang"/>
        </w:rPr>
        <w:t>utilis</w:t>
      </w:r>
      <w:r w:rsidR="00A64EE0" w:rsidRPr="00944576">
        <w:rPr>
          <w:rFonts w:eastAsia="Batang"/>
        </w:rPr>
        <w:t>ation du</w:t>
      </w:r>
      <w:r w:rsidR="00690037" w:rsidRPr="00944576">
        <w:rPr>
          <w:rFonts w:eastAsia="Batang"/>
        </w:rPr>
        <w:t xml:space="preserve"> rapport sur l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>Indice de cybersécurité dans le monde (GCI) de l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 xml:space="preserve">UIT. </w:t>
      </w:r>
    </w:p>
    <w:p w:rsidR="00690037" w:rsidRPr="00944576" w:rsidRDefault="00A8185A" w:rsidP="007D7C8A">
      <w:pPr>
        <w:pStyle w:val="enumlev1"/>
        <w:rPr>
          <w:rFonts w:eastAsia="Batang"/>
        </w:rPr>
      </w:pPr>
      <w:r w:rsidRPr="00944576">
        <w:rPr>
          <w:rFonts w:eastAsia="Batang"/>
        </w:rPr>
        <w:t>3)</w:t>
      </w:r>
      <w:r w:rsidRPr="00944576">
        <w:rPr>
          <w:rFonts w:eastAsia="Batang"/>
        </w:rPr>
        <w:tab/>
      </w:r>
      <w:r w:rsidR="00690037" w:rsidRPr="00944576">
        <w:rPr>
          <w:rFonts w:eastAsia="Batang"/>
        </w:rPr>
        <w:t>Encourager la mise en place d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 xml:space="preserve">un cadre </w:t>
      </w:r>
      <w:r w:rsidR="007D7C8A" w:rsidRPr="00944576">
        <w:rPr>
          <w:rFonts w:eastAsia="Batang"/>
        </w:rPr>
        <w:t xml:space="preserve">mondial </w:t>
      </w:r>
      <w:r w:rsidR="00690037" w:rsidRPr="00944576">
        <w:rPr>
          <w:rFonts w:eastAsia="Batang"/>
        </w:rPr>
        <w:t>de collaboration et de sensibilisa</w:t>
      </w:r>
      <w:r w:rsidRPr="00944576">
        <w:rPr>
          <w:rFonts w:eastAsia="Batang"/>
        </w:rPr>
        <w:t>tion aux niveaux régional et sous-</w:t>
      </w:r>
      <w:r w:rsidR="00690037" w:rsidRPr="00944576">
        <w:rPr>
          <w:rFonts w:eastAsia="Batang"/>
        </w:rPr>
        <w:t>régional pour le développement d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>une culture mondiale de la cybersécurité et aider les consommateurs à mieux comprendre les risques et s</w:t>
      </w:r>
      <w:r w:rsidR="009314BA" w:rsidRPr="00944576">
        <w:rPr>
          <w:rFonts w:eastAsia="Batang"/>
        </w:rPr>
        <w:t>'</w:t>
      </w:r>
      <w:r w:rsidR="00690037" w:rsidRPr="00944576">
        <w:rPr>
          <w:rFonts w:eastAsia="Batang"/>
        </w:rPr>
        <w:t>en protéger.</w:t>
      </w:r>
    </w:p>
    <w:p w:rsidR="007513F7" w:rsidRPr="00944576" w:rsidRDefault="00A8185A" w:rsidP="007D7C8A">
      <w:pPr>
        <w:pStyle w:val="enumlev1"/>
        <w:rPr>
          <w:rFonts w:eastAsia="Batang"/>
        </w:rPr>
      </w:pPr>
      <w:r w:rsidRPr="00944576">
        <w:rPr>
          <w:rFonts w:eastAsia="Batang"/>
        </w:rPr>
        <w:lastRenderedPageBreak/>
        <w:t>4)</w:t>
      </w:r>
      <w:r w:rsidRPr="00944576">
        <w:rPr>
          <w:rFonts w:eastAsia="Batang"/>
        </w:rPr>
        <w:tab/>
      </w:r>
      <w:r w:rsidR="00690037" w:rsidRPr="00944576">
        <w:rPr>
          <w:rFonts w:eastAsia="Batang"/>
        </w:rPr>
        <w:t>A</w:t>
      </w:r>
      <w:r w:rsidR="007D7C8A" w:rsidRPr="00944576">
        <w:rPr>
          <w:rFonts w:eastAsia="Batang"/>
        </w:rPr>
        <w:t xml:space="preserve">ider à </w:t>
      </w:r>
      <w:r w:rsidR="00690037" w:rsidRPr="00944576">
        <w:rPr>
          <w:rFonts w:eastAsia="Batang"/>
        </w:rPr>
        <w:t>sensibilis</w:t>
      </w:r>
      <w:r w:rsidR="007D7C8A" w:rsidRPr="00944576">
        <w:rPr>
          <w:rFonts w:eastAsia="Batang"/>
        </w:rPr>
        <w:t>er l</w:t>
      </w:r>
      <w:r w:rsidR="00690037" w:rsidRPr="00944576">
        <w:rPr>
          <w:rFonts w:eastAsia="Batang"/>
        </w:rPr>
        <w:t xml:space="preserve">es consommateurs </w:t>
      </w:r>
      <w:r w:rsidR="007D7C8A" w:rsidRPr="00944576">
        <w:rPr>
          <w:rFonts w:eastAsia="Batang"/>
        </w:rPr>
        <w:t>en matière de</w:t>
      </w:r>
      <w:r w:rsidR="00690037" w:rsidRPr="00944576">
        <w:rPr>
          <w:rFonts w:eastAsia="Batang"/>
        </w:rPr>
        <w:t xml:space="preserve"> commerce électronique et </w:t>
      </w:r>
      <w:r w:rsidR="007D7C8A" w:rsidRPr="00944576">
        <w:rPr>
          <w:rFonts w:eastAsia="Batang"/>
        </w:rPr>
        <w:t>de</w:t>
      </w:r>
      <w:r w:rsidR="00690037" w:rsidRPr="00944576">
        <w:rPr>
          <w:rFonts w:eastAsia="Batang"/>
        </w:rPr>
        <w:t xml:space="preserve"> transactions sur mobile et les informer sur l</w:t>
      </w:r>
      <w:r w:rsidR="007D7C8A" w:rsidRPr="00944576">
        <w:rPr>
          <w:rFonts w:eastAsia="Batang"/>
        </w:rPr>
        <w:t>a législation</w:t>
      </w:r>
      <w:r w:rsidR="00690037" w:rsidRPr="00944576">
        <w:rPr>
          <w:rFonts w:eastAsia="Batang"/>
        </w:rPr>
        <w:t xml:space="preserve"> financière</w:t>
      </w:r>
      <w:r w:rsidR="007D7C8A" w:rsidRPr="00944576">
        <w:rPr>
          <w:rFonts w:eastAsia="Batang"/>
        </w:rPr>
        <w:t xml:space="preserve"> concernant les </w:t>
      </w:r>
      <w:r w:rsidR="00690037" w:rsidRPr="00944576">
        <w:rPr>
          <w:rFonts w:eastAsia="Batang"/>
        </w:rPr>
        <w:t>transactions élec</w:t>
      </w:r>
      <w:r w:rsidR="00DC0EC4">
        <w:rPr>
          <w:rFonts w:eastAsia="Batang"/>
        </w:rPr>
        <w:t>troniques et les systèmes de pai</w:t>
      </w:r>
      <w:r w:rsidR="00690037" w:rsidRPr="00944576">
        <w:rPr>
          <w:rFonts w:eastAsia="Batang"/>
        </w:rPr>
        <w:t>ements sur mobile.</w:t>
      </w:r>
    </w:p>
    <w:p w:rsidR="00D16FB0" w:rsidRPr="00944576" w:rsidRDefault="00D16FB0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5)</w:t>
      </w:r>
      <w:r w:rsidRPr="00944576">
        <w:rPr>
          <w:rFonts w:eastAsia="Batang"/>
        </w:rPr>
        <w:tab/>
        <w:t>Favoriser la mise en place, aux niveaux national et régional, de mécanismes institutionnels et organisationnels propres à faciliter la mise en oeuvre efficace de stratégies en matière de cybersécurité.</w:t>
      </w:r>
    </w:p>
    <w:p w:rsidR="00A8185A" w:rsidRPr="00944576" w:rsidRDefault="00D16FB0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6</w:t>
      </w:r>
      <w:r w:rsidR="00A8185A" w:rsidRPr="00944576">
        <w:rPr>
          <w:rFonts w:eastAsia="Batang"/>
        </w:rPr>
        <w:t>)</w:t>
      </w:r>
      <w:r w:rsidR="00A8185A" w:rsidRPr="00944576">
        <w:rPr>
          <w:rFonts w:eastAsia="Batang"/>
        </w:rPr>
        <w:tab/>
        <w:t>Elaborer des mesures destinées à protéger les consommateurs, les enfants et les autres personnes vulnérables lors de l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utilisation des TIC.</w:t>
      </w:r>
    </w:p>
    <w:p w:rsidR="00A8185A" w:rsidRPr="00944576" w:rsidRDefault="00D16FB0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7</w:t>
      </w:r>
      <w:r w:rsidR="00A8185A" w:rsidRPr="00944576">
        <w:rPr>
          <w:rFonts w:eastAsia="Batang"/>
        </w:rPr>
        <w:t>)</w:t>
      </w:r>
      <w:r w:rsidR="00A8185A" w:rsidRPr="00944576">
        <w:rPr>
          <w:rFonts w:eastAsia="Batang"/>
        </w:rPr>
        <w:tab/>
        <w:t>Sensibiliser l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opinion publique aux cybermenaces, aux mesures de cybersécurité et à la qualité de service dans le cadre de l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utilisation des TIC.</w:t>
      </w:r>
    </w:p>
    <w:p w:rsidR="00A8185A" w:rsidRPr="00944576" w:rsidRDefault="00D16FB0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8</w:t>
      </w:r>
      <w:r w:rsidR="00A8185A" w:rsidRPr="00944576">
        <w:rPr>
          <w:rFonts w:eastAsia="Batang"/>
        </w:rPr>
        <w:t>)</w:t>
      </w:r>
      <w:r w:rsidR="00A8185A" w:rsidRPr="00944576">
        <w:rPr>
          <w:rFonts w:eastAsia="Batang"/>
        </w:rPr>
        <w:tab/>
        <w:t>Adopter des mesures en faveur de la protection de la vie privée et des données personnelles</w:t>
      </w:r>
      <w:r w:rsidR="00DC0EC4">
        <w:rPr>
          <w:rFonts w:eastAsia="Batang"/>
        </w:rPr>
        <w:t>.</w:t>
      </w:r>
    </w:p>
    <w:p w:rsidR="00A8185A" w:rsidRPr="00944576" w:rsidRDefault="00D16FB0" w:rsidP="005F0C58">
      <w:pPr>
        <w:pStyle w:val="enumlev1"/>
        <w:rPr>
          <w:rFonts w:eastAsia="Batang"/>
        </w:rPr>
      </w:pPr>
      <w:r w:rsidRPr="00944576">
        <w:rPr>
          <w:rFonts w:eastAsia="Batang"/>
        </w:rPr>
        <w:t>9</w:t>
      </w:r>
      <w:r w:rsidR="00A8185A" w:rsidRPr="00944576">
        <w:rPr>
          <w:rFonts w:eastAsia="Batang"/>
        </w:rPr>
        <w:t>)</w:t>
      </w:r>
      <w:r w:rsidR="00A8185A" w:rsidRPr="00944576">
        <w:rPr>
          <w:rFonts w:eastAsia="Batang"/>
        </w:rPr>
        <w:tab/>
        <w:t>A</w:t>
      </w:r>
      <w:r w:rsidR="005F0C58" w:rsidRPr="00944576">
        <w:rPr>
          <w:rFonts w:eastAsia="Batang"/>
        </w:rPr>
        <w:t xml:space="preserve">ider à mettre </w:t>
      </w:r>
      <w:r w:rsidR="00A8185A" w:rsidRPr="00944576">
        <w:rPr>
          <w:rFonts w:eastAsia="Batang"/>
        </w:rPr>
        <w:t>en place de</w:t>
      </w:r>
      <w:r w:rsidR="005F0C58" w:rsidRPr="00944576">
        <w:rPr>
          <w:rFonts w:eastAsia="Batang"/>
        </w:rPr>
        <w:t>s</w:t>
      </w:r>
      <w:r w:rsidR="00A8185A" w:rsidRPr="00944576">
        <w:rPr>
          <w:rFonts w:eastAsia="Batang"/>
        </w:rPr>
        <w:t xml:space="preserve"> structures appropriées (</w:t>
      </w:r>
      <w:r w:rsidR="005F0C58" w:rsidRPr="00944576">
        <w:rPr>
          <w:rFonts w:eastAsia="Batang"/>
        </w:rPr>
        <w:t>centres de données</w:t>
      </w:r>
      <w:r w:rsidR="00A8185A" w:rsidRPr="00944576">
        <w:rPr>
          <w:rFonts w:eastAsia="Batang"/>
        </w:rPr>
        <w:t>, IXP…) pour le développement de la cybersécurité et la lutte contre la cybercriminalité et promouvoir la mise en place d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équipes d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intervention en cas d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incident informatique</w:t>
      </w:r>
      <w:r w:rsidR="00DC0EC4">
        <w:rPr>
          <w:rFonts w:eastAsia="Batang"/>
        </w:rPr>
        <w:t xml:space="preserve"> </w:t>
      </w:r>
      <w:r w:rsidR="00A8185A" w:rsidRPr="00944576">
        <w:rPr>
          <w:rFonts w:eastAsia="Batang"/>
        </w:rPr>
        <w:t>(CIRT) aux niveaux national et régional.</w:t>
      </w:r>
    </w:p>
    <w:p w:rsidR="00A8185A" w:rsidRPr="00944576" w:rsidRDefault="00D16FB0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10)</w:t>
      </w:r>
      <w:r w:rsidRPr="00944576">
        <w:rPr>
          <w:rFonts w:eastAsia="Batang"/>
        </w:rPr>
        <w:tab/>
      </w:r>
      <w:r w:rsidR="00A8185A" w:rsidRPr="00944576">
        <w:rPr>
          <w:rFonts w:eastAsia="Batang"/>
        </w:rPr>
        <w:t>Elaborer une stratégie harmonisée visant à renforcer la sécurité de l</w:t>
      </w:r>
      <w:r w:rsidR="009314BA" w:rsidRPr="00944576">
        <w:rPr>
          <w:rFonts w:eastAsia="Batang"/>
        </w:rPr>
        <w:t>'</w:t>
      </w:r>
      <w:r w:rsidR="00A8185A" w:rsidRPr="00944576">
        <w:rPr>
          <w:rFonts w:eastAsia="Batang"/>
        </w:rPr>
        <w:t>information et à lutter contre le spam et les cybermenaces.</w:t>
      </w:r>
    </w:p>
    <w:p w:rsidR="00A8185A" w:rsidRPr="00944576" w:rsidRDefault="00A8185A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AFCP/19A3/7</w:t>
      </w:r>
    </w:p>
    <w:p w:rsidR="004C3123" w:rsidRPr="00944576" w:rsidRDefault="004D21D6" w:rsidP="00915518">
      <w:pPr>
        <w:pStyle w:val="Heading1"/>
        <w:rPr>
          <w:sz w:val="24"/>
          <w:szCs w:val="24"/>
          <w:lang w:eastAsia="ja-JP"/>
        </w:rPr>
      </w:pPr>
      <w:r w:rsidRPr="00944576">
        <w:rPr>
          <w:sz w:val="24"/>
          <w:szCs w:val="24"/>
          <w:lang w:eastAsia="ja-JP"/>
        </w:rPr>
        <w:t>AFR4: Gestion du spectre et passage à la radiodiffusion numérique</w:t>
      </w:r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ADD</w:t>
      </w:r>
      <w:r w:rsidRPr="00944576">
        <w:rPr>
          <w:lang w:val="fr-FR"/>
        </w:rPr>
        <w:tab/>
        <w:t>AFCP/19A3/8</w:t>
      </w:r>
    </w:p>
    <w:p w:rsidR="00CD2EB0" w:rsidRPr="00944576" w:rsidRDefault="004D21D6" w:rsidP="00915518">
      <w:pPr>
        <w:rPr>
          <w:b/>
          <w:bCs/>
        </w:rPr>
      </w:pPr>
      <w:r w:rsidRPr="00944576">
        <w:rPr>
          <w:rFonts w:ascii="Calibri"/>
          <w:b/>
        </w:rPr>
        <w:t xml:space="preserve">AFR4: </w:t>
      </w:r>
      <w:r w:rsidR="00D16FB0" w:rsidRPr="00944576">
        <w:rPr>
          <w:b/>
          <w:bCs/>
        </w:rPr>
        <w:t>Renforcement des capacités humaines et institutionnelles</w:t>
      </w:r>
    </w:p>
    <w:p w:rsidR="00DA5572" w:rsidRPr="00944576" w:rsidRDefault="00DA5572" w:rsidP="00DC0EC4">
      <w:r w:rsidRPr="00944576">
        <w:rPr>
          <w:rFonts w:ascii="Calibri"/>
          <w:b/>
          <w:bCs/>
        </w:rPr>
        <w:t>Objectif</w:t>
      </w:r>
      <w:r w:rsidRPr="00944576">
        <w:rPr>
          <w:rFonts w:ascii="Calibri"/>
        </w:rPr>
        <w:t xml:space="preserve">: </w:t>
      </w:r>
      <w:bookmarkStart w:id="31" w:name="lt_pId119"/>
      <w:r w:rsidR="00A64EE0" w:rsidRPr="00944576">
        <w:t xml:space="preserve">Les pays de la région Afrique ont fortement besoin </w:t>
      </w:r>
      <w:r w:rsidR="00393185" w:rsidRPr="00944576">
        <w:t xml:space="preserve">d'opérations de renforcement de leurs capacités humaines et institutionnelles qui les aideraient à transformer la société dans son ensemble en vue de l'avènement d'un </w:t>
      </w:r>
      <w:r w:rsidR="005F0C58" w:rsidRPr="00944576">
        <w:t>environnement</w:t>
      </w:r>
      <w:r w:rsidR="00393185" w:rsidRPr="00944576">
        <w:t xml:space="preserve"> socio-</w:t>
      </w:r>
      <w:r w:rsidR="00393185" w:rsidRPr="00944576">
        <w:lastRenderedPageBreak/>
        <w:t>économique numérique.</w:t>
      </w:r>
      <w:r w:rsidRPr="00944576">
        <w:t xml:space="preserve"> </w:t>
      </w:r>
      <w:bookmarkEnd w:id="31"/>
      <w:r w:rsidR="00393185" w:rsidRPr="00944576">
        <w:t xml:space="preserve">La région Afrique souhaite donc </w:t>
      </w:r>
      <w:r w:rsidR="00067289" w:rsidRPr="00944576">
        <w:t>que</w:t>
      </w:r>
      <w:r w:rsidR="00393185" w:rsidRPr="00944576">
        <w:t xml:space="preserve"> l'UIT </w:t>
      </w:r>
      <w:r w:rsidR="00067289" w:rsidRPr="00944576">
        <w:t xml:space="preserve">lui prête son concours </w:t>
      </w:r>
      <w:r w:rsidR="00393185" w:rsidRPr="00944576">
        <w:t xml:space="preserve">pour améliorer les moyens régionaux dont elle dispose pour </w:t>
      </w:r>
      <w:r w:rsidR="00DC0EC4">
        <w:t>assurer</w:t>
      </w:r>
      <w:r w:rsidR="00393185" w:rsidRPr="00944576">
        <w:t xml:space="preserve"> cette transformation.</w:t>
      </w:r>
    </w:p>
    <w:p w:rsidR="00DA5572" w:rsidRPr="00944576" w:rsidRDefault="00393185" w:rsidP="005F0C58">
      <w:pPr>
        <w:rPr>
          <w:rFonts w:eastAsia="Batang"/>
        </w:rPr>
      </w:pPr>
      <w:bookmarkStart w:id="32" w:name="lt_pId121"/>
      <w:r w:rsidRPr="00944576">
        <w:t xml:space="preserve">Bien qu'il existe actuellement </w:t>
      </w:r>
      <w:r w:rsidR="006C746E" w:rsidRPr="00944576">
        <w:t xml:space="preserve">en Afrique </w:t>
      </w:r>
      <w:r w:rsidRPr="00944576">
        <w:t xml:space="preserve">des établissements </w:t>
      </w:r>
      <w:r w:rsidR="006C746E" w:rsidRPr="00944576">
        <w:t>qui proposent à leurs membres des</w:t>
      </w:r>
      <w:r w:rsidRPr="00944576">
        <w:t xml:space="preserve"> formation</w:t>
      </w:r>
      <w:r w:rsidR="006C746E" w:rsidRPr="00944576">
        <w:t xml:space="preserve">s et un renforcement des capacités liés aux TIC, </w:t>
      </w:r>
      <w:r w:rsidR="005F0C58" w:rsidRPr="00944576">
        <w:t>lesdits établissements</w:t>
      </w:r>
      <w:r w:rsidR="006C746E" w:rsidRPr="00944576">
        <w:t xml:space="preserve"> pourraient avoir besoin de moyens accrus.</w:t>
      </w:r>
      <w:bookmarkEnd w:id="32"/>
    </w:p>
    <w:p w:rsidR="00DA5572" w:rsidRPr="00944576" w:rsidRDefault="00DA5572" w:rsidP="00915518">
      <w:pPr>
        <w:pStyle w:val="Headingb"/>
      </w:pPr>
      <w:r w:rsidRPr="00944576">
        <w:t>Résultats attendus</w:t>
      </w:r>
    </w:p>
    <w:p w:rsidR="00DA5572" w:rsidRPr="00944576" w:rsidRDefault="00DA5572" w:rsidP="00915518">
      <w:pPr>
        <w:pStyle w:val="enumlev1"/>
      </w:pPr>
      <w:r w:rsidRPr="00944576">
        <w:t>1)</w:t>
      </w:r>
      <w:r w:rsidRPr="00944576">
        <w:tab/>
      </w:r>
      <w:bookmarkStart w:id="33" w:name="lt_pId124"/>
      <w:r w:rsidR="002550AB" w:rsidRPr="00944576">
        <w:t>Aider à procéder à une évaluation d'ensemble dans le domaine du renforcement des capacités humaines et institutionnelles dans la région Afrique.</w:t>
      </w:r>
      <w:r w:rsidRPr="00944576">
        <w:t xml:space="preserve"> </w:t>
      </w:r>
      <w:bookmarkEnd w:id="33"/>
    </w:p>
    <w:p w:rsidR="00DA5572" w:rsidRPr="00944576" w:rsidRDefault="00DA5572" w:rsidP="005F0C58">
      <w:pPr>
        <w:pStyle w:val="enumlev1"/>
      </w:pPr>
      <w:r w:rsidRPr="00944576">
        <w:t>2)</w:t>
      </w:r>
      <w:r w:rsidRPr="00944576">
        <w:tab/>
      </w:r>
      <w:bookmarkStart w:id="34" w:name="lt_pId126"/>
      <w:r w:rsidR="002550AB" w:rsidRPr="00944576">
        <w:t>Aider à élaborer une stratégie à long terme</w:t>
      </w:r>
      <w:r w:rsidRPr="00944576">
        <w:t xml:space="preserve"> </w:t>
      </w:r>
      <w:r w:rsidR="002550AB" w:rsidRPr="00944576">
        <w:t xml:space="preserve">modulable </w:t>
      </w:r>
      <w:r w:rsidR="00067289" w:rsidRPr="00944576">
        <w:t>de renforcement</w:t>
      </w:r>
      <w:r w:rsidR="002550AB" w:rsidRPr="00944576">
        <w:t xml:space="preserve"> </w:t>
      </w:r>
      <w:r w:rsidR="00067289" w:rsidRPr="00944576">
        <w:t>d</w:t>
      </w:r>
      <w:r w:rsidR="002550AB" w:rsidRPr="00944576">
        <w:t xml:space="preserve">es capacités humaines et institutionnelles au niveau régional </w:t>
      </w:r>
      <w:r w:rsidR="00067289" w:rsidRPr="00944576">
        <w:t>qui tienne</w:t>
      </w:r>
      <w:r w:rsidR="00564AD1" w:rsidRPr="00944576">
        <w:t xml:space="preserve"> compte des objectifs de développement durable pertinents notamment en ce qui concerne l'inclusion et les nouvelles questions liées aux TIC.</w:t>
      </w:r>
      <w:bookmarkEnd w:id="34"/>
    </w:p>
    <w:p w:rsidR="00DA5572" w:rsidRPr="00944576" w:rsidRDefault="00DA5572" w:rsidP="00915518">
      <w:pPr>
        <w:pStyle w:val="enumlev1"/>
      </w:pPr>
      <w:r w:rsidRPr="00944576">
        <w:t>3)</w:t>
      </w:r>
      <w:r w:rsidRPr="00944576">
        <w:tab/>
      </w:r>
      <w:bookmarkStart w:id="35" w:name="lt_pId128"/>
      <w:r w:rsidR="00564AD1" w:rsidRPr="00944576">
        <w:t>Eventuellement prêter assistance pour améliorer certains aspects du renforcement des capacités humaines et institutionnelles, par exemple</w:t>
      </w:r>
      <w:r w:rsidRPr="00944576">
        <w:t>:</w:t>
      </w:r>
      <w:bookmarkEnd w:id="35"/>
    </w:p>
    <w:p w:rsidR="00DA5572" w:rsidRPr="00944576" w:rsidRDefault="00DA5572" w:rsidP="00915518">
      <w:pPr>
        <w:pStyle w:val="enumlev2"/>
      </w:pPr>
      <w:r w:rsidRPr="00944576">
        <w:t>a)</w:t>
      </w:r>
      <w:r w:rsidRPr="00944576">
        <w:tab/>
      </w:r>
      <w:bookmarkStart w:id="36" w:name="lt_pId130"/>
      <w:r w:rsidR="00564AD1" w:rsidRPr="00944576">
        <w:t>Améliorer les centres d'excellence existants et les autres centres de renforcement des capacités dans la</w:t>
      </w:r>
      <w:bookmarkEnd w:id="36"/>
      <w:r w:rsidR="00564AD1" w:rsidRPr="00944576">
        <w:t xml:space="preserve"> région</w:t>
      </w:r>
      <w:r w:rsidRPr="00944576">
        <w:t>.</w:t>
      </w:r>
    </w:p>
    <w:p w:rsidR="00DA5572" w:rsidRPr="00944576" w:rsidRDefault="00DA5572" w:rsidP="00915518">
      <w:pPr>
        <w:pStyle w:val="enumlev2"/>
      </w:pPr>
      <w:r w:rsidRPr="00944576">
        <w:lastRenderedPageBreak/>
        <w:t>b)</w:t>
      </w:r>
      <w:r w:rsidRPr="00944576">
        <w:tab/>
      </w:r>
      <w:r w:rsidR="00932946" w:rsidRPr="00944576">
        <w:t>Renforce</w:t>
      </w:r>
      <w:r w:rsidR="00DB1232" w:rsidRPr="00944576">
        <w:t>r l</w:t>
      </w:r>
      <w:r w:rsidR="00F26EF6" w:rsidRPr="00944576">
        <w:t>es moyens dont disposent les Etats Membres pour promouvoir l'accessibilité et développer l</w:t>
      </w:r>
      <w:r w:rsidR="00932946" w:rsidRPr="00944576">
        <w:t xml:space="preserve">es compétences spécialisées </w:t>
      </w:r>
      <w:r w:rsidR="00F26EF6" w:rsidRPr="00944576">
        <w:t>permettant de</w:t>
      </w:r>
      <w:r w:rsidR="00932946" w:rsidRPr="00944576">
        <w:t xml:space="preserve"> répondre aux bes</w:t>
      </w:r>
      <w:r w:rsidR="00F26EF6" w:rsidRPr="00944576">
        <w:t>oins des personnes handicapées</w:t>
      </w:r>
      <w:r w:rsidR="00DB1232" w:rsidRPr="00944576">
        <w:t xml:space="preserve"> en ce qui concerne les TIC et </w:t>
      </w:r>
      <w:r w:rsidR="00932946" w:rsidRPr="00944576">
        <w:t>de promouvoir l</w:t>
      </w:r>
      <w:r w:rsidR="00067289" w:rsidRPr="00944576">
        <w:t xml:space="preserve">eur </w:t>
      </w:r>
      <w:r w:rsidR="00932946" w:rsidRPr="00944576">
        <w:t>utilisation des applications de l</w:t>
      </w:r>
      <w:r w:rsidR="009314BA" w:rsidRPr="00944576">
        <w:t>'</w:t>
      </w:r>
      <w:r w:rsidR="00932946" w:rsidRPr="00944576">
        <w:t>Internet.</w:t>
      </w:r>
    </w:p>
    <w:p w:rsidR="00DA5572" w:rsidRPr="00944576" w:rsidRDefault="00DA5572" w:rsidP="00915518">
      <w:pPr>
        <w:pStyle w:val="enumlev1"/>
      </w:pPr>
      <w:r w:rsidRPr="00944576">
        <w:t>4)</w:t>
      </w:r>
      <w:r w:rsidRPr="00944576">
        <w:tab/>
      </w:r>
      <w:bookmarkStart w:id="37" w:name="lt_pId134"/>
      <w:r w:rsidR="00DB1232" w:rsidRPr="00944576">
        <w:rPr>
          <w:rFonts w:ascii="Calibri" w:hAnsi="Calibri"/>
          <w:szCs w:val="24"/>
        </w:rPr>
        <w:t>Fournir continuellement aux Etats Membres de la région Afrique des ressources pour la formation au sein de l'UIT et améliorer leur accès à ces ressources.</w:t>
      </w:r>
      <w:bookmarkEnd w:id="37"/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SUP</w:t>
      </w:r>
      <w:r w:rsidRPr="00944576">
        <w:rPr>
          <w:lang w:val="fr-FR"/>
        </w:rPr>
        <w:tab/>
        <w:t>AFCP/19A3/9</w:t>
      </w:r>
    </w:p>
    <w:p w:rsidR="004C3123" w:rsidRPr="00944576" w:rsidRDefault="004D21D6" w:rsidP="00915518">
      <w:pPr>
        <w:pStyle w:val="Heading1"/>
        <w:ind w:left="0" w:firstLine="0"/>
        <w:rPr>
          <w:sz w:val="24"/>
          <w:szCs w:val="24"/>
          <w:lang w:eastAsia="ja-JP"/>
        </w:rPr>
      </w:pPr>
      <w:r w:rsidRPr="00944576">
        <w:rPr>
          <w:sz w:val="24"/>
          <w:szCs w:val="24"/>
          <w:lang w:eastAsia="ja-JP"/>
        </w:rPr>
        <w:t>AFR5: Instauration de la confiance et de la sécurité dans l</w:t>
      </w:r>
      <w:r w:rsidR="009314BA" w:rsidRPr="00944576">
        <w:rPr>
          <w:sz w:val="24"/>
          <w:szCs w:val="24"/>
          <w:lang w:eastAsia="ja-JP"/>
        </w:rPr>
        <w:t>'</w:t>
      </w:r>
      <w:r w:rsidRPr="00944576">
        <w:rPr>
          <w:sz w:val="24"/>
          <w:szCs w:val="24"/>
          <w:lang w:eastAsia="ja-JP"/>
        </w:rPr>
        <w:t>utilisation des télécommunications/TIC</w:t>
      </w:r>
    </w:p>
    <w:p w:rsidR="00CD2EB0" w:rsidRPr="00944576" w:rsidRDefault="00CD2EB0" w:rsidP="00915518">
      <w:pPr>
        <w:pStyle w:val="Reasons"/>
        <w:rPr>
          <w:lang w:val="fr-FR"/>
        </w:rPr>
      </w:pPr>
    </w:p>
    <w:p w:rsidR="00CD2EB0" w:rsidRPr="00944576" w:rsidRDefault="004D21D6" w:rsidP="00915518">
      <w:pPr>
        <w:pStyle w:val="Proposal"/>
        <w:rPr>
          <w:lang w:val="fr-FR"/>
        </w:rPr>
      </w:pPr>
      <w:r w:rsidRPr="00944576">
        <w:rPr>
          <w:b/>
          <w:lang w:val="fr-FR"/>
        </w:rPr>
        <w:t>ADD</w:t>
      </w:r>
      <w:r w:rsidRPr="00944576">
        <w:rPr>
          <w:lang w:val="fr-FR"/>
        </w:rPr>
        <w:tab/>
        <w:t>AFCP/19A3/10</w:t>
      </w:r>
    </w:p>
    <w:p w:rsidR="00CD2EB0" w:rsidRPr="00944576" w:rsidRDefault="004D21D6" w:rsidP="00915518">
      <w:pPr>
        <w:rPr>
          <w:rFonts w:ascii="Calibri"/>
          <w:b/>
        </w:rPr>
      </w:pPr>
      <w:r w:rsidRPr="00944576">
        <w:rPr>
          <w:rFonts w:ascii="Calibri"/>
          <w:b/>
        </w:rPr>
        <w:t xml:space="preserve">AFR5: </w:t>
      </w:r>
      <w:r w:rsidR="00197D6D" w:rsidRPr="00944576">
        <w:rPr>
          <w:rFonts w:ascii="Calibri"/>
          <w:b/>
        </w:rPr>
        <w:t>Gestion et surveillance du spectre de</w:t>
      </w:r>
      <w:r w:rsidR="005F0C58" w:rsidRPr="00944576">
        <w:rPr>
          <w:rFonts w:ascii="Calibri"/>
          <w:b/>
        </w:rPr>
        <w:t>s</w:t>
      </w:r>
      <w:r w:rsidR="00197D6D" w:rsidRPr="00944576">
        <w:rPr>
          <w:rFonts w:ascii="Calibri"/>
          <w:b/>
        </w:rPr>
        <w:t xml:space="preserve"> fréquences radioélectriques et passage à la radiodiffusion numérique</w:t>
      </w:r>
    </w:p>
    <w:p w:rsidR="00B6325E" w:rsidRPr="00944576" w:rsidRDefault="00B6325E" w:rsidP="00915518">
      <w:pPr>
        <w:rPr>
          <w:rFonts w:ascii="Calibri"/>
        </w:rPr>
      </w:pPr>
      <w:r w:rsidRPr="00944576">
        <w:rPr>
          <w:rFonts w:ascii="Calibri"/>
          <w:b/>
          <w:bCs/>
        </w:rPr>
        <w:t>Objectif</w:t>
      </w:r>
      <w:r w:rsidRPr="00944576">
        <w:rPr>
          <w:rFonts w:ascii="Calibri"/>
        </w:rPr>
        <w:t xml:space="preserve">: </w:t>
      </w:r>
      <w:r w:rsidRPr="00944576">
        <w:rPr>
          <w:rFonts w:eastAsia="Batang"/>
        </w:rPr>
        <w:t xml:space="preserve">Aider les Etats Membres </w:t>
      </w:r>
      <w:r w:rsidR="000B6A41" w:rsidRPr="00944576">
        <w:rPr>
          <w:rFonts w:eastAsia="Batang"/>
        </w:rPr>
        <w:t>à assurer le passage à la radiodiffusion numérique et</w:t>
      </w:r>
      <w:r w:rsidRPr="00944576">
        <w:rPr>
          <w:rFonts w:eastAsia="Batang"/>
        </w:rPr>
        <w:t xml:space="preserve"> une gestion économique et efficace du spectre des fréquences radioélectriques</w:t>
      </w:r>
      <w:r w:rsidR="000B6A41" w:rsidRPr="00944576">
        <w:rPr>
          <w:rFonts w:eastAsia="Batang"/>
        </w:rPr>
        <w:t xml:space="preserve"> et des ressources orbitales.</w:t>
      </w:r>
    </w:p>
    <w:p w:rsidR="00B6325E" w:rsidRPr="00944576" w:rsidRDefault="00B6325E" w:rsidP="00915518">
      <w:pPr>
        <w:pStyle w:val="Headingb"/>
      </w:pPr>
      <w:r w:rsidRPr="00944576">
        <w:lastRenderedPageBreak/>
        <w:t>Résultats attendus</w:t>
      </w:r>
    </w:p>
    <w:p w:rsidR="00B6325E" w:rsidRPr="00944576" w:rsidRDefault="00B6325E" w:rsidP="00DC0EC4">
      <w:pPr>
        <w:pStyle w:val="enumlev1"/>
        <w:rPr>
          <w:rFonts w:eastAsia="Batang"/>
          <w:bCs/>
        </w:rPr>
      </w:pPr>
      <w:r w:rsidRPr="00944576">
        <w:t>1)</w:t>
      </w:r>
      <w:r w:rsidRPr="00944576">
        <w:tab/>
      </w:r>
      <w:bookmarkStart w:id="38" w:name="lt_pId143"/>
      <w:r w:rsidR="00195619" w:rsidRPr="00944576">
        <w:rPr>
          <w:rFonts w:eastAsia="Batang"/>
        </w:rPr>
        <w:t>Aide</w:t>
      </w:r>
      <w:r w:rsidR="005F0C58" w:rsidRPr="00944576">
        <w:rPr>
          <w:rFonts w:eastAsia="Batang"/>
        </w:rPr>
        <w:t>r</w:t>
      </w:r>
      <w:r w:rsidR="00195619" w:rsidRPr="00944576">
        <w:rPr>
          <w:rFonts w:eastAsia="Batang"/>
        </w:rPr>
        <w:t xml:space="preserve"> à </w:t>
      </w:r>
      <w:r w:rsidR="005F0C58" w:rsidRPr="00944576">
        <w:rPr>
          <w:rFonts w:eastAsia="Batang"/>
        </w:rPr>
        <w:t xml:space="preserve">mettre en oeuvre </w:t>
      </w:r>
      <w:r w:rsidR="00195619" w:rsidRPr="00944576">
        <w:rPr>
          <w:rFonts w:eastAsia="Batang"/>
        </w:rPr>
        <w:t xml:space="preserve">un plan d'action </w:t>
      </w:r>
      <w:r w:rsidRPr="00944576">
        <w:rPr>
          <w:rFonts w:eastAsia="Batang"/>
        </w:rPr>
        <w:t xml:space="preserve">postmigration </w:t>
      </w:r>
      <w:r w:rsidR="00195619" w:rsidRPr="00944576">
        <w:rPr>
          <w:rFonts w:eastAsia="Batang"/>
        </w:rPr>
        <w:t xml:space="preserve">permettant d'élaborer de nouveaux services </w:t>
      </w:r>
      <w:r w:rsidR="00F35292" w:rsidRPr="00944576">
        <w:rPr>
          <w:rFonts w:eastAsia="Batang"/>
        </w:rPr>
        <w:t>assortis</w:t>
      </w:r>
      <w:r w:rsidR="00867FBB" w:rsidRPr="00944576">
        <w:rPr>
          <w:rFonts w:eastAsia="Batang"/>
        </w:rPr>
        <w:t xml:space="preserve"> des </w:t>
      </w:r>
      <w:r w:rsidR="00195619" w:rsidRPr="00944576">
        <w:rPr>
          <w:rFonts w:eastAsia="Batang"/>
        </w:rPr>
        <w:t>meilleures conditions</w:t>
      </w:r>
      <w:r w:rsidR="00867FBB" w:rsidRPr="00944576">
        <w:rPr>
          <w:rFonts w:eastAsia="Batang"/>
        </w:rPr>
        <w:t xml:space="preserve"> d'accessibilité sur les plans technique et économique, de définir les conditions d'attribution et </w:t>
      </w:r>
      <w:r w:rsidR="00F35292" w:rsidRPr="00944576">
        <w:rPr>
          <w:rFonts w:eastAsia="Batang"/>
        </w:rPr>
        <w:t>d'utilisation</w:t>
      </w:r>
      <w:r w:rsidR="00867FBB" w:rsidRPr="00944576">
        <w:rPr>
          <w:rFonts w:eastAsia="Batang"/>
        </w:rPr>
        <w:t xml:space="preserve"> </w:t>
      </w:r>
      <w:r w:rsidR="00F35292" w:rsidRPr="00944576">
        <w:rPr>
          <w:rFonts w:eastAsia="Batang"/>
        </w:rPr>
        <w:t>d</w:t>
      </w:r>
      <w:r w:rsidR="00867FBB" w:rsidRPr="00944576">
        <w:rPr>
          <w:rFonts w:eastAsia="Batang"/>
        </w:rPr>
        <w:t>u "dividende numérique"</w:t>
      </w:r>
      <w:r w:rsidRPr="00944576">
        <w:rPr>
          <w:rFonts w:eastAsia="Batang"/>
        </w:rPr>
        <w:t xml:space="preserve"> </w:t>
      </w:r>
      <w:r w:rsidR="00867FBB" w:rsidRPr="00944576">
        <w:rPr>
          <w:rFonts w:eastAsia="Batang"/>
        </w:rPr>
        <w:t>afin de favoriser le développemen</w:t>
      </w:r>
      <w:r w:rsidR="005F0C58" w:rsidRPr="00944576">
        <w:rPr>
          <w:rFonts w:eastAsia="Batang"/>
        </w:rPr>
        <w:t>t des services large bande et d'assurer un</w:t>
      </w:r>
      <w:r w:rsidR="00867FBB" w:rsidRPr="00944576">
        <w:rPr>
          <w:rFonts w:eastAsia="Batang"/>
        </w:rPr>
        <w:t xml:space="preserve"> renforcement des capacités, y compris l'échange de connaissances et de données d'expérience en ce qui concerne la réglementation des services</w:t>
      </w:r>
      <w:r w:rsidR="00F35292" w:rsidRPr="00944576">
        <w:rPr>
          <w:rFonts w:eastAsia="Batang"/>
        </w:rPr>
        <w:t xml:space="preserve"> </w:t>
      </w:r>
      <w:r w:rsidR="005F0C58" w:rsidRPr="00944576">
        <w:rPr>
          <w:rFonts w:eastAsia="Batang"/>
        </w:rPr>
        <w:t xml:space="preserve">par </w:t>
      </w:r>
      <w:r w:rsidR="00F35292" w:rsidRPr="00944576">
        <w:rPr>
          <w:rFonts w:eastAsia="Batang"/>
        </w:rPr>
        <w:t>satellite</w:t>
      </w:r>
      <w:r w:rsidR="00867FBB" w:rsidRPr="00944576">
        <w:rPr>
          <w:rFonts w:eastAsia="Batang"/>
        </w:rPr>
        <w:t>, l'accent étant mis sur la</w:t>
      </w:r>
      <w:r w:rsidR="005F0C58" w:rsidRPr="00944576">
        <w:rPr>
          <w:rFonts w:eastAsia="Batang"/>
        </w:rPr>
        <w:t xml:space="preserve"> </w:t>
      </w:r>
      <w:r w:rsidR="005F0C58" w:rsidRPr="00944576">
        <w:rPr>
          <w:rFonts w:eastAsia="Batang"/>
        </w:rPr>
        <w:t>notification</w:t>
      </w:r>
      <w:r w:rsidR="00867FBB" w:rsidRPr="00944576">
        <w:rPr>
          <w:rFonts w:eastAsia="Batang"/>
        </w:rPr>
        <w:t xml:space="preserve"> et la </w:t>
      </w:r>
      <w:r w:rsidR="005F0C58" w:rsidRPr="00944576">
        <w:rPr>
          <w:rFonts w:eastAsia="Batang"/>
        </w:rPr>
        <w:t xml:space="preserve">coordination </w:t>
      </w:r>
      <w:r w:rsidR="00867FBB" w:rsidRPr="00944576">
        <w:rPr>
          <w:rFonts w:eastAsia="Batang"/>
        </w:rPr>
        <w:t xml:space="preserve">des </w:t>
      </w:r>
      <w:bookmarkEnd w:id="38"/>
      <w:r w:rsidR="00DC0EC4">
        <w:rPr>
          <w:rFonts w:eastAsia="Batang"/>
        </w:rPr>
        <w:t>satellites</w:t>
      </w:r>
      <w:r w:rsidR="00F35292" w:rsidRPr="00944576">
        <w:rPr>
          <w:rFonts w:eastAsia="Batang"/>
        </w:rPr>
        <w:t>.</w:t>
      </w:r>
    </w:p>
    <w:p w:rsidR="00254FD7" w:rsidRPr="00944576" w:rsidRDefault="00B6325E" w:rsidP="00915518">
      <w:pPr>
        <w:pStyle w:val="enumlev1"/>
        <w:rPr>
          <w:rFonts w:eastAsia="Batang"/>
        </w:rPr>
      </w:pPr>
      <w:r w:rsidRPr="00944576">
        <w:rPr>
          <w:rFonts w:eastAsia="Batang"/>
          <w:bCs/>
        </w:rPr>
        <w:t>2)</w:t>
      </w:r>
      <w:r w:rsidRPr="00944576">
        <w:rPr>
          <w:rFonts w:eastAsia="Batang"/>
          <w:bCs/>
        </w:rPr>
        <w:tab/>
      </w:r>
      <w:r w:rsidR="005F0C58" w:rsidRPr="00944576">
        <w:rPr>
          <w:rFonts w:eastAsia="Batang"/>
        </w:rPr>
        <w:t>Fournir une a</w:t>
      </w:r>
      <w:r w:rsidR="00254FD7" w:rsidRPr="00944576">
        <w:rPr>
          <w:rFonts w:eastAsia="Batang"/>
        </w:rPr>
        <w:t>ssistance pour la mise en place de modèles de financement pour assurer les investissements nécessaires pour le passage de l</w:t>
      </w:r>
      <w:r w:rsidR="009314BA" w:rsidRPr="00944576">
        <w:rPr>
          <w:rFonts w:eastAsia="Batang"/>
        </w:rPr>
        <w:t>'</w:t>
      </w:r>
      <w:r w:rsidR="00254FD7" w:rsidRPr="00944576">
        <w:rPr>
          <w:rFonts w:eastAsia="Batang"/>
        </w:rPr>
        <w:t>analogique au numérique.</w:t>
      </w:r>
    </w:p>
    <w:p w:rsidR="00254FD7" w:rsidRPr="00944576" w:rsidRDefault="00254FD7" w:rsidP="005F0C58">
      <w:pPr>
        <w:pStyle w:val="enumlev1"/>
        <w:rPr>
          <w:rFonts w:eastAsia="Batang"/>
        </w:rPr>
      </w:pPr>
      <w:r w:rsidRPr="00944576">
        <w:rPr>
          <w:rFonts w:eastAsia="Batang"/>
        </w:rPr>
        <w:t>3)</w:t>
      </w:r>
      <w:r w:rsidRPr="00944576">
        <w:rPr>
          <w:rFonts w:eastAsia="Batang"/>
        </w:rPr>
        <w:tab/>
        <w:t>A</w:t>
      </w:r>
      <w:r w:rsidR="005F0C58" w:rsidRPr="00944576">
        <w:rPr>
          <w:rFonts w:eastAsia="Batang"/>
        </w:rPr>
        <w:t xml:space="preserve">ider les </w:t>
      </w:r>
      <w:r w:rsidRPr="00944576">
        <w:rPr>
          <w:rFonts w:eastAsia="Batang"/>
        </w:rPr>
        <w:t xml:space="preserve">pays </w:t>
      </w:r>
      <w:r w:rsidR="005F0C58" w:rsidRPr="00944576">
        <w:rPr>
          <w:rFonts w:eastAsia="Batang"/>
        </w:rPr>
        <w:t xml:space="preserve">à mettre </w:t>
      </w:r>
      <w:r w:rsidRPr="00944576">
        <w:rPr>
          <w:rFonts w:eastAsia="Batang"/>
        </w:rPr>
        <w:t xml:space="preserve">en place un écosystème durable de production et </w:t>
      </w:r>
      <w:r w:rsidR="005F0C58" w:rsidRPr="00944576">
        <w:rPr>
          <w:rFonts w:eastAsia="Batang"/>
        </w:rPr>
        <w:t xml:space="preserve">de </w:t>
      </w:r>
      <w:r w:rsidRPr="00944576">
        <w:rPr>
          <w:rFonts w:eastAsia="Batang"/>
        </w:rPr>
        <w:t>monétisation de contenu</w:t>
      </w:r>
      <w:r w:rsidR="005F0C58" w:rsidRPr="00944576">
        <w:rPr>
          <w:rFonts w:eastAsia="Batang"/>
        </w:rPr>
        <w:t>s</w:t>
      </w:r>
      <w:r w:rsidRPr="00944576">
        <w:rPr>
          <w:rFonts w:eastAsia="Batang"/>
        </w:rPr>
        <w:t xml:space="preserve"> et de chaînes </w:t>
      </w:r>
      <w:r w:rsidR="005F0C58" w:rsidRPr="00944576">
        <w:rPr>
          <w:rFonts w:eastAsia="Batang"/>
        </w:rPr>
        <w:t xml:space="preserve">au niveau </w:t>
      </w:r>
      <w:r w:rsidRPr="00944576">
        <w:rPr>
          <w:rFonts w:eastAsia="Batang"/>
        </w:rPr>
        <w:t>local.</w:t>
      </w:r>
    </w:p>
    <w:p w:rsidR="00254FD7" w:rsidRPr="00944576" w:rsidRDefault="00254FD7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4)</w:t>
      </w:r>
      <w:r w:rsidRPr="00944576">
        <w:rPr>
          <w:rFonts w:eastAsia="Batang"/>
        </w:rPr>
        <w:tab/>
      </w:r>
      <w:r w:rsidR="005F0C58" w:rsidRPr="00944576">
        <w:rPr>
          <w:rFonts w:eastAsia="Batang"/>
        </w:rPr>
        <w:t>Fournir un a</w:t>
      </w:r>
      <w:r w:rsidR="001520F4" w:rsidRPr="00944576">
        <w:rPr>
          <w:rFonts w:eastAsia="Batang"/>
        </w:rPr>
        <w:t>ppui pour l</w:t>
      </w:r>
      <w:r w:rsidR="009314BA" w:rsidRPr="00944576">
        <w:rPr>
          <w:rFonts w:eastAsia="Batang"/>
        </w:rPr>
        <w:t>'</w:t>
      </w:r>
      <w:r w:rsidR="001520F4" w:rsidRPr="00944576">
        <w:rPr>
          <w:rFonts w:eastAsia="Batang"/>
        </w:rPr>
        <w:t>élaboration de plans de gestion du spectre aux niveaux national, régional et mondial, notamment pour le passage à la radiodiffusion numérique.</w:t>
      </w:r>
    </w:p>
    <w:p w:rsidR="00B6325E" w:rsidRPr="00944576" w:rsidRDefault="001520F4" w:rsidP="00915518">
      <w:pPr>
        <w:pStyle w:val="enumlev1"/>
        <w:rPr>
          <w:rFonts w:eastAsia="Batang"/>
        </w:rPr>
      </w:pPr>
      <w:r w:rsidRPr="00944576">
        <w:rPr>
          <w:rFonts w:eastAsia="Batang"/>
        </w:rPr>
        <w:t>5</w:t>
      </w:r>
      <w:r w:rsidR="00254FD7" w:rsidRPr="00944576">
        <w:rPr>
          <w:rFonts w:eastAsia="Batang"/>
        </w:rPr>
        <w:t>)</w:t>
      </w:r>
      <w:r w:rsidR="00254FD7" w:rsidRPr="00944576">
        <w:rPr>
          <w:rFonts w:eastAsia="Batang"/>
        </w:rPr>
        <w:tab/>
      </w:r>
      <w:r w:rsidR="005F0C58" w:rsidRPr="00944576">
        <w:rPr>
          <w:rFonts w:eastAsia="Batang"/>
        </w:rPr>
        <w:t>Fournir une a</w:t>
      </w:r>
      <w:r w:rsidR="00254FD7" w:rsidRPr="00944576">
        <w:rPr>
          <w:rFonts w:eastAsia="Batang"/>
        </w:rPr>
        <w:t>ssistance pour l</w:t>
      </w:r>
      <w:r w:rsidR="009314BA" w:rsidRPr="00944576">
        <w:rPr>
          <w:rFonts w:eastAsia="Batang"/>
        </w:rPr>
        <w:t>'</w:t>
      </w:r>
      <w:r w:rsidR="00254FD7" w:rsidRPr="00944576">
        <w:rPr>
          <w:rFonts w:eastAsia="Batang"/>
        </w:rPr>
        <w:t xml:space="preserve">utilisation des outils destinés à aider les pays en développement à améliorer la coordination internationale des </w:t>
      </w:r>
      <w:r w:rsidR="005F0C58" w:rsidRPr="00944576">
        <w:rPr>
          <w:rFonts w:eastAsia="Batang"/>
        </w:rPr>
        <w:t xml:space="preserve">fréquences pour les </w:t>
      </w:r>
      <w:r w:rsidR="00254FD7" w:rsidRPr="00944576">
        <w:rPr>
          <w:rFonts w:eastAsia="Batang"/>
        </w:rPr>
        <w:t>services de Terre dans les zones frontalières.</w:t>
      </w:r>
    </w:p>
    <w:p w:rsidR="00B6325E" w:rsidRPr="00944576" w:rsidRDefault="00B6325E" w:rsidP="005F0C58">
      <w:pPr>
        <w:pStyle w:val="enumlev1"/>
        <w:rPr>
          <w:rFonts w:eastAsia="Batang"/>
          <w:bCs/>
        </w:rPr>
      </w:pPr>
      <w:r w:rsidRPr="00944576">
        <w:rPr>
          <w:rFonts w:eastAsia="Batang"/>
          <w:bCs/>
        </w:rPr>
        <w:t>6)</w:t>
      </w:r>
      <w:r w:rsidRPr="00944576">
        <w:rPr>
          <w:rFonts w:eastAsia="Batang"/>
          <w:bCs/>
        </w:rPr>
        <w:tab/>
      </w:r>
      <w:r w:rsidR="001520F4" w:rsidRPr="00944576">
        <w:rPr>
          <w:rFonts w:eastAsia="Batang"/>
        </w:rPr>
        <w:t>Réalis</w:t>
      </w:r>
      <w:r w:rsidR="005F0C58" w:rsidRPr="00944576">
        <w:rPr>
          <w:rFonts w:eastAsia="Batang"/>
        </w:rPr>
        <w:t xml:space="preserve">er des </w:t>
      </w:r>
      <w:r w:rsidR="001520F4" w:rsidRPr="00944576">
        <w:rPr>
          <w:rFonts w:eastAsia="Batang"/>
        </w:rPr>
        <w:t>études et élabor</w:t>
      </w:r>
      <w:r w:rsidR="005F0C58" w:rsidRPr="00944576">
        <w:rPr>
          <w:rFonts w:eastAsia="Batang"/>
        </w:rPr>
        <w:t>er</w:t>
      </w:r>
      <w:r w:rsidR="001520F4" w:rsidRPr="00944576">
        <w:rPr>
          <w:rFonts w:eastAsia="Batang"/>
        </w:rPr>
        <w:t xml:space="preserve"> de</w:t>
      </w:r>
      <w:r w:rsidR="005F0C58" w:rsidRPr="00944576">
        <w:rPr>
          <w:rFonts w:eastAsia="Batang"/>
        </w:rPr>
        <w:t>s</w:t>
      </w:r>
      <w:r w:rsidR="001520F4" w:rsidRPr="00944576">
        <w:rPr>
          <w:rFonts w:eastAsia="Batang"/>
        </w:rPr>
        <w:t xml:space="preserve"> critères de comparaison et de</w:t>
      </w:r>
      <w:r w:rsidR="0003290C">
        <w:rPr>
          <w:rFonts w:eastAsia="Batang"/>
        </w:rPr>
        <w:t>s</w:t>
      </w:r>
      <w:bookmarkStart w:id="39" w:name="_GoBack"/>
      <w:bookmarkEnd w:id="39"/>
      <w:r w:rsidR="001520F4" w:rsidRPr="00944576">
        <w:rPr>
          <w:rFonts w:eastAsia="Batang"/>
        </w:rPr>
        <w:t xml:space="preserve"> lignes directrices sur les aspects politiques et économiques de l</w:t>
      </w:r>
      <w:r w:rsidR="009314BA" w:rsidRPr="00944576">
        <w:rPr>
          <w:rFonts w:eastAsia="Batang"/>
        </w:rPr>
        <w:t>'</w:t>
      </w:r>
      <w:r w:rsidR="001520F4" w:rsidRPr="00944576">
        <w:rPr>
          <w:rFonts w:eastAsia="Batang"/>
        </w:rPr>
        <w:t>assignation et de l</w:t>
      </w:r>
      <w:r w:rsidR="009314BA" w:rsidRPr="00944576">
        <w:rPr>
          <w:rFonts w:eastAsia="Batang"/>
        </w:rPr>
        <w:t>'</w:t>
      </w:r>
      <w:r w:rsidR="001520F4" w:rsidRPr="00944576">
        <w:rPr>
          <w:rFonts w:eastAsia="Batang"/>
        </w:rPr>
        <w:t>utilisation du spectre des fréquences radioélectriques, compte tenu de la Résolution 9 (Rév.Hyderabad, 2010) de la Conférence mondiale de développement des télécommunications.</w:t>
      </w:r>
    </w:p>
    <w:p w:rsidR="00B6325E" w:rsidRPr="00944576" w:rsidRDefault="00B6325E" w:rsidP="00915518">
      <w:pPr>
        <w:pStyle w:val="Reasons"/>
        <w:rPr>
          <w:lang w:val="fr-FR"/>
        </w:rPr>
      </w:pPr>
    </w:p>
    <w:p w:rsidR="00B6325E" w:rsidRPr="00944576" w:rsidRDefault="00B6325E" w:rsidP="00915518">
      <w:pPr>
        <w:jc w:val="center"/>
      </w:pPr>
      <w:r w:rsidRPr="00944576">
        <w:t>______________</w:t>
      </w:r>
    </w:p>
    <w:p w:rsidR="00CD2EB0" w:rsidRPr="00944576" w:rsidRDefault="00CD2EB0" w:rsidP="00915518">
      <w:pPr>
        <w:pStyle w:val="Reasons"/>
        <w:rPr>
          <w:lang w:val="fr-FR"/>
        </w:rPr>
      </w:pPr>
    </w:p>
    <w:sectPr w:rsidR="00CD2EB0" w:rsidRPr="00944576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15" w:rsidRDefault="00001215">
      <w:r>
        <w:separator/>
      </w:r>
    </w:p>
  </w:endnote>
  <w:endnote w:type="continuationSeparator" w:id="0">
    <w:p w:rsidR="00001215" w:rsidRDefault="0000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E8" w:rsidRPr="005D3705" w:rsidRDefault="005D3705" w:rsidP="008D55E6">
    <w:pPr>
      <w:pStyle w:val="Footer"/>
      <w:tabs>
        <w:tab w:val="clear" w:pos="9639"/>
        <w:tab w:val="left" w:pos="6935"/>
      </w:tabs>
      <w:rPr>
        <w:lang w:val="en-US"/>
      </w:rPr>
    </w:pPr>
    <w:r>
      <w:fldChar w:fldCharType="begin"/>
    </w:r>
    <w:r w:rsidRPr="005D3705">
      <w:rPr>
        <w:lang w:val="en-US"/>
      </w:rPr>
      <w:instrText xml:space="preserve"> FILENAME \p  \* MERGEFORMAT </w:instrText>
    </w:r>
    <w:r>
      <w:fldChar w:fldCharType="separate"/>
    </w:r>
    <w:r w:rsidR="00DC0EC4">
      <w:rPr>
        <w:lang w:val="en-US"/>
      </w:rPr>
      <w:t>P:\FRA\ITU-D\CONF-D\WTDC17\000\019ADD03F.docx</w:t>
    </w:r>
    <w:r>
      <w:fldChar w:fldCharType="end"/>
    </w:r>
    <w:r w:rsidRPr="005D3705">
      <w:rPr>
        <w:lang w:val="en-US"/>
      </w:rPr>
      <w:t xml:space="preserve"> (</w:t>
    </w:r>
    <w:r w:rsidR="008D55E6">
      <w:rPr>
        <w:lang w:val="en-US"/>
      </w:rPr>
      <w:t>422915</w:t>
    </w:r>
    <w:r w:rsidRPr="005D3705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Coordonnées de la personne de contact pour le document"/>
      <w:tblDescription w:val="Coordonnées de la personne de contact pour le document"/>
    </w:tblPr>
    <w:tblGrid>
      <w:gridCol w:w="1526"/>
      <w:gridCol w:w="2268"/>
      <w:gridCol w:w="6237"/>
    </w:tblGrid>
    <w:tr w:rsidR="008D55E6" w:rsidRPr="008D55E6" w:rsidTr="008D55E6">
      <w:tc>
        <w:tcPr>
          <w:tcW w:w="1526" w:type="dxa"/>
          <w:tcBorders>
            <w:top w:val="single" w:sz="4" w:space="0" w:color="000000" w:themeColor="text1"/>
          </w:tcBorders>
        </w:tcPr>
        <w:p w:rsidR="008D55E6" w:rsidRPr="00C100BE" w:rsidRDefault="008D55E6" w:rsidP="008D55E6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43" w:name="Email"/>
          <w:bookmarkEnd w:id="43"/>
          <w:r w:rsidRPr="00C100BE">
            <w:rPr>
              <w:sz w:val="18"/>
              <w:szCs w:val="18"/>
            </w:rPr>
            <w:t>Contact:</w:t>
          </w:r>
        </w:p>
      </w:tc>
      <w:tc>
        <w:tcPr>
          <w:tcW w:w="2268" w:type="dxa"/>
          <w:tcBorders>
            <w:top w:val="single" w:sz="4" w:space="0" w:color="000000" w:themeColor="text1"/>
          </w:tcBorders>
        </w:tcPr>
        <w:p w:rsidR="008D55E6" w:rsidRPr="00C100BE" w:rsidRDefault="008D55E6" w:rsidP="008D55E6">
          <w:pPr>
            <w:pStyle w:val="FirstFooter"/>
            <w:ind w:left="2160" w:hanging="2160"/>
            <w:rPr>
              <w:sz w:val="18"/>
              <w:szCs w:val="18"/>
              <w:lang w:val="en-US"/>
            </w:rPr>
          </w:pPr>
          <w:r w:rsidRPr="00C100BE">
            <w:rPr>
              <w:sz w:val="18"/>
              <w:szCs w:val="18"/>
              <w:lang w:val="fr-CH"/>
            </w:rPr>
            <w:t>Nom/Organisation/Entité:</w:t>
          </w:r>
        </w:p>
      </w:tc>
      <w:tc>
        <w:tcPr>
          <w:tcW w:w="6237" w:type="dxa"/>
          <w:tcBorders>
            <w:top w:val="single" w:sz="4" w:space="0" w:color="000000" w:themeColor="text1"/>
          </w:tcBorders>
        </w:tcPr>
        <w:p w:rsidR="008D55E6" w:rsidRPr="008D55E6" w:rsidRDefault="008D55E6" w:rsidP="008D55E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fr-CH"/>
            </w:rPr>
          </w:pPr>
          <w:r w:rsidRPr="008D55E6">
            <w:rPr>
              <w:sz w:val="18"/>
              <w:szCs w:val="18"/>
              <w:lang w:val="fr-CH"/>
            </w:rPr>
            <w:t xml:space="preserve">M. Soumaila Abdoulkarim, Secrétaire général, </w:t>
          </w:r>
          <w:r>
            <w:rPr>
              <w:sz w:val="18"/>
              <w:szCs w:val="18"/>
              <w:lang w:val="fr-CH"/>
            </w:rPr>
            <w:t>Union africaine des télécommunications</w:t>
          </w:r>
        </w:p>
      </w:tc>
    </w:tr>
    <w:tr w:rsidR="008D55E6" w:rsidRPr="00C100BE" w:rsidTr="008D55E6">
      <w:tc>
        <w:tcPr>
          <w:tcW w:w="1526" w:type="dxa"/>
        </w:tcPr>
        <w:p w:rsidR="008D55E6" w:rsidRPr="008D55E6" w:rsidRDefault="008D55E6" w:rsidP="008D55E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fr-CH"/>
            </w:rPr>
          </w:pPr>
        </w:p>
      </w:tc>
      <w:tc>
        <w:tcPr>
          <w:tcW w:w="2268" w:type="dxa"/>
        </w:tcPr>
        <w:p w:rsidR="008D55E6" w:rsidRPr="00C100BE" w:rsidRDefault="008D55E6" w:rsidP="008D55E6">
          <w:pPr>
            <w:pStyle w:val="FirstFooter"/>
            <w:ind w:left="2160" w:hanging="2160"/>
            <w:rPr>
              <w:sz w:val="18"/>
              <w:szCs w:val="18"/>
              <w:lang w:val="en-US"/>
            </w:rPr>
          </w:pPr>
          <w:r w:rsidRPr="00C100BE">
            <w:rPr>
              <w:sz w:val="18"/>
              <w:szCs w:val="18"/>
              <w:lang w:val="fr-CH"/>
            </w:rPr>
            <w:t>Numéro de téléphone:</w:t>
          </w:r>
        </w:p>
      </w:tc>
      <w:tc>
        <w:tcPr>
          <w:tcW w:w="6237" w:type="dxa"/>
        </w:tcPr>
        <w:p w:rsidR="008D55E6" w:rsidRPr="004D495C" w:rsidRDefault="008D55E6" w:rsidP="008D55E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BD116B">
            <w:rPr>
              <w:sz w:val="18"/>
              <w:szCs w:val="18"/>
              <w:lang w:val="en-US"/>
            </w:rPr>
            <w:t>+254</w:t>
          </w:r>
          <w:r>
            <w:rPr>
              <w:sz w:val="18"/>
              <w:szCs w:val="18"/>
              <w:lang w:val="en-US"/>
            </w:rPr>
            <w:t xml:space="preserve"> 722 </w:t>
          </w:r>
          <w:r w:rsidRPr="00BD116B">
            <w:rPr>
              <w:sz w:val="18"/>
              <w:szCs w:val="18"/>
              <w:lang w:val="en-US"/>
            </w:rPr>
            <w:t>203132</w:t>
          </w:r>
        </w:p>
      </w:tc>
    </w:tr>
    <w:tr w:rsidR="008D55E6" w:rsidRPr="00CB110F" w:rsidTr="008D55E6">
      <w:tc>
        <w:tcPr>
          <w:tcW w:w="1526" w:type="dxa"/>
        </w:tcPr>
        <w:p w:rsidR="008D55E6" w:rsidRPr="00C100BE" w:rsidRDefault="008D55E6" w:rsidP="008D55E6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68" w:type="dxa"/>
        </w:tcPr>
        <w:p w:rsidR="008D55E6" w:rsidRPr="00C100BE" w:rsidRDefault="008D55E6" w:rsidP="008D55E6">
          <w:pPr>
            <w:pStyle w:val="FirstFooter"/>
            <w:ind w:left="2160" w:hanging="2160"/>
            <w:rPr>
              <w:sz w:val="18"/>
              <w:szCs w:val="18"/>
              <w:lang w:val="en-US"/>
            </w:rPr>
          </w:pPr>
          <w:r w:rsidRPr="00C100BE">
            <w:rPr>
              <w:sz w:val="18"/>
              <w:szCs w:val="18"/>
              <w:lang w:val="fr-CH"/>
            </w:rPr>
            <w:t>Courriel</w:t>
          </w:r>
          <w:r w:rsidRPr="00C100BE">
            <w:rPr>
              <w:sz w:val="18"/>
              <w:szCs w:val="18"/>
              <w:lang w:val="en-US"/>
            </w:rPr>
            <w:t>:</w:t>
          </w:r>
        </w:p>
      </w:tc>
      <w:tc>
        <w:tcPr>
          <w:tcW w:w="6237" w:type="dxa"/>
        </w:tcPr>
        <w:p w:rsidR="008D55E6" w:rsidRPr="004D495C" w:rsidRDefault="0003290C" w:rsidP="008D55E6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8D55E6" w:rsidRPr="00F07D54">
              <w:rPr>
                <w:rStyle w:val="Hyperlink"/>
                <w:sz w:val="18"/>
                <w:szCs w:val="18"/>
                <w:lang w:val="en-US"/>
              </w:rPr>
              <w:t>sg@atu-uat.org</w:t>
            </w:r>
          </w:hyperlink>
          <w:r w:rsidR="008D55E6">
            <w:rPr>
              <w:sz w:val="18"/>
              <w:szCs w:val="18"/>
              <w:lang w:val="en-US"/>
            </w:rPr>
            <w:t xml:space="preserve"> </w:t>
          </w:r>
        </w:p>
      </w:tc>
    </w:tr>
  </w:tbl>
  <w:p w:rsidR="00000B37" w:rsidRPr="00784E03" w:rsidRDefault="0003290C" w:rsidP="00000B37">
    <w:pPr>
      <w:jc w:val="center"/>
      <w:rPr>
        <w:sz w:val="20"/>
      </w:rPr>
    </w:pPr>
    <w:hyperlink r:id="rId2" w:history="1">
      <w:r w:rsidR="007934DB">
        <w:rPr>
          <w:rStyle w:val="Hyperlink"/>
          <w:sz w:val="20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15" w:rsidRDefault="00001215">
      <w:r>
        <w:t>____________________</w:t>
      </w:r>
    </w:p>
  </w:footnote>
  <w:footnote w:type="continuationSeparator" w:id="0">
    <w:p w:rsidR="00001215" w:rsidRDefault="0000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E8" w:rsidRPr="00FB312D" w:rsidRDefault="00D42EE8" w:rsidP="002C14C1">
    <w:pPr>
      <w:tabs>
        <w:tab w:val="clear" w:pos="794"/>
        <w:tab w:val="clear" w:pos="1191"/>
        <w:tab w:val="clear" w:pos="1588"/>
        <w:tab w:val="clear" w:pos="1985"/>
        <w:tab w:val="clear" w:pos="2268"/>
        <w:tab w:val="clear" w:pos="2552"/>
        <w:tab w:val="center" w:pos="4820"/>
        <w:tab w:val="right" w:pos="10206"/>
      </w:tabs>
      <w:ind w:right="1"/>
      <w:rPr>
        <w:sz w:val="22"/>
        <w:szCs w:val="22"/>
        <w:lang w:val="en-GB"/>
      </w:rPr>
    </w:pPr>
    <w:r w:rsidRPr="00FB312D">
      <w:rPr>
        <w:sz w:val="22"/>
        <w:szCs w:val="22"/>
        <w:lang w:val="en-GB"/>
      </w:rPr>
      <w:tab/>
    </w:r>
    <w:r w:rsidR="000766DA">
      <w:rPr>
        <w:sz w:val="22"/>
        <w:szCs w:val="22"/>
        <w:lang w:val="de-CH"/>
      </w:rPr>
      <w:t>CMDT</w:t>
    </w:r>
    <w:r w:rsidR="007934DB" w:rsidRPr="00A74B99">
      <w:rPr>
        <w:sz w:val="22"/>
        <w:szCs w:val="22"/>
        <w:lang w:val="de-CH"/>
      </w:rPr>
      <w:t>-17/</w:t>
    </w:r>
    <w:bookmarkStart w:id="40" w:name="OLE_LINK3"/>
    <w:bookmarkStart w:id="41" w:name="OLE_LINK2"/>
    <w:bookmarkStart w:id="42" w:name="OLE_LINK1"/>
    <w:r w:rsidR="007934DB" w:rsidRPr="00A74B99">
      <w:rPr>
        <w:sz w:val="22"/>
        <w:szCs w:val="22"/>
      </w:rPr>
      <w:t>19(Add.3)</w:t>
    </w:r>
    <w:bookmarkEnd w:id="40"/>
    <w:bookmarkEnd w:id="41"/>
    <w:bookmarkEnd w:id="42"/>
    <w:r w:rsidR="007934DB" w:rsidRPr="00A74B99">
      <w:rPr>
        <w:sz w:val="22"/>
        <w:szCs w:val="22"/>
      </w:rPr>
      <w:t>-</w:t>
    </w:r>
    <w:r w:rsidR="007934DB" w:rsidRPr="00C26DD5">
      <w:rPr>
        <w:sz w:val="22"/>
        <w:szCs w:val="22"/>
      </w:rPr>
      <w:t>F</w:t>
    </w:r>
    <w:r w:rsidRPr="00FB312D">
      <w:rPr>
        <w:sz w:val="22"/>
        <w:szCs w:val="22"/>
        <w:lang w:val="en-GB"/>
      </w:rPr>
      <w:tab/>
      <w:t xml:space="preserve">Page </w:t>
    </w:r>
    <w:r w:rsidRPr="00FB312D">
      <w:rPr>
        <w:sz w:val="22"/>
        <w:szCs w:val="22"/>
        <w:lang w:val="en-GB"/>
      </w:rPr>
      <w:fldChar w:fldCharType="begin"/>
    </w:r>
    <w:r w:rsidRPr="00FB312D">
      <w:rPr>
        <w:sz w:val="22"/>
        <w:szCs w:val="22"/>
        <w:lang w:val="en-GB"/>
      </w:rPr>
      <w:instrText xml:space="preserve"> PAGE </w:instrText>
    </w:r>
    <w:r w:rsidRPr="00FB312D">
      <w:rPr>
        <w:sz w:val="22"/>
        <w:szCs w:val="22"/>
        <w:lang w:val="en-GB"/>
      </w:rPr>
      <w:fldChar w:fldCharType="separate"/>
    </w:r>
    <w:r w:rsidR="0003290C">
      <w:rPr>
        <w:noProof/>
        <w:sz w:val="22"/>
        <w:szCs w:val="22"/>
        <w:lang w:val="en-GB"/>
      </w:rPr>
      <w:t>5</w:t>
    </w:r>
    <w:r w:rsidRPr="00FB312D">
      <w:rPr>
        <w:sz w:val="22"/>
        <w:szCs w:val="22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C4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7CB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66C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AA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20D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E01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186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C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DA0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1073D"/>
    <w:multiLevelType w:val="hybridMultilevel"/>
    <w:tmpl w:val="97A2C25E"/>
    <w:lvl w:ilvl="0" w:tplc="F3F83A08">
      <w:start w:val="1"/>
      <w:numFmt w:val="decimal"/>
      <w:lvlText w:val="%1)"/>
      <w:lvlJc w:val="left"/>
      <w:pPr>
        <w:ind w:left="790" w:hanging="7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6C7AF7"/>
    <w:multiLevelType w:val="hybridMultilevel"/>
    <w:tmpl w:val="057CE9E6"/>
    <w:lvl w:ilvl="0" w:tplc="B8AE88DC">
      <w:start w:val="1"/>
      <w:numFmt w:val="decimal"/>
      <w:lvlText w:val="%1)"/>
      <w:lvlJc w:val="left"/>
      <w:pPr>
        <w:ind w:left="790" w:hanging="79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290C"/>
    <w:rsid w:val="00034E34"/>
    <w:rsid w:val="00051E92"/>
    <w:rsid w:val="00053EF2"/>
    <w:rsid w:val="000559CC"/>
    <w:rsid w:val="00067289"/>
    <w:rsid w:val="00067970"/>
    <w:rsid w:val="000766DA"/>
    <w:rsid w:val="000B6A41"/>
    <w:rsid w:val="000D06F1"/>
    <w:rsid w:val="000E6B0A"/>
    <w:rsid w:val="000E7659"/>
    <w:rsid w:val="000F02B8"/>
    <w:rsid w:val="0010289F"/>
    <w:rsid w:val="00133BF6"/>
    <w:rsid w:val="00135DDB"/>
    <w:rsid w:val="001520F4"/>
    <w:rsid w:val="00176A8B"/>
    <w:rsid w:val="00180706"/>
    <w:rsid w:val="00184F7B"/>
    <w:rsid w:val="0019149F"/>
    <w:rsid w:val="00193BAB"/>
    <w:rsid w:val="00194FDD"/>
    <w:rsid w:val="00195619"/>
    <w:rsid w:val="00197D6D"/>
    <w:rsid w:val="001A3538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54FD7"/>
    <w:rsid w:val="002550AB"/>
    <w:rsid w:val="0026716A"/>
    <w:rsid w:val="002713B0"/>
    <w:rsid w:val="00294005"/>
    <w:rsid w:val="00297118"/>
    <w:rsid w:val="002A5F44"/>
    <w:rsid w:val="002C14C1"/>
    <w:rsid w:val="002C496A"/>
    <w:rsid w:val="002C4FDF"/>
    <w:rsid w:val="002C53DC"/>
    <w:rsid w:val="002E1D00"/>
    <w:rsid w:val="00300AC8"/>
    <w:rsid w:val="00301454"/>
    <w:rsid w:val="00327758"/>
    <w:rsid w:val="0033558B"/>
    <w:rsid w:val="00335864"/>
    <w:rsid w:val="00342BE1"/>
    <w:rsid w:val="003554A4"/>
    <w:rsid w:val="003707D1"/>
    <w:rsid w:val="00374E7A"/>
    <w:rsid w:val="00380220"/>
    <w:rsid w:val="003827F1"/>
    <w:rsid w:val="00393185"/>
    <w:rsid w:val="003A5EB6"/>
    <w:rsid w:val="003B7567"/>
    <w:rsid w:val="003E1A0D"/>
    <w:rsid w:val="00403E92"/>
    <w:rsid w:val="00410AE2"/>
    <w:rsid w:val="0041543C"/>
    <w:rsid w:val="00442985"/>
    <w:rsid w:val="00452BAB"/>
    <w:rsid w:val="0048151B"/>
    <w:rsid w:val="004839BA"/>
    <w:rsid w:val="00483F73"/>
    <w:rsid w:val="0048482C"/>
    <w:rsid w:val="004915E8"/>
    <w:rsid w:val="004A0D10"/>
    <w:rsid w:val="004A2F80"/>
    <w:rsid w:val="004A3D41"/>
    <w:rsid w:val="004C4C20"/>
    <w:rsid w:val="004D1F51"/>
    <w:rsid w:val="004D21D6"/>
    <w:rsid w:val="004E31C8"/>
    <w:rsid w:val="004F44EC"/>
    <w:rsid w:val="005063A3"/>
    <w:rsid w:val="0051261A"/>
    <w:rsid w:val="00515188"/>
    <w:rsid w:val="005161E7"/>
    <w:rsid w:val="00523937"/>
    <w:rsid w:val="005340B1"/>
    <w:rsid w:val="00546EDB"/>
    <w:rsid w:val="00561F9F"/>
    <w:rsid w:val="00564AD1"/>
    <w:rsid w:val="0056621F"/>
    <w:rsid w:val="0056763F"/>
    <w:rsid w:val="00572685"/>
    <w:rsid w:val="005860FF"/>
    <w:rsid w:val="00586DCD"/>
    <w:rsid w:val="005A047E"/>
    <w:rsid w:val="005A0607"/>
    <w:rsid w:val="005B5E2D"/>
    <w:rsid w:val="005B6CE3"/>
    <w:rsid w:val="005C03FC"/>
    <w:rsid w:val="005D30D5"/>
    <w:rsid w:val="005D3705"/>
    <w:rsid w:val="005D53D2"/>
    <w:rsid w:val="005F0C58"/>
    <w:rsid w:val="005F0CD9"/>
    <w:rsid w:val="00602668"/>
    <w:rsid w:val="00605A83"/>
    <w:rsid w:val="006126E9"/>
    <w:rsid w:val="006136D6"/>
    <w:rsid w:val="00614873"/>
    <w:rsid w:val="006153D3"/>
    <w:rsid w:val="00615927"/>
    <w:rsid w:val="00663A56"/>
    <w:rsid w:val="00680B7C"/>
    <w:rsid w:val="00690037"/>
    <w:rsid w:val="00695438"/>
    <w:rsid w:val="006A1325"/>
    <w:rsid w:val="006A23C2"/>
    <w:rsid w:val="006A3AA9"/>
    <w:rsid w:val="006C746E"/>
    <w:rsid w:val="006E5096"/>
    <w:rsid w:val="006F1919"/>
    <w:rsid w:val="006F2CB3"/>
    <w:rsid w:val="00700D0A"/>
    <w:rsid w:val="00706AFE"/>
    <w:rsid w:val="00726ADF"/>
    <w:rsid w:val="007408A7"/>
    <w:rsid w:val="0074743C"/>
    <w:rsid w:val="007513F7"/>
    <w:rsid w:val="007547E3"/>
    <w:rsid w:val="0076554A"/>
    <w:rsid w:val="007668D5"/>
    <w:rsid w:val="00772137"/>
    <w:rsid w:val="00783838"/>
    <w:rsid w:val="00783CE0"/>
    <w:rsid w:val="00790A74"/>
    <w:rsid w:val="007934DB"/>
    <w:rsid w:val="00794165"/>
    <w:rsid w:val="007A553A"/>
    <w:rsid w:val="007C09B2"/>
    <w:rsid w:val="007D7C8A"/>
    <w:rsid w:val="007F5ACF"/>
    <w:rsid w:val="00801FDC"/>
    <w:rsid w:val="008150E2"/>
    <w:rsid w:val="00821623"/>
    <w:rsid w:val="00821978"/>
    <w:rsid w:val="00824420"/>
    <w:rsid w:val="008332B1"/>
    <w:rsid w:val="008471EF"/>
    <w:rsid w:val="008534D0"/>
    <w:rsid w:val="00867FBB"/>
    <w:rsid w:val="008B269A"/>
    <w:rsid w:val="008C7600"/>
    <w:rsid w:val="008D11A0"/>
    <w:rsid w:val="008D55E6"/>
    <w:rsid w:val="008E63F7"/>
    <w:rsid w:val="008E7B6B"/>
    <w:rsid w:val="00903C75"/>
    <w:rsid w:val="0090522B"/>
    <w:rsid w:val="00915518"/>
    <w:rsid w:val="009314BA"/>
    <w:rsid w:val="00932946"/>
    <w:rsid w:val="00944576"/>
    <w:rsid w:val="00950E3C"/>
    <w:rsid w:val="00967BAA"/>
    <w:rsid w:val="00967D26"/>
    <w:rsid w:val="00973401"/>
    <w:rsid w:val="0098296F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4C77"/>
    <w:rsid w:val="00A1685B"/>
    <w:rsid w:val="00A2458F"/>
    <w:rsid w:val="00A45632"/>
    <w:rsid w:val="00A5304F"/>
    <w:rsid w:val="00A547B7"/>
    <w:rsid w:val="00A64EE0"/>
    <w:rsid w:val="00A70B6A"/>
    <w:rsid w:val="00A737BC"/>
    <w:rsid w:val="00A8185A"/>
    <w:rsid w:val="00A90394"/>
    <w:rsid w:val="00A944FF"/>
    <w:rsid w:val="00A94B33"/>
    <w:rsid w:val="00A961F4"/>
    <w:rsid w:val="00A964CA"/>
    <w:rsid w:val="00AD4E1C"/>
    <w:rsid w:val="00AD7EE5"/>
    <w:rsid w:val="00AE59D0"/>
    <w:rsid w:val="00B3154F"/>
    <w:rsid w:val="00B35807"/>
    <w:rsid w:val="00B518D0"/>
    <w:rsid w:val="00B535D0"/>
    <w:rsid w:val="00B6325E"/>
    <w:rsid w:val="00B83148"/>
    <w:rsid w:val="00B91403"/>
    <w:rsid w:val="00BB1859"/>
    <w:rsid w:val="00BB5BA7"/>
    <w:rsid w:val="00BC3079"/>
    <w:rsid w:val="00BC3CB1"/>
    <w:rsid w:val="00BD45A5"/>
    <w:rsid w:val="00BD7089"/>
    <w:rsid w:val="00BE524D"/>
    <w:rsid w:val="00BF66CB"/>
    <w:rsid w:val="00C11F0F"/>
    <w:rsid w:val="00C27DE2"/>
    <w:rsid w:val="00C30AF4"/>
    <w:rsid w:val="00C5629B"/>
    <w:rsid w:val="00C7163B"/>
    <w:rsid w:val="00CA5220"/>
    <w:rsid w:val="00CD2EB0"/>
    <w:rsid w:val="00CD587D"/>
    <w:rsid w:val="00CE1CDA"/>
    <w:rsid w:val="00D01E14"/>
    <w:rsid w:val="00D16FB0"/>
    <w:rsid w:val="00D2148B"/>
    <w:rsid w:val="00D223FA"/>
    <w:rsid w:val="00D27257"/>
    <w:rsid w:val="00D27E66"/>
    <w:rsid w:val="00D42EE8"/>
    <w:rsid w:val="00D52838"/>
    <w:rsid w:val="00D57988"/>
    <w:rsid w:val="00D63778"/>
    <w:rsid w:val="00D72C57"/>
    <w:rsid w:val="00D93FEB"/>
    <w:rsid w:val="00DA5572"/>
    <w:rsid w:val="00DB1232"/>
    <w:rsid w:val="00DC0EC4"/>
    <w:rsid w:val="00DD16B5"/>
    <w:rsid w:val="00DF6743"/>
    <w:rsid w:val="00E15468"/>
    <w:rsid w:val="00E23F4B"/>
    <w:rsid w:val="00E256D7"/>
    <w:rsid w:val="00E46146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F30AD"/>
    <w:rsid w:val="00EF7375"/>
    <w:rsid w:val="00F26EF6"/>
    <w:rsid w:val="00F328B4"/>
    <w:rsid w:val="00F32C61"/>
    <w:rsid w:val="00F35292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B312D"/>
    <w:rsid w:val="00FB4F37"/>
    <w:rsid w:val="00FB5291"/>
    <w:rsid w:val="00FB7A73"/>
    <w:rsid w:val="00FC6870"/>
    <w:rsid w:val="00FD2CA6"/>
    <w:rsid w:val="00FD70EF"/>
    <w:rsid w:val="00FE692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uiPriority w:val="99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customStyle="1" w:styleId="Section1">
    <w:name w:val="Section 1"/>
    <w:basedOn w:val="Normal"/>
    <w:rsid w:val="008B4CC9"/>
    <w:pPr>
      <w:tabs>
        <w:tab w:val="clear" w:pos="794"/>
        <w:tab w:val="clear" w:pos="1191"/>
        <w:tab w:val="clear" w:pos="1588"/>
        <w:tab w:val="clear" w:pos="1985"/>
        <w:tab w:val="left" w:pos="1871"/>
        <w:tab w:val="center" w:pos="4820"/>
      </w:tabs>
      <w:spacing w:before="360"/>
      <w:jc w:val="center"/>
    </w:pPr>
    <w:rPr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801F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F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FDC"/>
    <w:rPr>
      <w:rFonts w:asciiTheme="minorHAnsi" w:hAnsiTheme="minorHAns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FDC"/>
    <w:rPr>
      <w:rFonts w:asciiTheme="minorHAnsi" w:hAnsiTheme="minorHAnsi"/>
      <w:b/>
      <w:bCs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801F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FDC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sg@atu-u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0c7bd7c-e4ad-43c2-80f7-d4b8ae20082c" targetNamespace="http://schemas.microsoft.com/office/2006/metadata/properties" ma:root="true" ma:fieldsID="d41af5c836d734370eb92e7ee5f83852" ns2:_="" ns3:_="">
    <xsd:import namespace="996b2e75-67fd-4955-a3b0-5ab9934cb50b"/>
    <xsd:import namespace="30c7bd7c-e4ad-43c2-80f7-d4b8ae20082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bd7c-e4ad-43c2-80f7-d4b8ae20082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0c7bd7c-e4ad-43c2-80f7-d4b8ae20082c">DPM</DPM_x0020_Author>
    <DPM_x0020_File_x0020_name xmlns="30c7bd7c-e4ad-43c2-80f7-d4b8ae20082c">D14-WTDC17-C-0019!A3!MSW-F</DPM_x0020_File_x0020_name>
    <DPM_x0020_Version xmlns="30c7bd7c-e4ad-43c2-80f7-d4b8ae20082c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0c7bd7c-e4ad-43c2-80f7-d4b8ae200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0c7bd7c-e4ad-43c2-80f7-d4b8ae20082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53D3AC-5D09-4314-93A7-2FE8658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D14-WTDC17-C-0019!A3!MSW-F</vt:lpstr>
    </vt:vector>
  </TitlesOfParts>
  <Manager>General Secretariat - Pool</Manager>
  <Company>International Telecommunication Union (ITU)</Company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D14-WTDC17-C-0019!A3!MSW-F</dc:title>
  <dc:creator>Documents Proposals Manager (DPM)</dc:creator>
  <cp:keywords>DPM_v2017.8.29.1_prod</cp:keywords>
  <dc:description/>
  <cp:lastModifiedBy>Alidra, Patricia</cp:lastModifiedBy>
  <cp:revision>6</cp:revision>
  <cp:lastPrinted>2017-09-11T07:43:00Z</cp:lastPrinted>
  <dcterms:created xsi:type="dcterms:W3CDTF">2017-09-11T07:17:00Z</dcterms:created>
  <dcterms:modified xsi:type="dcterms:W3CDTF">2017-09-11T08:16:00Z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WTDC14/-F</vt:lpwstr>
  </property>
  <property fmtid="{D5CDD505-2E9C-101B-9397-08002B2CF9AE}" pid="3" name="Docdate">
    <vt:lpwstr>10 mars 2017</vt:lpwstr>
  </property>
  <property fmtid="{D5CDD505-2E9C-101B-9397-08002B2CF9AE}" pid="4" name="Docorlang">
    <vt:lpwstr>Original: anglais</vt:lpwstr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