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4A0" w:firstRow="1" w:lastRow="0" w:firstColumn="1" w:lastColumn="0" w:noHBand="0" w:noVBand="1"/>
      </w:tblPr>
      <w:tblGrid>
        <w:gridCol w:w="1560"/>
        <w:gridCol w:w="5244"/>
        <w:gridCol w:w="993"/>
        <w:gridCol w:w="2234"/>
      </w:tblGrid>
      <w:tr w:rsidR="00B1592E" w14:paraId="38B148BF" w14:textId="77777777">
        <w:trPr>
          <w:cantSplit/>
        </w:trPr>
        <w:tc>
          <w:tcPr>
            <w:tcW w:w="1560" w:type="dxa"/>
            <w:vAlign w:val="center"/>
          </w:tcPr>
          <w:p w14:paraId="560483A2" w14:textId="77777777" w:rsidR="00B1592E" w:rsidRDefault="00897AEF">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110E412F" wp14:editId="6AE763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063AC628" w14:textId="77777777" w:rsidR="00B1592E" w:rsidRDefault="00897AEF">
            <w:pPr>
              <w:spacing w:before="400" w:after="48" w:line="240" w:lineRule="atLeast"/>
              <w:rPr>
                <w:rFonts w:ascii="Verdana" w:hAnsi="Verdana"/>
                <w:b/>
                <w:bCs/>
                <w:position w:val="6"/>
                <w:lang w:eastAsia="zh-CN"/>
              </w:rPr>
            </w:pPr>
            <w:bookmarkStart w:id="1" w:name="dtemplate"/>
            <w:bookmarkEnd w:id="1"/>
            <w:r>
              <w:rPr>
                <w:rFonts w:ascii="SimSun" w:hAnsi="SimSun" w:hint="eastAsia"/>
                <w:b/>
                <w:bCs/>
                <w:sz w:val="26"/>
                <w:szCs w:val="26"/>
                <w:lang w:eastAsia="zh-CN"/>
              </w:rPr>
              <w:t>世界无线电通信大会</w:t>
            </w:r>
            <w:r>
              <w:rPr>
                <w:rFonts w:ascii="Verdana" w:hAnsi="SimSun"/>
                <w:b/>
                <w:bCs/>
                <w:sz w:val="26"/>
                <w:szCs w:val="26"/>
                <w:lang w:eastAsia="zh-CN"/>
              </w:rPr>
              <w:t>（</w:t>
            </w:r>
            <w:r>
              <w:rPr>
                <w:rFonts w:ascii="Verdana" w:hAnsi="Verdana" w:cs="Arial"/>
                <w:b/>
                <w:bCs/>
                <w:sz w:val="26"/>
                <w:szCs w:val="26"/>
                <w:lang w:eastAsia="zh-CN"/>
              </w:rPr>
              <w:t>WRC-23</w:t>
            </w:r>
            <w:r>
              <w:rPr>
                <w:rFonts w:ascii="Verdana" w:hAnsi="SimSun"/>
                <w:b/>
                <w:bCs/>
                <w:sz w:val="26"/>
                <w:szCs w:val="26"/>
                <w:lang w:eastAsia="zh-CN"/>
              </w:rPr>
              <w:t>）</w:t>
            </w:r>
            <w:r>
              <w:rPr>
                <w:rFonts w:ascii="Verdana" w:hAnsi="Verdana" w:cs="Times"/>
                <w:b/>
                <w:bCs/>
                <w:position w:val="6"/>
                <w:sz w:val="26"/>
                <w:szCs w:val="26"/>
                <w:lang w:eastAsia="zh-CN"/>
              </w:rPr>
              <w:br/>
            </w:r>
            <w:r>
              <w:rPr>
                <w:rFonts w:ascii="Verdana" w:hAnsi="Verdana" w:cs="Arial"/>
                <w:b/>
                <w:bCs/>
                <w:sz w:val="20"/>
                <w:lang w:eastAsia="zh-CN"/>
              </w:rPr>
              <w:t>2023</w:t>
            </w:r>
            <w:r>
              <w:rPr>
                <w:rFonts w:ascii="SimSun" w:hAnsi="SimSun" w:hint="eastAsia"/>
                <w:b/>
                <w:bCs/>
                <w:sz w:val="20"/>
                <w:szCs w:val="16"/>
                <w:lang w:eastAsia="zh-CN"/>
              </w:rPr>
              <w:t>年</w:t>
            </w:r>
            <w:r>
              <w:rPr>
                <w:rFonts w:ascii="Verdana" w:hAnsi="Verdana" w:cs="Arial"/>
                <w:b/>
                <w:bCs/>
                <w:sz w:val="20"/>
                <w:lang w:eastAsia="zh-CN"/>
              </w:rPr>
              <w:t>11</w:t>
            </w:r>
            <w:r>
              <w:rPr>
                <w:rFonts w:ascii="SimSun" w:hAnsi="SimSun" w:hint="eastAsia"/>
                <w:b/>
                <w:bCs/>
                <w:sz w:val="20"/>
                <w:szCs w:val="16"/>
                <w:lang w:eastAsia="zh-CN"/>
              </w:rPr>
              <w:t>月</w:t>
            </w:r>
            <w:r>
              <w:rPr>
                <w:rFonts w:ascii="Verdana" w:hAnsi="Verdana" w:cs="Arial"/>
                <w:b/>
                <w:bCs/>
                <w:sz w:val="20"/>
                <w:lang w:eastAsia="zh-CN"/>
              </w:rPr>
              <w:t>20</w:t>
            </w:r>
            <w:r>
              <w:rPr>
                <w:rFonts w:ascii="SimSun" w:hAnsi="SimSun" w:hint="eastAsia"/>
                <w:b/>
                <w:bCs/>
                <w:sz w:val="20"/>
                <w:szCs w:val="16"/>
                <w:lang w:eastAsia="zh-CN"/>
              </w:rPr>
              <w:t>日</w:t>
            </w:r>
            <w:r>
              <w:rPr>
                <w:rFonts w:ascii="Verdana" w:hAnsi="Verdana"/>
                <w:b/>
                <w:bCs/>
                <w:sz w:val="20"/>
                <w:lang w:eastAsia="zh-CN"/>
              </w:rPr>
              <w:t>-</w:t>
            </w:r>
            <w:r>
              <w:rPr>
                <w:rFonts w:ascii="Verdana" w:hAnsi="Verdana" w:cs="Arial"/>
                <w:b/>
                <w:bCs/>
                <w:sz w:val="20"/>
                <w:lang w:eastAsia="zh-CN"/>
              </w:rPr>
              <w:t>12</w:t>
            </w:r>
            <w:r>
              <w:rPr>
                <w:rFonts w:ascii="SimSun" w:hAnsi="SimSun" w:hint="eastAsia"/>
                <w:b/>
                <w:bCs/>
                <w:sz w:val="20"/>
                <w:szCs w:val="16"/>
                <w:lang w:eastAsia="zh-CN"/>
              </w:rPr>
              <w:t>月</w:t>
            </w:r>
            <w:r>
              <w:rPr>
                <w:rFonts w:ascii="Verdana" w:hAnsi="Verdana" w:cs="Arial"/>
                <w:b/>
                <w:bCs/>
                <w:sz w:val="20"/>
                <w:lang w:eastAsia="zh-CN"/>
              </w:rPr>
              <w:t>15</w:t>
            </w:r>
            <w:r>
              <w:rPr>
                <w:rFonts w:ascii="SimSun" w:hAnsi="SimSun" w:hint="eastAsia"/>
                <w:b/>
                <w:bCs/>
                <w:sz w:val="20"/>
                <w:szCs w:val="16"/>
                <w:lang w:eastAsia="zh-CN"/>
              </w:rPr>
              <w:t>日</w:t>
            </w:r>
            <w:r>
              <w:rPr>
                <w:rFonts w:ascii="SimSun" w:hAnsi="SimSun"/>
                <w:b/>
                <w:bCs/>
                <w:sz w:val="20"/>
                <w:szCs w:val="16"/>
                <w:lang w:eastAsia="zh-CN"/>
              </w:rPr>
              <w:t>，</w:t>
            </w:r>
            <w:r>
              <w:rPr>
                <w:rFonts w:ascii="SimSun" w:hAnsi="SimSun" w:hint="eastAsia"/>
                <w:b/>
                <w:bCs/>
                <w:sz w:val="20"/>
                <w:szCs w:val="16"/>
                <w:lang w:eastAsia="zh-CN"/>
              </w:rPr>
              <w:t>迪拜</w:t>
            </w:r>
          </w:p>
        </w:tc>
        <w:tc>
          <w:tcPr>
            <w:tcW w:w="2234" w:type="dxa"/>
            <w:vAlign w:val="center"/>
          </w:tcPr>
          <w:p w14:paraId="17D09A04" w14:textId="77777777" w:rsidR="00B1592E" w:rsidRDefault="00897AEF">
            <w:pPr>
              <w:spacing w:before="0" w:line="240" w:lineRule="atLeast"/>
              <w:rPr>
                <w:rFonts w:ascii="Verdana" w:hAnsi="Verdana"/>
                <w:sz w:val="20"/>
              </w:rPr>
            </w:pPr>
            <w:bookmarkStart w:id="2" w:name="ditulogo"/>
            <w:bookmarkEnd w:id="2"/>
            <w:r>
              <w:rPr>
                <w:noProof/>
              </w:rPr>
              <w:drawing>
                <wp:inline distT="0" distB="0" distL="0" distR="0" wp14:anchorId="49EC33AB" wp14:editId="0587078F">
                  <wp:extent cx="1033145" cy="103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40864" cy="1040864"/>
                          </a:xfrm>
                          <a:prstGeom prst="rect">
                            <a:avLst/>
                          </a:prstGeom>
                          <a:noFill/>
                          <a:ln>
                            <a:noFill/>
                          </a:ln>
                        </pic:spPr>
                      </pic:pic>
                    </a:graphicData>
                  </a:graphic>
                </wp:inline>
              </w:drawing>
            </w:r>
          </w:p>
        </w:tc>
      </w:tr>
      <w:tr w:rsidR="00B1592E" w14:paraId="210470D0" w14:textId="77777777">
        <w:trPr>
          <w:cantSplit/>
        </w:trPr>
        <w:tc>
          <w:tcPr>
            <w:tcW w:w="6804" w:type="dxa"/>
            <w:gridSpan w:val="2"/>
            <w:tcBorders>
              <w:bottom w:val="single" w:sz="12" w:space="0" w:color="auto"/>
            </w:tcBorders>
          </w:tcPr>
          <w:p w14:paraId="04409132" w14:textId="77777777" w:rsidR="00B1592E" w:rsidRDefault="00B1592E">
            <w:pPr>
              <w:spacing w:after="48" w:line="240" w:lineRule="atLeast"/>
              <w:rPr>
                <w:b/>
                <w:smallCaps/>
                <w:szCs w:val="24"/>
              </w:rPr>
            </w:pPr>
            <w:bookmarkStart w:id="3" w:name="dhead"/>
          </w:p>
        </w:tc>
        <w:tc>
          <w:tcPr>
            <w:tcW w:w="3227" w:type="dxa"/>
            <w:gridSpan w:val="2"/>
            <w:tcBorders>
              <w:bottom w:val="single" w:sz="12" w:space="0" w:color="auto"/>
            </w:tcBorders>
          </w:tcPr>
          <w:p w14:paraId="3C0EDB6B" w14:textId="77777777" w:rsidR="00B1592E" w:rsidRDefault="00B1592E">
            <w:pPr>
              <w:spacing w:before="0" w:line="240" w:lineRule="atLeast"/>
              <w:rPr>
                <w:rFonts w:ascii="Verdana" w:hAnsi="Verdana"/>
                <w:sz w:val="20"/>
                <w:szCs w:val="24"/>
              </w:rPr>
            </w:pPr>
          </w:p>
        </w:tc>
      </w:tr>
      <w:tr w:rsidR="00B1592E" w14:paraId="0D87E1BA" w14:textId="77777777">
        <w:trPr>
          <w:cantSplit/>
        </w:trPr>
        <w:tc>
          <w:tcPr>
            <w:tcW w:w="6804" w:type="dxa"/>
            <w:gridSpan w:val="2"/>
            <w:tcBorders>
              <w:top w:val="single" w:sz="12" w:space="0" w:color="auto"/>
            </w:tcBorders>
          </w:tcPr>
          <w:p w14:paraId="4268A657" w14:textId="77777777" w:rsidR="00B1592E" w:rsidRDefault="00B1592E">
            <w:pPr>
              <w:spacing w:line="240" w:lineRule="atLeast"/>
              <w:rPr>
                <w:rFonts w:ascii="Verdana" w:hAnsi="Verdana"/>
                <w:b/>
                <w:bCs/>
                <w:sz w:val="20"/>
              </w:rPr>
            </w:pPr>
          </w:p>
        </w:tc>
        <w:tc>
          <w:tcPr>
            <w:tcW w:w="3227" w:type="dxa"/>
            <w:gridSpan w:val="2"/>
            <w:tcBorders>
              <w:top w:val="single" w:sz="12" w:space="0" w:color="auto"/>
            </w:tcBorders>
          </w:tcPr>
          <w:p w14:paraId="43C23C16" w14:textId="77777777" w:rsidR="00B1592E" w:rsidRDefault="00B1592E">
            <w:pPr>
              <w:spacing w:line="240" w:lineRule="atLeast"/>
              <w:rPr>
                <w:rFonts w:ascii="Verdana" w:hAnsi="Verdana"/>
                <w:b/>
                <w:bCs/>
                <w:sz w:val="20"/>
              </w:rPr>
            </w:pPr>
          </w:p>
        </w:tc>
      </w:tr>
      <w:tr w:rsidR="00B1592E" w14:paraId="583B012A" w14:textId="77777777">
        <w:trPr>
          <w:cantSplit/>
          <w:trHeight w:val="23"/>
        </w:trPr>
        <w:tc>
          <w:tcPr>
            <w:tcW w:w="6804" w:type="dxa"/>
            <w:gridSpan w:val="2"/>
          </w:tcPr>
          <w:p w14:paraId="30EB45DB" w14:textId="77777777" w:rsidR="00B1592E" w:rsidRDefault="00897AEF">
            <w:pPr>
              <w:spacing w:before="0"/>
              <w:rPr>
                <w:rFonts w:ascii="Verdana" w:hAnsi="Verdana"/>
                <w:b/>
                <w:sz w:val="20"/>
              </w:rPr>
            </w:pPr>
            <w:proofErr w:type="spellStart"/>
            <w:r>
              <w:rPr>
                <w:rFonts w:ascii="Verdana" w:hAnsi="Verdana"/>
                <w:b/>
                <w:sz w:val="20"/>
              </w:rPr>
              <w:t>全体会议</w:t>
            </w:r>
            <w:proofErr w:type="spellEnd"/>
          </w:p>
        </w:tc>
        <w:tc>
          <w:tcPr>
            <w:tcW w:w="3227" w:type="dxa"/>
            <w:gridSpan w:val="2"/>
          </w:tcPr>
          <w:p w14:paraId="4CE3BF9E" w14:textId="77777777" w:rsidR="00B1592E" w:rsidRDefault="00897AEF">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44 (Add.</w:t>
            </w:r>
            <w:proofErr w:type="gramStart"/>
            <w:r>
              <w:rPr>
                <w:rFonts w:ascii="Verdana" w:hAnsi="Verdana"/>
                <w:b/>
                <w:sz w:val="20"/>
              </w:rPr>
              <w:t>27)(</w:t>
            </w:r>
            <w:proofErr w:type="gramEnd"/>
            <w:r>
              <w:rPr>
                <w:rFonts w:ascii="Verdana" w:hAnsi="Verdana"/>
                <w:b/>
                <w:sz w:val="20"/>
              </w:rPr>
              <w:t>Add.3)-C</w:t>
            </w:r>
          </w:p>
        </w:tc>
      </w:tr>
      <w:bookmarkEnd w:id="0"/>
      <w:bookmarkEnd w:id="3"/>
      <w:tr w:rsidR="00B1592E" w14:paraId="73D254D6" w14:textId="77777777">
        <w:trPr>
          <w:cantSplit/>
          <w:trHeight w:val="23"/>
        </w:trPr>
        <w:tc>
          <w:tcPr>
            <w:tcW w:w="6804" w:type="dxa"/>
            <w:gridSpan w:val="2"/>
          </w:tcPr>
          <w:p w14:paraId="6AA89042" w14:textId="77777777" w:rsidR="00B1592E" w:rsidRDefault="00B1592E">
            <w:pPr>
              <w:spacing w:before="0"/>
              <w:rPr>
                <w:rFonts w:ascii="Verdana" w:hAnsi="Verdana"/>
                <w:b/>
                <w:smallCaps/>
                <w:sz w:val="20"/>
              </w:rPr>
            </w:pPr>
          </w:p>
        </w:tc>
        <w:tc>
          <w:tcPr>
            <w:tcW w:w="3227" w:type="dxa"/>
            <w:gridSpan w:val="2"/>
          </w:tcPr>
          <w:p w14:paraId="5FB3124F" w14:textId="77777777" w:rsidR="00B1592E" w:rsidRDefault="00897AEF">
            <w:pPr>
              <w:spacing w:before="0"/>
              <w:rPr>
                <w:rFonts w:ascii="Verdana" w:hAnsi="Verdana"/>
                <w:sz w:val="20"/>
              </w:rPr>
            </w:pPr>
            <w:r>
              <w:rPr>
                <w:rFonts w:ascii="Verdana" w:hAnsi="Verdana"/>
                <w:b/>
                <w:bCs/>
                <w:sz w:val="20"/>
              </w:rPr>
              <w:t>2023</w:t>
            </w:r>
            <w:r>
              <w:rPr>
                <w:rFonts w:ascii="Verdana" w:hAnsi="Verdana"/>
                <w:b/>
                <w:bCs/>
                <w:sz w:val="20"/>
              </w:rPr>
              <w:t>年</w:t>
            </w:r>
            <w:r>
              <w:rPr>
                <w:rFonts w:ascii="Verdana" w:hAnsi="Verdana"/>
                <w:b/>
                <w:bCs/>
                <w:sz w:val="20"/>
              </w:rPr>
              <w:t>10</w:t>
            </w:r>
            <w:r>
              <w:rPr>
                <w:rFonts w:ascii="Verdana" w:hAnsi="Verdana"/>
                <w:b/>
                <w:bCs/>
                <w:sz w:val="20"/>
              </w:rPr>
              <w:t>月</w:t>
            </w:r>
            <w:r>
              <w:rPr>
                <w:rFonts w:ascii="Verdana" w:hAnsi="Verdana"/>
                <w:b/>
                <w:bCs/>
                <w:sz w:val="20"/>
              </w:rPr>
              <w:t>13</w:t>
            </w:r>
            <w:r>
              <w:rPr>
                <w:rFonts w:ascii="Verdana" w:hAnsi="Verdana"/>
                <w:b/>
                <w:bCs/>
                <w:sz w:val="20"/>
              </w:rPr>
              <w:t>日</w:t>
            </w:r>
          </w:p>
        </w:tc>
      </w:tr>
      <w:tr w:rsidR="00B1592E" w14:paraId="14670757" w14:textId="77777777">
        <w:trPr>
          <w:cantSplit/>
          <w:trHeight w:val="23"/>
        </w:trPr>
        <w:tc>
          <w:tcPr>
            <w:tcW w:w="6804" w:type="dxa"/>
            <w:gridSpan w:val="2"/>
          </w:tcPr>
          <w:p w14:paraId="670D8469" w14:textId="77777777" w:rsidR="00B1592E" w:rsidRDefault="00B1592E">
            <w:pPr>
              <w:spacing w:before="0"/>
              <w:rPr>
                <w:rFonts w:ascii="Verdana" w:hAnsi="Verdana"/>
                <w:b/>
                <w:bCs/>
                <w:sz w:val="20"/>
              </w:rPr>
            </w:pPr>
          </w:p>
        </w:tc>
        <w:tc>
          <w:tcPr>
            <w:tcW w:w="3227" w:type="dxa"/>
            <w:gridSpan w:val="2"/>
          </w:tcPr>
          <w:p w14:paraId="0C9D94ED" w14:textId="77777777" w:rsidR="00B1592E" w:rsidRDefault="00897AEF">
            <w:pPr>
              <w:spacing w:before="0"/>
              <w:rPr>
                <w:rFonts w:ascii="Verdana" w:hAnsi="Verdana"/>
                <w:sz w:val="20"/>
              </w:rPr>
            </w:pPr>
            <w:proofErr w:type="spellStart"/>
            <w:r>
              <w:rPr>
                <w:rFonts w:ascii="Verdana" w:hAnsi="Verdana"/>
                <w:b/>
                <w:bCs/>
                <w:sz w:val="20"/>
              </w:rPr>
              <w:t>原文：英文</w:t>
            </w:r>
            <w:proofErr w:type="spellEnd"/>
          </w:p>
        </w:tc>
      </w:tr>
      <w:tr w:rsidR="00B1592E" w14:paraId="15478B21" w14:textId="77777777">
        <w:trPr>
          <w:cantSplit/>
          <w:trHeight w:val="23"/>
        </w:trPr>
        <w:tc>
          <w:tcPr>
            <w:tcW w:w="10031" w:type="dxa"/>
            <w:gridSpan w:val="4"/>
          </w:tcPr>
          <w:p w14:paraId="4F9153C5" w14:textId="77777777" w:rsidR="00B1592E" w:rsidRDefault="00B1592E">
            <w:pPr>
              <w:spacing w:before="0" w:line="240" w:lineRule="atLeast"/>
              <w:rPr>
                <w:rFonts w:ascii="Verdana" w:hAnsi="Verdana"/>
                <w:b/>
                <w:bCs/>
                <w:sz w:val="20"/>
              </w:rPr>
            </w:pPr>
          </w:p>
        </w:tc>
      </w:tr>
      <w:tr w:rsidR="00B1592E" w14:paraId="4C23EBA4" w14:textId="77777777">
        <w:trPr>
          <w:cantSplit/>
        </w:trPr>
        <w:tc>
          <w:tcPr>
            <w:tcW w:w="10031" w:type="dxa"/>
            <w:gridSpan w:val="4"/>
          </w:tcPr>
          <w:p w14:paraId="74B12D4D" w14:textId="77777777" w:rsidR="00B1592E" w:rsidRDefault="00897AEF">
            <w:pPr>
              <w:pStyle w:val="Source"/>
              <w:rPr>
                <w:lang w:eastAsia="zh-CN"/>
              </w:rPr>
            </w:pPr>
            <w:bookmarkStart w:id="4" w:name="dsource" w:colFirst="0" w:colLast="0"/>
            <w:r>
              <w:rPr>
                <w:lang w:eastAsia="zh-CN"/>
              </w:rPr>
              <w:t>美洲国家电信委员会（</w:t>
            </w:r>
            <w:r>
              <w:rPr>
                <w:lang w:eastAsia="zh-CN"/>
              </w:rPr>
              <w:t>CITEL</w:t>
            </w:r>
            <w:r>
              <w:rPr>
                <w:lang w:eastAsia="zh-CN"/>
              </w:rPr>
              <w:t>）成员国</w:t>
            </w:r>
          </w:p>
        </w:tc>
      </w:tr>
      <w:tr w:rsidR="00B1592E" w14:paraId="2961E1DA" w14:textId="77777777">
        <w:trPr>
          <w:cantSplit/>
        </w:trPr>
        <w:tc>
          <w:tcPr>
            <w:tcW w:w="10031" w:type="dxa"/>
            <w:gridSpan w:val="4"/>
          </w:tcPr>
          <w:p w14:paraId="1913D869" w14:textId="77777777" w:rsidR="00B1592E" w:rsidRDefault="00897AEF">
            <w:pPr>
              <w:pStyle w:val="Title1"/>
            </w:pPr>
            <w:bookmarkStart w:id="5" w:name="dtitle1" w:colFirst="0" w:colLast="0"/>
            <w:bookmarkEnd w:id="4"/>
            <w:proofErr w:type="spellStart"/>
            <w:r>
              <w:rPr>
                <w:rFonts w:hint="eastAsia"/>
              </w:rPr>
              <w:t>有关大会工作的提案</w:t>
            </w:r>
            <w:proofErr w:type="spellEnd"/>
          </w:p>
        </w:tc>
      </w:tr>
      <w:tr w:rsidR="00B1592E" w14:paraId="5B26F222" w14:textId="77777777">
        <w:trPr>
          <w:cantSplit/>
        </w:trPr>
        <w:tc>
          <w:tcPr>
            <w:tcW w:w="10031" w:type="dxa"/>
            <w:gridSpan w:val="4"/>
          </w:tcPr>
          <w:p w14:paraId="2B223A65" w14:textId="77777777" w:rsidR="00B1592E" w:rsidRDefault="00B1592E">
            <w:pPr>
              <w:pStyle w:val="Title2"/>
            </w:pPr>
            <w:bookmarkStart w:id="6" w:name="dtitle2" w:colFirst="0" w:colLast="0"/>
            <w:bookmarkEnd w:id="5"/>
          </w:p>
        </w:tc>
      </w:tr>
      <w:tr w:rsidR="00B1592E" w14:paraId="7A729917" w14:textId="77777777">
        <w:trPr>
          <w:cantSplit/>
        </w:trPr>
        <w:tc>
          <w:tcPr>
            <w:tcW w:w="10031" w:type="dxa"/>
            <w:gridSpan w:val="4"/>
          </w:tcPr>
          <w:p w14:paraId="0023DA19" w14:textId="77777777" w:rsidR="00B1592E" w:rsidRDefault="00897AEF">
            <w:pPr>
              <w:pStyle w:val="Agendaitem"/>
            </w:pPr>
            <w:bookmarkStart w:id="7" w:name="dtitle3" w:colFirst="0" w:colLast="0"/>
            <w:bookmarkEnd w:id="6"/>
            <w:r>
              <w:t>议项</w:t>
            </w:r>
            <w:r>
              <w:t>10</w:t>
            </w:r>
          </w:p>
        </w:tc>
      </w:tr>
    </w:tbl>
    <w:bookmarkEnd w:id="7"/>
    <w:p w14:paraId="19680769" w14:textId="77777777" w:rsidR="00B1592E" w:rsidRDefault="00897AEF">
      <w:pPr>
        <w:rPr>
          <w:lang w:eastAsia="zh-CN"/>
        </w:rPr>
      </w:pPr>
      <w:r>
        <w:rPr>
          <w:rFonts w:hint="eastAsia"/>
          <w:lang w:eastAsia="zh-CN"/>
        </w:rPr>
        <w:t>10</w:t>
      </w:r>
      <w:r>
        <w:rPr>
          <w:lang w:eastAsia="zh-CN"/>
        </w:rPr>
        <w:tab/>
      </w:r>
      <w:r>
        <w:rPr>
          <w:rFonts w:hint="eastAsia"/>
          <w:lang w:eastAsia="zh-CN"/>
        </w:rPr>
        <w:t>根据国际电联《公约》第</w:t>
      </w:r>
      <w:r>
        <w:rPr>
          <w:rFonts w:hint="eastAsia"/>
          <w:lang w:eastAsia="zh-CN"/>
        </w:rPr>
        <w:t>7</w:t>
      </w:r>
      <w:r>
        <w:rPr>
          <w:rFonts w:hint="eastAsia"/>
          <w:lang w:eastAsia="zh-CN"/>
        </w:rPr>
        <w:t>条和第</w:t>
      </w:r>
      <w:r>
        <w:rPr>
          <w:b/>
          <w:bCs/>
          <w:iCs/>
          <w:lang w:eastAsia="zh-CN"/>
        </w:rPr>
        <w:t>804</w:t>
      </w:r>
      <w:r>
        <w:rPr>
          <w:rFonts w:hint="eastAsia"/>
          <w:lang w:eastAsia="zh-CN"/>
        </w:rPr>
        <w:t>号决议</w:t>
      </w:r>
      <w:r>
        <w:rPr>
          <w:rFonts w:hint="eastAsia"/>
          <w:b/>
          <w:bCs/>
          <w:lang w:eastAsia="zh-CN"/>
        </w:rPr>
        <w:t>（</w:t>
      </w:r>
      <w:r>
        <w:rPr>
          <w:b/>
          <w:lang w:eastAsia="zh-CN"/>
        </w:rPr>
        <w:t>WRC-19</w:t>
      </w:r>
      <w:r>
        <w:rPr>
          <w:b/>
          <w:lang w:eastAsia="zh-CN"/>
        </w:rPr>
        <w:t>，</w:t>
      </w:r>
      <w:r>
        <w:rPr>
          <w:rFonts w:hint="eastAsia"/>
          <w:b/>
          <w:bCs/>
          <w:lang w:eastAsia="zh-CN"/>
        </w:rPr>
        <w:t>修订版）</w:t>
      </w:r>
      <w:r>
        <w:rPr>
          <w:rFonts w:hint="eastAsia"/>
          <w:lang w:eastAsia="zh-CN"/>
        </w:rPr>
        <w:t>，向国际电联理事会建议纳入下届世界无线电通信大会议程的议项以及未来大会初步议程的议项，</w:t>
      </w:r>
    </w:p>
    <w:p w14:paraId="46F11957" w14:textId="77777777" w:rsidR="00B1592E" w:rsidRDefault="00897AEF">
      <w:pPr>
        <w:pStyle w:val="Part1"/>
        <w:rPr>
          <w:lang w:eastAsia="zh-CN"/>
        </w:rPr>
      </w:pPr>
      <w:r>
        <w:rPr>
          <w:szCs w:val="24"/>
          <w:lang w:eastAsia="zh-CN"/>
        </w:rPr>
        <w:t>第</w:t>
      </w:r>
      <w:r>
        <w:rPr>
          <w:rFonts w:hint="eastAsia"/>
          <w:szCs w:val="24"/>
          <w:lang w:val="en-US" w:eastAsia="zh-CN"/>
        </w:rPr>
        <w:t>3</w:t>
      </w:r>
      <w:r>
        <w:rPr>
          <w:szCs w:val="24"/>
          <w:lang w:eastAsia="zh-CN"/>
        </w:rPr>
        <w:t>部分</w:t>
      </w:r>
    </w:p>
    <w:p w14:paraId="2A660269" w14:textId="77777777" w:rsidR="00B1592E" w:rsidRDefault="00897AEF">
      <w:pPr>
        <w:pStyle w:val="Headingb"/>
        <w:rPr>
          <w:b w:val="0"/>
          <w:lang w:eastAsia="zh-CN"/>
        </w:rPr>
      </w:pPr>
      <w:r>
        <w:rPr>
          <w:rFonts w:ascii="Times New Roman" w:hAnsi="Times New Roman"/>
          <w:szCs w:val="24"/>
          <w:lang w:eastAsia="zh-CN"/>
        </w:rPr>
        <w:t>背景</w:t>
      </w:r>
    </w:p>
    <w:p w14:paraId="26774DE3" w14:textId="77777777" w:rsidR="00B1592E" w:rsidRDefault="00897AEF" w:rsidP="00DE2FA8">
      <w:pPr>
        <w:ind w:firstLineChars="200" w:firstLine="480"/>
        <w:jc w:val="both"/>
        <w:rPr>
          <w:lang w:eastAsia="zh-CN"/>
        </w:rPr>
      </w:pPr>
      <w:r>
        <w:rPr>
          <w:szCs w:val="24"/>
          <w:lang w:eastAsia="zh-CN"/>
        </w:rPr>
        <w:t>《</w:t>
      </w:r>
      <w:r>
        <w:rPr>
          <w:rFonts w:hint="eastAsia"/>
          <w:szCs w:val="24"/>
          <w:lang w:eastAsia="zh-CN"/>
        </w:rPr>
        <w:t>阿尔忒弥斯（</w:t>
      </w:r>
      <w:r>
        <w:rPr>
          <w:rFonts w:hint="eastAsia"/>
          <w:szCs w:val="24"/>
          <w:lang w:eastAsia="zh-CN"/>
        </w:rPr>
        <w:t>Artemis</w:t>
      </w:r>
      <w:r>
        <w:rPr>
          <w:rFonts w:hint="eastAsia"/>
          <w:szCs w:val="24"/>
          <w:lang w:eastAsia="zh-CN"/>
        </w:rPr>
        <w:t>）</w:t>
      </w:r>
      <w:r>
        <w:rPr>
          <w:szCs w:val="24"/>
          <w:lang w:eastAsia="zh-CN"/>
        </w:rPr>
        <w:t>协定》</w:t>
      </w:r>
      <w:r>
        <w:rPr>
          <w:rStyle w:val="FootnoteReference"/>
        </w:rPr>
        <w:footnoteReference w:id="1"/>
      </w:r>
      <w:r>
        <w:rPr>
          <w:szCs w:val="24"/>
          <w:lang w:eastAsia="zh-CN"/>
        </w:rPr>
        <w:t>提出了</w:t>
      </w:r>
      <w:r>
        <w:rPr>
          <w:szCs w:val="24"/>
          <w:lang w:eastAsia="zh-CN"/>
        </w:rPr>
        <w:t>1967</w:t>
      </w:r>
      <w:r>
        <w:rPr>
          <w:szCs w:val="24"/>
          <w:lang w:eastAsia="zh-CN"/>
        </w:rPr>
        <w:t>年《外层空间条约》确立的原则的共同愿景，即合作为和平目的民用探索和利用月球、火星、彗星和小行星。美国航天</w:t>
      </w:r>
      <w:r>
        <w:rPr>
          <w:rFonts w:hint="eastAsia"/>
          <w:szCs w:val="24"/>
          <w:lang w:val="en-US" w:eastAsia="zh-CN"/>
        </w:rPr>
        <w:t>机构</w:t>
      </w:r>
      <w:r>
        <w:rPr>
          <w:szCs w:val="24"/>
          <w:lang w:eastAsia="zh-CN"/>
        </w:rPr>
        <w:t>美国国家航空航天局</w:t>
      </w:r>
      <w:r>
        <w:rPr>
          <w:rFonts w:hint="eastAsia"/>
          <w:szCs w:val="24"/>
          <w:lang w:eastAsia="zh-CN"/>
        </w:rPr>
        <w:t>（</w:t>
      </w:r>
      <w:r>
        <w:rPr>
          <w:lang w:eastAsia="zh-CN"/>
        </w:rPr>
        <w:t>NASA</w:t>
      </w:r>
      <w:r>
        <w:rPr>
          <w:rFonts w:hint="eastAsia"/>
          <w:szCs w:val="24"/>
          <w:lang w:eastAsia="zh-CN"/>
        </w:rPr>
        <w:t>）</w:t>
      </w:r>
      <w:r>
        <w:rPr>
          <w:szCs w:val="24"/>
          <w:lang w:eastAsia="zh-CN"/>
        </w:rPr>
        <w:t>和国际电联其他成员国的航天</w:t>
      </w:r>
      <w:r>
        <w:rPr>
          <w:rFonts w:hint="eastAsia"/>
          <w:szCs w:val="24"/>
          <w:lang w:val="en-US" w:eastAsia="zh-CN"/>
        </w:rPr>
        <w:t>机构</w:t>
      </w:r>
      <w:r>
        <w:rPr>
          <w:szCs w:val="24"/>
          <w:lang w:eastAsia="zh-CN"/>
        </w:rPr>
        <w:t>正在为人类和机器人探险者重返月球做准备，同时与商业</w:t>
      </w:r>
      <w:r>
        <w:rPr>
          <w:rFonts w:hint="eastAsia"/>
          <w:szCs w:val="24"/>
          <w:lang w:eastAsia="zh-CN"/>
        </w:rPr>
        <w:t>空间行业</w:t>
      </w:r>
      <w:r>
        <w:rPr>
          <w:rFonts w:hint="eastAsia"/>
          <w:szCs w:val="24"/>
          <w:lang w:val="en-US" w:eastAsia="zh-CN"/>
        </w:rPr>
        <w:t>协作</w:t>
      </w:r>
      <w:r>
        <w:rPr>
          <w:szCs w:val="24"/>
          <w:lang w:eastAsia="zh-CN"/>
        </w:rPr>
        <w:t>，开发航天器、</w:t>
      </w:r>
      <w:r>
        <w:rPr>
          <w:rFonts w:hint="eastAsia"/>
          <w:szCs w:val="24"/>
          <w:lang w:val="en-US" w:eastAsia="zh-CN"/>
        </w:rPr>
        <w:t>表面飞行器</w:t>
      </w:r>
      <w:r>
        <w:rPr>
          <w:szCs w:val="24"/>
          <w:lang w:eastAsia="zh-CN"/>
        </w:rPr>
        <w:t>和探索任务计划，以</w:t>
      </w:r>
      <w:r>
        <w:rPr>
          <w:rFonts w:hint="eastAsia"/>
          <w:szCs w:val="24"/>
          <w:lang w:val="en-US" w:eastAsia="zh-CN"/>
        </w:rPr>
        <w:t>在</w:t>
      </w:r>
      <w:r>
        <w:rPr>
          <w:szCs w:val="24"/>
          <w:lang w:eastAsia="zh-CN"/>
        </w:rPr>
        <w:t>未来十年</w:t>
      </w:r>
      <w:r>
        <w:rPr>
          <w:rFonts w:hint="eastAsia"/>
          <w:szCs w:val="24"/>
          <w:lang w:val="en-US" w:eastAsia="zh-CN"/>
        </w:rPr>
        <w:t>内实现</w:t>
      </w:r>
      <w:r>
        <w:rPr>
          <w:szCs w:val="24"/>
          <w:lang w:eastAsia="zh-CN"/>
        </w:rPr>
        <w:t>可持续和</w:t>
      </w:r>
      <w:r>
        <w:rPr>
          <w:rFonts w:hint="eastAsia"/>
          <w:szCs w:val="24"/>
          <w:lang w:val="en-US" w:eastAsia="zh-CN"/>
        </w:rPr>
        <w:t>强大的登月行动</w:t>
      </w:r>
      <w:r>
        <w:rPr>
          <w:szCs w:val="24"/>
          <w:lang w:eastAsia="zh-CN"/>
        </w:rPr>
        <w:t>。</w:t>
      </w:r>
    </w:p>
    <w:p w14:paraId="49F3CBD7" w14:textId="77777777" w:rsidR="00B1592E" w:rsidRDefault="00897AEF" w:rsidP="00DE2FA8">
      <w:pPr>
        <w:ind w:firstLineChars="200" w:firstLine="480"/>
        <w:jc w:val="both"/>
        <w:rPr>
          <w:lang w:eastAsia="zh-CN"/>
        </w:rPr>
      </w:pPr>
      <w:bookmarkStart w:id="8" w:name="_Hlk112683369"/>
      <w:r>
        <w:rPr>
          <w:szCs w:val="24"/>
          <w:lang w:eastAsia="zh-CN"/>
        </w:rPr>
        <w:t>除了传统的</w:t>
      </w:r>
      <w:r>
        <w:rPr>
          <w:rFonts w:hint="eastAsia"/>
          <w:szCs w:val="24"/>
          <w:lang w:eastAsia="zh-CN"/>
        </w:rPr>
        <w:t>空对地</w:t>
      </w:r>
      <w:r>
        <w:rPr>
          <w:szCs w:val="24"/>
          <w:lang w:eastAsia="zh-CN"/>
        </w:rPr>
        <w:t>和</w:t>
      </w:r>
      <w:r>
        <w:rPr>
          <w:rFonts w:hint="eastAsia"/>
          <w:szCs w:val="24"/>
          <w:lang w:eastAsia="zh-CN"/>
        </w:rPr>
        <w:t>地对空</w:t>
      </w:r>
      <w:r>
        <w:rPr>
          <w:szCs w:val="24"/>
          <w:lang w:eastAsia="zh-CN"/>
        </w:rPr>
        <w:t>通信</w:t>
      </w:r>
      <w:r>
        <w:rPr>
          <w:rFonts w:hint="eastAsia"/>
          <w:szCs w:val="24"/>
          <w:lang w:val="en-US" w:eastAsia="zh-CN"/>
        </w:rPr>
        <w:t>链路</w:t>
      </w:r>
      <w:r>
        <w:rPr>
          <w:szCs w:val="24"/>
          <w:lang w:eastAsia="zh-CN"/>
        </w:rPr>
        <w:t>之外，着陆器、漫游车、执行</w:t>
      </w:r>
      <w:r>
        <w:rPr>
          <w:rFonts w:hint="eastAsia"/>
          <w:szCs w:val="24"/>
          <w:lang w:val="en-US" w:eastAsia="zh-CN"/>
        </w:rPr>
        <w:t>出舱</w:t>
      </w:r>
      <w:r>
        <w:rPr>
          <w:szCs w:val="24"/>
          <w:lang w:eastAsia="zh-CN"/>
        </w:rPr>
        <w:t>任务和实验的舱外活动</w:t>
      </w:r>
      <w:r>
        <w:rPr>
          <w:rFonts w:hint="eastAsia"/>
          <w:szCs w:val="24"/>
          <w:lang w:eastAsia="zh-CN"/>
        </w:rPr>
        <w:t>（</w:t>
      </w:r>
      <w:r>
        <w:rPr>
          <w:rFonts w:hint="eastAsia"/>
          <w:szCs w:val="24"/>
          <w:lang w:val="en-US" w:eastAsia="zh-CN"/>
        </w:rPr>
        <w:t>EVA</w:t>
      </w:r>
      <w:r>
        <w:rPr>
          <w:rFonts w:hint="eastAsia"/>
          <w:szCs w:val="24"/>
          <w:lang w:eastAsia="zh-CN"/>
        </w:rPr>
        <w:t>）</w:t>
      </w:r>
      <w:r>
        <w:rPr>
          <w:szCs w:val="24"/>
          <w:lang w:eastAsia="zh-CN"/>
        </w:rPr>
        <w:t>宇航员之间的直接通信对于在月球环境中开展有效的科学活动和</w:t>
      </w:r>
      <w:r>
        <w:rPr>
          <w:rFonts w:hint="eastAsia"/>
          <w:szCs w:val="24"/>
          <w:lang w:val="en-US" w:eastAsia="zh-CN"/>
        </w:rPr>
        <w:t>关注航天</w:t>
      </w:r>
      <w:r>
        <w:rPr>
          <w:szCs w:val="24"/>
          <w:lang w:eastAsia="zh-CN"/>
        </w:rPr>
        <w:t>员的健康至关重要。对现有技术的初步调查表明，</w:t>
      </w:r>
      <w:r>
        <w:rPr>
          <w:rFonts w:hint="eastAsia"/>
          <w:szCs w:val="24"/>
          <w:lang w:val="en-US" w:eastAsia="zh-CN"/>
        </w:rPr>
        <w:t>基于</w:t>
      </w:r>
      <w:r>
        <w:rPr>
          <w:szCs w:val="24"/>
          <w:lang w:eastAsia="zh-CN"/>
        </w:rPr>
        <w:t>商业标准的网络</w:t>
      </w:r>
      <w:r>
        <w:rPr>
          <w:rFonts w:hint="eastAsia"/>
          <w:szCs w:val="24"/>
          <w:lang w:eastAsia="zh-CN"/>
        </w:rPr>
        <w:t>（</w:t>
      </w:r>
      <w:r>
        <w:rPr>
          <w:szCs w:val="24"/>
          <w:lang w:eastAsia="zh-CN"/>
        </w:rPr>
        <w:t>如由</w:t>
      </w:r>
      <w:r>
        <w:rPr>
          <w:szCs w:val="24"/>
          <w:lang w:eastAsia="zh-CN"/>
        </w:rPr>
        <w:t>3 GPP</w:t>
      </w:r>
      <w:r>
        <w:rPr>
          <w:szCs w:val="24"/>
          <w:lang w:eastAsia="zh-CN"/>
        </w:rPr>
        <w:t>公司开发的网络</w:t>
      </w:r>
      <w:r>
        <w:rPr>
          <w:rFonts w:hint="eastAsia"/>
          <w:szCs w:val="24"/>
          <w:lang w:eastAsia="zh-CN"/>
        </w:rPr>
        <w:t>）</w:t>
      </w:r>
      <w:r>
        <w:rPr>
          <w:szCs w:val="24"/>
          <w:lang w:eastAsia="zh-CN"/>
        </w:rPr>
        <w:t>能够为参考飞行任务的</w:t>
      </w:r>
      <w:r>
        <w:rPr>
          <w:rFonts w:hint="eastAsia"/>
          <w:szCs w:val="24"/>
          <w:lang w:val="en-US" w:eastAsia="zh-CN"/>
        </w:rPr>
        <w:t>操作</w:t>
      </w:r>
      <w:r>
        <w:rPr>
          <w:szCs w:val="24"/>
          <w:lang w:eastAsia="zh-CN"/>
        </w:rPr>
        <w:t>概念提供服务，这一概念涉及大面积地区的许多用户群体，对数据吞吐量有很高的要求。</w:t>
      </w:r>
      <w:r>
        <w:rPr>
          <w:rFonts w:hint="eastAsia"/>
          <w:szCs w:val="24"/>
          <w:lang w:eastAsia="zh-CN"/>
        </w:rPr>
        <w:t>不过，</w:t>
      </w:r>
      <w:r>
        <w:rPr>
          <w:szCs w:val="24"/>
          <w:lang w:eastAsia="zh-CN"/>
        </w:rPr>
        <w:t>考虑到月球表面的独特拓扑、月球</w:t>
      </w:r>
      <w:proofErr w:type="gramStart"/>
      <w:r>
        <w:rPr>
          <w:szCs w:val="24"/>
          <w:lang w:eastAsia="zh-CN"/>
        </w:rPr>
        <w:t>屏蔽区</w:t>
      </w:r>
      <w:proofErr w:type="gramEnd"/>
      <w:r>
        <w:rPr>
          <w:szCs w:val="24"/>
          <w:lang w:eastAsia="zh-CN"/>
        </w:rPr>
        <w:t>的</w:t>
      </w:r>
      <w:r>
        <w:rPr>
          <w:rFonts w:hint="eastAsia"/>
          <w:szCs w:val="24"/>
          <w:lang w:val="en-US" w:eastAsia="zh-CN"/>
        </w:rPr>
        <w:t>因素</w:t>
      </w:r>
      <w:r>
        <w:rPr>
          <w:szCs w:val="24"/>
          <w:lang w:eastAsia="zh-CN"/>
        </w:rPr>
        <w:t>、射电天文学中的独特科学机遇以及月球区域</w:t>
      </w:r>
      <w:r>
        <w:rPr>
          <w:szCs w:val="24"/>
          <w:lang w:eastAsia="zh-CN"/>
        </w:rPr>
        <w:t>/</w:t>
      </w:r>
      <w:r>
        <w:rPr>
          <w:szCs w:val="24"/>
          <w:lang w:eastAsia="zh-CN"/>
        </w:rPr>
        <w:t>表面中的遥感，需要仔细考虑</w:t>
      </w:r>
      <w:r>
        <w:rPr>
          <w:rFonts w:hint="eastAsia"/>
          <w:szCs w:val="24"/>
          <w:lang w:val="en-US" w:eastAsia="zh-CN"/>
        </w:rPr>
        <w:t>并开展</w:t>
      </w:r>
      <w:r>
        <w:rPr>
          <w:rFonts w:hint="eastAsia"/>
          <w:szCs w:val="24"/>
          <w:lang w:eastAsia="zh-CN"/>
        </w:rPr>
        <w:t>频谱共用</w:t>
      </w:r>
      <w:r>
        <w:rPr>
          <w:szCs w:val="24"/>
          <w:lang w:eastAsia="zh-CN"/>
        </w:rPr>
        <w:t>/</w:t>
      </w:r>
      <w:r>
        <w:rPr>
          <w:szCs w:val="24"/>
          <w:lang w:eastAsia="zh-CN"/>
        </w:rPr>
        <w:t>兼容性研究，以确定合适的</w:t>
      </w:r>
      <w:r>
        <w:rPr>
          <w:rFonts w:hint="eastAsia"/>
          <w:szCs w:val="24"/>
          <w:lang w:eastAsia="zh-CN"/>
        </w:rPr>
        <w:t>频段</w:t>
      </w:r>
      <w:r>
        <w:rPr>
          <w:szCs w:val="24"/>
          <w:lang w:eastAsia="zh-CN"/>
        </w:rPr>
        <w:t>来支持使用</w:t>
      </w:r>
      <w:r>
        <w:rPr>
          <w:szCs w:val="24"/>
          <w:lang w:eastAsia="zh-CN"/>
        </w:rPr>
        <w:t>3GPP</w:t>
      </w:r>
      <w:r>
        <w:rPr>
          <w:szCs w:val="24"/>
          <w:lang w:eastAsia="zh-CN"/>
        </w:rPr>
        <w:t>标准或其他标准的设想的月球表面网络。</w:t>
      </w:r>
      <w:r>
        <w:rPr>
          <w:rFonts w:hint="eastAsia"/>
          <w:szCs w:val="24"/>
          <w:lang w:eastAsia="zh-CN"/>
        </w:rPr>
        <w:t>本提案</w:t>
      </w:r>
      <w:r>
        <w:rPr>
          <w:szCs w:val="24"/>
          <w:lang w:eastAsia="zh-CN"/>
        </w:rPr>
        <w:t>还旨在</w:t>
      </w:r>
      <w:r>
        <w:rPr>
          <w:rFonts w:hint="eastAsia"/>
          <w:szCs w:val="24"/>
          <w:lang w:eastAsia="zh-CN"/>
        </w:rPr>
        <w:t>：</w:t>
      </w:r>
      <w:r>
        <w:rPr>
          <w:lang w:eastAsia="zh-CN"/>
        </w:rPr>
        <w:t>1)</w:t>
      </w:r>
      <w:r>
        <w:rPr>
          <w:rFonts w:hint="eastAsia"/>
          <w:lang w:val="en-US" w:eastAsia="zh-CN"/>
        </w:rPr>
        <w:t xml:space="preserve"> </w:t>
      </w:r>
      <w:r>
        <w:rPr>
          <w:szCs w:val="24"/>
          <w:lang w:eastAsia="zh-CN"/>
        </w:rPr>
        <w:t>提供可能的频谱</w:t>
      </w:r>
      <w:r>
        <w:rPr>
          <w:rFonts w:hint="eastAsia"/>
          <w:szCs w:val="24"/>
          <w:lang w:eastAsia="zh-CN"/>
        </w:rPr>
        <w:t>划分</w:t>
      </w:r>
      <w:r>
        <w:rPr>
          <w:szCs w:val="24"/>
          <w:lang w:eastAsia="zh-CN"/>
        </w:rPr>
        <w:t>和</w:t>
      </w:r>
      <w:r>
        <w:rPr>
          <w:szCs w:val="24"/>
          <w:lang w:eastAsia="zh-CN"/>
        </w:rPr>
        <w:t>/</w:t>
      </w:r>
      <w:r>
        <w:rPr>
          <w:szCs w:val="24"/>
          <w:lang w:eastAsia="zh-CN"/>
        </w:rPr>
        <w:t>或</w:t>
      </w:r>
      <w:r>
        <w:rPr>
          <w:rFonts w:hint="eastAsia"/>
          <w:szCs w:val="24"/>
          <w:lang w:val="en-US" w:eastAsia="zh-CN"/>
        </w:rPr>
        <w:t>确定可能的频段</w:t>
      </w:r>
      <w:r>
        <w:rPr>
          <w:szCs w:val="24"/>
          <w:lang w:eastAsia="zh-CN"/>
        </w:rPr>
        <w:t>，并提供任何必要的</w:t>
      </w:r>
      <w:r>
        <w:rPr>
          <w:rFonts w:hint="eastAsia"/>
          <w:szCs w:val="24"/>
          <w:lang w:eastAsia="zh-CN"/>
        </w:rPr>
        <w:t>规则条</w:t>
      </w:r>
      <w:r>
        <w:rPr>
          <w:rFonts w:hint="eastAsia"/>
          <w:szCs w:val="24"/>
          <w:lang w:eastAsia="zh-CN"/>
        </w:rPr>
        <w:lastRenderedPageBreak/>
        <w:t>款</w:t>
      </w:r>
      <w:r>
        <w:rPr>
          <w:szCs w:val="24"/>
          <w:lang w:eastAsia="zh-CN"/>
        </w:rPr>
        <w:t>，以实现月球表面上的无线电通信以及通过月球轨道系统与月球表面上的系统进行通信，从而满足紧急需求；</w:t>
      </w:r>
      <w:r>
        <w:rPr>
          <w:lang w:eastAsia="zh-CN"/>
        </w:rPr>
        <w:t xml:space="preserve">2) </w:t>
      </w:r>
      <w:r>
        <w:rPr>
          <w:szCs w:val="24"/>
          <w:lang w:eastAsia="zh-CN"/>
        </w:rPr>
        <w:t>研究各种</w:t>
      </w:r>
      <w:r>
        <w:rPr>
          <w:rFonts w:hint="eastAsia"/>
          <w:szCs w:val="24"/>
          <w:lang w:eastAsia="zh-CN"/>
        </w:rPr>
        <w:t>规则</w:t>
      </w:r>
      <w:r>
        <w:rPr>
          <w:szCs w:val="24"/>
          <w:lang w:eastAsia="zh-CN"/>
        </w:rPr>
        <w:t>框架</w:t>
      </w:r>
      <w:r>
        <w:rPr>
          <w:rFonts w:hint="eastAsia"/>
          <w:szCs w:val="24"/>
          <w:lang w:val="en-US" w:eastAsia="zh-CN"/>
        </w:rPr>
        <w:t>方案</w:t>
      </w:r>
      <w:r>
        <w:rPr>
          <w:szCs w:val="24"/>
          <w:lang w:eastAsia="zh-CN"/>
        </w:rPr>
        <w:t>，以确定在月球表面</w:t>
      </w:r>
      <w:r>
        <w:rPr>
          <w:rFonts w:hint="eastAsia"/>
          <w:szCs w:val="24"/>
          <w:lang w:val="en-US" w:eastAsia="zh-CN"/>
        </w:rPr>
        <w:t>上</w:t>
      </w:r>
      <w:r>
        <w:rPr>
          <w:szCs w:val="24"/>
          <w:lang w:eastAsia="zh-CN"/>
        </w:rPr>
        <w:t>和月球轨道</w:t>
      </w:r>
      <w:r>
        <w:rPr>
          <w:rFonts w:hint="eastAsia"/>
          <w:szCs w:val="24"/>
          <w:lang w:val="en-US" w:eastAsia="zh-CN"/>
        </w:rPr>
        <w:t>内</w:t>
      </w:r>
      <w:r>
        <w:rPr>
          <w:szCs w:val="24"/>
          <w:lang w:eastAsia="zh-CN"/>
        </w:rPr>
        <w:t>使用频谱的最合适的国际</w:t>
      </w:r>
      <w:r>
        <w:rPr>
          <w:rFonts w:hint="eastAsia"/>
          <w:szCs w:val="24"/>
          <w:lang w:eastAsia="zh-CN"/>
        </w:rPr>
        <w:t>规则</w:t>
      </w:r>
      <w:r>
        <w:rPr>
          <w:szCs w:val="24"/>
          <w:lang w:eastAsia="zh-CN"/>
        </w:rPr>
        <w:t>框架</w:t>
      </w:r>
      <w:r>
        <w:rPr>
          <w:rFonts w:hint="eastAsia"/>
          <w:szCs w:val="24"/>
          <w:lang w:eastAsia="zh-CN"/>
        </w:rPr>
        <w:t>，</w:t>
      </w:r>
      <w:r>
        <w:rPr>
          <w:rFonts w:hint="eastAsia"/>
          <w:szCs w:val="24"/>
          <w:lang w:val="en-US" w:eastAsia="zh-CN"/>
        </w:rPr>
        <w:t>其中</w:t>
      </w:r>
      <w:r>
        <w:rPr>
          <w:szCs w:val="24"/>
          <w:lang w:eastAsia="zh-CN"/>
        </w:rPr>
        <w:t>包括制定一个独立于《</w:t>
      </w:r>
      <w:r>
        <w:rPr>
          <w:rFonts w:hint="eastAsia"/>
          <w:szCs w:val="24"/>
          <w:lang w:val="en-US" w:eastAsia="zh-CN"/>
        </w:rPr>
        <w:t>无线电</w:t>
      </w:r>
      <w:r>
        <w:rPr>
          <w:szCs w:val="24"/>
          <w:lang w:eastAsia="zh-CN"/>
        </w:rPr>
        <w:t>规则》第</w:t>
      </w:r>
      <w:r>
        <w:rPr>
          <w:b/>
          <w:bCs/>
          <w:szCs w:val="24"/>
          <w:lang w:eastAsia="zh-CN"/>
        </w:rPr>
        <w:t>5</w:t>
      </w:r>
      <w:r>
        <w:rPr>
          <w:szCs w:val="24"/>
          <w:lang w:eastAsia="zh-CN"/>
        </w:rPr>
        <w:t>条之外的框架</w:t>
      </w:r>
      <w:r>
        <w:rPr>
          <w:rFonts w:hint="eastAsia"/>
          <w:szCs w:val="24"/>
          <w:lang w:val="en-US" w:eastAsia="zh-CN"/>
        </w:rPr>
        <w:t>方案</w:t>
      </w:r>
      <w:r>
        <w:rPr>
          <w:szCs w:val="24"/>
          <w:lang w:eastAsia="zh-CN"/>
        </w:rPr>
        <w:t>，以确保最高效和最有效地利用月球表面</w:t>
      </w:r>
      <w:r>
        <w:rPr>
          <w:rFonts w:hint="eastAsia"/>
          <w:szCs w:val="24"/>
          <w:lang w:val="en-US" w:eastAsia="zh-CN"/>
        </w:rPr>
        <w:t>上</w:t>
      </w:r>
      <w:r>
        <w:rPr>
          <w:szCs w:val="24"/>
          <w:lang w:eastAsia="zh-CN"/>
        </w:rPr>
        <w:t>和月球轨道</w:t>
      </w:r>
      <w:r>
        <w:rPr>
          <w:rFonts w:hint="eastAsia"/>
          <w:szCs w:val="24"/>
          <w:lang w:val="en-US" w:eastAsia="zh-CN"/>
        </w:rPr>
        <w:t>内</w:t>
      </w:r>
      <w:r>
        <w:rPr>
          <w:szCs w:val="24"/>
          <w:lang w:eastAsia="zh-CN"/>
        </w:rPr>
        <w:t>的频谱资源。</w:t>
      </w:r>
    </w:p>
    <w:bookmarkEnd w:id="8"/>
    <w:p w14:paraId="28DFD0CC" w14:textId="592E174C" w:rsidR="00B1592E" w:rsidRDefault="00897AEF" w:rsidP="00DE2FA8">
      <w:pPr>
        <w:ind w:firstLineChars="200" w:firstLine="480"/>
        <w:jc w:val="both"/>
        <w:rPr>
          <w:lang w:eastAsia="zh-CN"/>
        </w:rPr>
      </w:pPr>
      <w:r>
        <w:rPr>
          <w:szCs w:val="24"/>
          <w:lang w:eastAsia="zh-CN"/>
        </w:rPr>
        <w:t>CITEL</w:t>
      </w:r>
      <w:r>
        <w:rPr>
          <w:szCs w:val="24"/>
          <w:lang w:eastAsia="zh-CN"/>
        </w:rPr>
        <w:t>为</w:t>
      </w:r>
      <w:r>
        <w:rPr>
          <w:szCs w:val="24"/>
          <w:lang w:eastAsia="zh-CN"/>
        </w:rPr>
        <w:t>WRC</w:t>
      </w:r>
      <w:r>
        <w:rPr>
          <w:rFonts w:hint="eastAsia"/>
          <w:szCs w:val="24"/>
          <w:lang w:val="en-US" w:eastAsia="zh-CN"/>
        </w:rPr>
        <w:t>-</w:t>
      </w:r>
      <w:r>
        <w:rPr>
          <w:szCs w:val="24"/>
          <w:lang w:eastAsia="zh-CN"/>
        </w:rPr>
        <w:t>27</w:t>
      </w:r>
      <w:r>
        <w:rPr>
          <w:szCs w:val="24"/>
          <w:lang w:eastAsia="zh-CN"/>
        </w:rPr>
        <w:t>提出了一个</w:t>
      </w:r>
      <w:r>
        <w:rPr>
          <w:rFonts w:hint="eastAsia"/>
          <w:szCs w:val="24"/>
          <w:lang w:eastAsia="zh-CN"/>
        </w:rPr>
        <w:t>议项</w:t>
      </w:r>
      <w:r>
        <w:rPr>
          <w:szCs w:val="24"/>
          <w:lang w:eastAsia="zh-CN"/>
        </w:rPr>
        <w:t>，以考虑到</w:t>
      </w:r>
      <w:r>
        <w:rPr>
          <w:szCs w:val="24"/>
          <w:lang w:eastAsia="zh-CN"/>
        </w:rPr>
        <w:t>ITU</w:t>
      </w:r>
      <w:r>
        <w:rPr>
          <w:rFonts w:hint="eastAsia"/>
          <w:szCs w:val="24"/>
          <w:lang w:val="en-US" w:eastAsia="zh-CN"/>
        </w:rPr>
        <w:t>-</w:t>
      </w:r>
      <w:r>
        <w:rPr>
          <w:szCs w:val="24"/>
          <w:lang w:eastAsia="zh-CN"/>
        </w:rPr>
        <w:t>R</w:t>
      </w:r>
      <w:r>
        <w:rPr>
          <w:rFonts w:hint="eastAsia"/>
          <w:szCs w:val="24"/>
          <w:lang w:val="en-US" w:eastAsia="zh-CN"/>
        </w:rPr>
        <w:t>有关</w:t>
      </w:r>
      <w:r>
        <w:rPr>
          <w:szCs w:val="24"/>
          <w:lang w:eastAsia="zh-CN"/>
        </w:rPr>
        <w:t>共</w:t>
      </w:r>
      <w:r>
        <w:rPr>
          <w:rFonts w:hint="eastAsia"/>
          <w:szCs w:val="24"/>
          <w:lang w:val="en-US" w:eastAsia="zh-CN"/>
        </w:rPr>
        <w:t>用</w:t>
      </w:r>
      <w:r>
        <w:rPr>
          <w:szCs w:val="24"/>
          <w:lang w:eastAsia="zh-CN"/>
        </w:rPr>
        <w:t>和兼容性的研究结果，</w:t>
      </w:r>
      <w:r>
        <w:rPr>
          <w:rFonts w:hint="eastAsia"/>
          <w:szCs w:val="24"/>
          <w:lang w:val="en-US" w:eastAsia="zh-CN"/>
        </w:rPr>
        <w:t>并刻不容缓地</w:t>
      </w:r>
      <w:r>
        <w:rPr>
          <w:szCs w:val="24"/>
          <w:lang w:eastAsia="zh-CN"/>
        </w:rPr>
        <w:t>考虑</w:t>
      </w:r>
      <w:r>
        <w:rPr>
          <w:rFonts w:hint="eastAsia"/>
          <w:szCs w:val="24"/>
          <w:lang w:eastAsia="zh-CN"/>
        </w:rPr>
        <w:t>划分</w:t>
      </w:r>
      <w:r>
        <w:rPr>
          <w:szCs w:val="24"/>
          <w:lang w:eastAsia="zh-CN"/>
        </w:rPr>
        <w:t>和</w:t>
      </w:r>
      <w:r>
        <w:rPr>
          <w:szCs w:val="24"/>
          <w:lang w:eastAsia="zh-CN"/>
        </w:rPr>
        <w:t>/</w:t>
      </w:r>
      <w:r>
        <w:rPr>
          <w:szCs w:val="24"/>
          <w:lang w:eastAsia="zh-CN"/>
        </w:rPr>
        <w:t>或确定</w:t>
      </w:r>
      <w:r>
        <w:rPr>
          <w:rFonts w:hint="eastAsia"/>
          <w:szCs w:val="24"/>
          <w:lang w:val="en-US" w:eastAsia="zh-CN"/>
        </w:rPr>
        <w:t>可为</w:t>
      </w:r>
      <w:r>
        <w:rPr>
          <w:rFonts w:hint="eastAsia"/>
          <w:szCs w:val="24"/>
          <w:lang w:eastAsia="zh-CN"/>
        </w:rPr>
        <w:t>主管部门</w:t>
      </w:r>
      <w:r>
        <w:rPr>
          <w:szCs w:val="24"/>
          <w:lang w:eastAsia="zh-CN"/>
        </w:rPr>
        <w:t>使用的频率，以支持月球表面和月球轨道通信网络的未来发展。</w:t>
      </w:r>
      <w:r>
        <w:rPr>
          <w:rFonts w:hint="eastAsia"/>
          <w:szCs w:val="24"/>
          <w:lang w:val="en-US" w:eastAsia="zh-CN"/>
        </w:rPr>
        <w:t>相关</w:t>
      </w:r>
      <w:r>
        <w:rPr>
          <w:szCs w:val="24"/>
          <w:lang w:eastAsia="zh-CN"/>
        </w:rPr>
        <w:t>频率范围是</w:t>
      </w:r>
      <w:r>
        <w:rPr>
          <w:rFonts w:hint="eastAsia"/>
          <w:szCs w:val="24"/>
          <w:lang w:eastAsia="zh-CN"/>
        </w:rPr>
        <w:t>：</w:t>
      </w:r>
      <w:r>
        <w:rPr>
          <w:szCs w:val="24"/>
          <w:lang w:eastAsia="zh-CN"/>
        </w:rPr>
        <w:t>390</w:t>
      </w:r>
      <w:r>
        <w:rPr>
          <w:lang w:eastAsia="zh-CN"/>
        </w:rPr>
        <w:noBreakHyphen/>
      </w:r>
      <w:r>
        <w:rPr>
          <w:szCs w:val="24"/>
          <w:lang w:eastAsia="zh-CN"/>
        </w:rPr>
        <w:t>450 MHz</w:t>
      </w:r>
      <w:r>
        <w:rPr>
          <w:szCs w:val="24"/>
          <w:lang w:eastAsia="zh-CN"/>
        </w:rPr>
        <w:t>、</w:t>
      </w:r>
      <w:r>
        <w:rPr>
          <w:szCs w:val="24"/>
          <w:lang w:eastAsia="zh-CN"/>
        </w:rPr>
        <w:t>2 400</w:t>
      </w:r>
      <w:r>
        <w:rPr>
          <w:lang w:eastAsia="zh-CN"/>
        </w:rPr>
        <w:noBreakHyphen/>
      </w:r>
      <w:r>
        <w:rPr>
          <w:szCs w:val="24"/>
          <w:lang w:eastAsia="zh-CN"/>
        </w:rPr>
        <w:t>2 700 MHz</w:t>
      </w:r>
      <w:r>
        <w:rPr>
          <w:szCs w:val="24"/>
          <w:lang w:eastAsia="zh-CN"/>
        </w:rPr>
        <w:t>、</w:t>
      </w:r>
      <w:r>
        <w:rPr>
          <w:szCs w:val="24"/>
          <w:lang w:eastAsia="zh-CN"/>
        </w:rPr>
        <w:t>3 500-3 800 MHz</w:t>
      </w:r>
      <w:r>
        <w:rPr>
          <w:szCs w:val="24"/>
          <w:lang w:eastAsia="zh-CN"/>
        </w:rPr>
        <w:t>、</w:t>
      </w:r>
      <w:r>
        <w:rPr>
          <w:szCs w:val="24"/>
          <w:lang w:eastAsia="zh-CN"/>
        </w:rPr>
        <w:t>5 150-5 925 MHz</w:t>
      </w:r>
      <w:r>
        <w:rPr>
          <w:szCs w:val="24"/>
          <w:lang w:eastAsia="zh-CN"/>
        </w:rPr>
        <w:t>和</w:t>
      </w:r>
      <w:r>
        <w:rPr>
          <w:szCs w:val="24"/>
          <w:lang w:eastAsia="zh-CN"/>
        </w:rPr>
        <w:t>25.25-28.35 GHz</w:t>
      </w:r>
      <w:r>
        <w:rPr>
          <w:szCs w:val="24"/>
          <w:lang w:eastAsia="zh-CN"/>
        </w:rPr>
        <w:t>。</w:t>
      </w:r>
    </w:p>
    <w:p w14:paraId="2D59E5D9" w14:textId="77777777" w:rsidR="00B1592E" w:rsidRDefault="00897AEF">
      <w:pPr>
        <w:pStyle w:val="Headingb"/>
      </w:pPr>
      <w:r>
        <w:rPr>
          <w:rFonts w:ascii="Times New Roman" w:hAnsi="Times New Roman" w:hint="eastAsia"/>
          <w:szCs w:val="24"/>
          <w:lang w:val="en-US" w:eastAsia="zh-CN"/>
        </w:rPr>
        <w:t>提案</w:t>
      </w:r>
    </w:p>
    <w:p w14:paraId="6CD37119" w14:textId="77777777" w:rsidR="00B1592E" w:rsidRDefault="00B1592E">
      <w:pPr>
        <w:rPr>
          <w:lang w:eastAsia="zh-CN"/>
        </w:rPr>
      </w:pPr>
    </w:p>
    <w:p w14:paraId="06A6BFED" w14:textId="77777777" w:rsidR="00B1592E" w:rsidRDefault="00897AEF">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61D93AE" w14:textId="77777777" w:rsidR="00B1592E" w:rsidRDefault="00897AEF">
      <w:pPr>
        <w:pStyle w:val="Proposal"/>
      </w:pPr>
      <w:r>
        <w:lastRenderedPageBreak/>
        <w:t>ADD</w:t>
      </w:r>
      <w:r>
        <w:tab/>
        <w:t>IAP/44A27A3/</w:t>
      </w:r>
      <w:proofErr w:type="gramStart"/>
      <w:r>
        <w:t>1</w:t>
      </w:r>
      <w:proofErr w:type="gramEnd"/>
    </w:p>
    <w:p w14:paraId="77B756F8" w14:textId="77777777" w:rsidR="00B1592E" w:rsidRDefault="00897AEF">
      <w:pPr>
        <w:pStyle w:val="ResNo"/>
      </w:pPr>
      <w:r>
        <w:rPr>
          <w:rFonts w:hint="eastAsia"/>
          <w:lang w:eastAsia="zh-CN"/>
        </w:rPr>
        <w:t>第</w:t>
      </w:r>
      <w:r>
        <w:t>[WRC-27 AGENDA]</w:t>
      </w:r>
      <w:r>
        <w:rPr>
          <w:rFonts w:hint="eastAsia"/>
          <w:lang w:eastAsia="zh-CN"/>
        </w:rPr>
        <w:t>号</w:t>
      </w:r>
      <w:proofErr w:type="spellStart"/>
      <w:r>
        <w:t>新决议草案</w:t>
      </w:r>
      <w:proofErr w:type="spellEnd"/>
      <w:r>
        <w:rPr>
          <w:rFonts w:hint="eastAsia"/>
          <w:lang w:eastAsia="zh-CN"/>
        </w:rPr>
        <w:t>（</w:t>
      </w:r>
      <w:r>
        <w:t>WRC-23</w:t>
      </w:r>
      <w:r>
        <w:rPr>
          <w:rFonts w:hint="eastAsia"/>
          <w:lang w:eastAsia="zh-CN"/>
        </w:rPr>
        <w:t>）</w:t>
      </w:r>
    </w:p>
    <w:p w14:paraId="4F90635A" w14:textId="77777777" w:rsidR="00B1592E" w:rsidRDefault="00897AEF">
      <w:pPr>
        <w:pStyle w:val="ResTitle0"/>
        <w:rPr>
          <w:lang w:eastAsia="zh-CN"/>
        </w:rPr>
      </w:pPr>
      <w:bookmarkStart w:id="9" w:name="_Toc36108187"/>
      <w:bookmarkStart w:id="10" w:name="_Toc39854098"/>
      <w:bookmarkStart w:id="11" w:name="_Toc40086888"/>
      <w:bookmarkStart w:id="12" w:name="_Toc39850286"/>
      <w:bookmarkStart w:id="13" w:name="_Toc40098402"/>
      <w:r>
        <w:rPr>
          <w:lang w:eastAsia="zh-CN"/>
        </w:rPr>
        <w:t>2027</w:t>
      </w:r>
      <w:r>
        <w:rPr>
          <w:lang w:eastAsia="zh-CN"/>
        </w:rPr>
        <w:t>年世界无线电通信大会</w:t>
      </w:r>
      <w:r>
        <w:rPr>
          <w:rFonts w:hint="eastAsia"/>
          <w:lang w:eastAsia="zh-CN"/>
        </w:rPr>
        <w:t>的</w:t>
      </w:r>
      <w:r>
        <w:rPr>
          <w:lang w:eastAsia="zh-CN"/>
        </w:rPr>
        <w:t>议程</w:t>
      </w:r>
      <w:bookmarkEnd w:id="9"/>
      <w:bookmarkEnd w:id="10"/>
      <w:bookmarkEnd w:id="11"/>
      <w:bookmarkEnd w:id="12"/>
      <w:bookmarkEnd w:id="13"/>
    </w:p>
    <w:p w14:paraId="714045E4" w14:textId="77777777" w:rsidR="00B1592E" w:rsidRDefault="00897AEF">
      <w:pPr>
        <w:pStyle w:val="Normalaftertitle"/>
        <w:jc w:val="both"/>
        <w:rPr>
          <w:lang w:eastAsia="zh-CN"/>
        </w:rPr>
      </w:pPr>
      <w:r>
        <w:rPr>
          <w:rFonts w:hint="eastAsia"/>
          <w:lang w:eastAsia="zh-CN"/>
        </w:rPr>
        <w:t>世界无线电通信大会（</w:t>
      </w:r>
      <w:r>
        <w:rPr>
          <w:rFonts w:hint="eastAsia"/>
          <w:lang w:eastAsia="zh-CN"/>
        </w:rPr>
        <w:t>2</w:t>
      </w:r>
      <w:r>
        <w:rPr>
          <w:lang w:eastAsia="zh-CN"/>
        </w:rPr>
        <w:t>023</w:t>
      </w:r>
      <w:r>
        <w:rPr>
          <w:rFonts w:hint="eastAsia"/>
          <w:lang w:eastAsia="zh-CN"/>
        </w:rPr>
        <w:t>年，迪拜），</w:t>
      </w:r>
    </w:p>
    <w:p w14:paraId="49C61FA2" w14:textId="77777777" w:rsidR="00B1592E" w:rsidRDefault="00897AEF">
      <w:pPr>
        <w:pStyle w:val="Call"/>
        <w:jc w:val="both"/>
        <w:rPr>
          <w:lang w:eastAsia="zh-CN"/>
        </w:rPr>
      </w:pPr>
      <w:r>
        <w:rPr>
          <w:rFonts w:hint="eastAsia"/>
          <w:lang w:eastAsia="zh-CN"/>
        </w:rPr>
        <w:t>考虑到</w:t>
      </w:r>
    </w:p>
    <w:p w14:paraId="50B86198" w14:textId="77777777" w:rsidR="00B1592E" w:rsidRDefault="00897AEF">
      <w:pPr>
        <w:jc w:val="both"/>
        <w:rPr>
          <w:lang w:val="en-US" w:eastAsia="zh-CN"/>
        </w:rPr>
      </w:pPr>
      <w:r>
        <w:rPr>
          <w:i/>
          <w:lang w:val="en-US" w:eastAsia="zh-CN"/>
        </w:rPr>
        <w:t>a)</w:t>
      </w:r>
      <w:r>
        <w:rPr>
          <w:lang w:val="en-US" w:eastAsia="zh-CN"/>
        </w:rPr>
        <w:tab/>
      </w:r>
      <w:r>
        <w:rPr>
          <w:rFonts w:hint="eastAsia"/>
          <w:lang w:val="zh-CN" w:eastAsia="zh-CN"/>
        </w:rPr>
        <w:t>按照国际电联《公约》第</w:t>
      </w:r>
      <w:r>
        <w:rPr>
          <w:lang w:eastAsia="zh-CN"/>
        </w:rPr>
        <w:t>118</w:t>
      </w:r>
      <w:r>
        <w:rPr>
          <w:lang w:eastAsia="zh-CN"/>
        </w:rPr>
        <w:t>款</w:t>
      </w:r>
      <w:r>
        <w:rPr>
          <w:rFonts w:hint="eastAsia"/>
          <w:lang w:val="en-US" w:eastAsia="zh-CN"/>
        </w:rPr>
        <w:t>，</w:t>
      </w:r>
      <w:r>
        <w:rPr>
          <w:rFonts w:hint="eastAsia"/>
          <w:lang w:val="zh-CN" w:eastAsia="zh-CN"/>
        </w:rPr>
        <w:t>世界无线电通信大会（</w:t>
      </w:r>
      <w:r>
        <w:rPr>
          <w:rFonts w:hint="eastAsia"/>
          <w:lang w:val="zh-CN" w:eastAsia="zh-CN"/>
        </w:rPr>
        <w:t>W</w:t>
      </w:r>
      <w:r>
        <w:rPr>
          <w:lang w:val="zh-CN" w:eastAsia="zh-CN"/>
        </w:rPr>
        <w:t>RC</w:t>
      </w:r>
      <w:r>
        <w:rPr>
          <w:rFonts w:hint="eastAsia"/>
          <w:lang w:val="zh-CN" w:eastAsia="zh-CN"/>
        </w:rPr>
        <w:t>）议程的总体范围应提前四至六年确定</w:t>
      </w:r>
      <w:r>
        <w:rPr>
          <w:rFonts w:hint="eastAsia"/>
          <w:lang w:val="en-US" w:eastAsia="zh-CN"/>
        </w:rPr>
        <w:t>，</w:t>
      </w:r>
      <w:proofErr w:type="gramStart"/>
      <w:r>
        <w:rPr>
          <w:rFonts w:hint="eastAsia"/>
          <w:lang w:val="zh-CN" w:eastAsia="zh-CN"/>
        </w:rPr>
        <w:t>最终议程须在该大会召开两年前由理事会确定</w:t>
      </w:r>
      <w:r>
        <w:rPr>
          <w:rFonts w:hint="eastAsia"/>
          <w:lang w:val="en-US" w:eastAsia="zh-CN"/>
        </w:rPr>
        <w:t>；</w:t>
      </w:r>
      <w:proofErr w:type="gramEnd"/>
    </w:p>
    <w:p w14:paraId="4C84D298" w14:textId="77777777" w:rsidR="00B1592E" w:rsidRDefault="00897AEF">
      <w:pPr>
        <w:jc w:val="both"/>
        <w:rPr>
          <w:lang w:val="en-US" w:eastAsia="zh-CN"/>
        </w:rPr>
      </w:pPr>
      <w:r>
        <w:rPr>
          <w:i/>
          <w:lang w:val="en-US" w:eastAsia="zh-CN"/>
        </w:rPr>
        <w:t>b)</w:t>
      </w:r>
      <w:r>
        <w:rPr>
          <w:lang w:val="en-US" w:eastAsia="zh-CN"/>
        </w:rPr>
        <w:tab/>
      </w:r>
      <w:r>
        <w:rPr>
          <w:rFonts w:hint="eastAsia"/>
          <w:lang w:val="en-US" w:eastAsia="zh-CN"/>
        </w:rPr>
        <w:t>与</w:t>
      </w:r>
      <w:r>
        <w:rPr>
          <w:rFonts w:hint="eastAsia"/>
          <w:lang w:val="zh-CN" w:eastAsia="zh-CN"/>
        </w:rPr>
        <w:t>W</w:t>
      </w:r>
      <w:r>
        <w:rPr>
          <w:lang w:val="en-US" w:eastAsia="zh-CN"/>
        </w:rPr>
        <w:t>RC</w:t>
      </w:r>
      <w:r>
        <w:rPr>
          <w:rFonts w:hint="eastAsia"/>
          <w:lang w:val="zh-CN" w:eastAsia="zh-CN"/>
        </w:rPr>
        <w:t>权能和时间表有关的</w:t>
      </w:r>
      <w:r>
        <w:rPr>
          <w:rFonts w:hint="eastAsia"/>
          <w:lang w:val="en-US" w:eastAsia="zh-CN"/>
        </w:rPr>
        <w:t>国际电联</w:t>
      </w:r>
      <w:r>
        <w:rPr>
          <w:rFonts w:hint="eastAsia"/>
          <w:lang w:eastAsia="zh-CN"/>
        </w:rPr>
        <w:t>《</w:t>
      </w:r>
      <w:r>
        <w:rPr>
          <w:rFonts w:hint="eastAsia"/>
          <w:lang w:val="zh-CN" w:eastAsia="zh-CN"/>
        </w:rPr>
        <w:t>组织法》第</w:t>
      </w:r>
      <w:r>
        <w:rPr>
          <w:lang w:eastAsia="zh-CN"/>
        </w:rPr>
        <w:t>13</w:t>
      </w:r>
      <w:r>
        <w:rPr>
          <w:rFonts w:hint="eastAsia"/>
          <w:lang w:val="zh-CN" w:eastAsia="zh-CN"/>
        </w:rPr>
        <w:t>条以及与其议程有关的《公约》</w:t>
      </w:r>
      <w:proofErr w:type="gramStart"/>
      <w:r>
        <w:rPr>
          <w:rFonts w:hint="eastAsia"/>
          <w:lang w:val="zh-CN" w:eastAsia="zh-CN"/>
        </w:rPr>
        <w:t>第</w:t>
      </w:r>
      <w:r>
        <w:rPr>
          <w:lang w:eastAsia="zh-CN"/>
        </w:rPr>
        <w:t>7</w:t>
      </w:r>
      <w:r>
        <w:rPr>
          <w:rFonts w:hint="eastAsia"/>
          <w:lang w:val="zh-CN" w:eastAsia="zh-CN"/>
        </w:rPr>
        <w:t>条</w:t>
      </w:r>
      <w:r>
        <w:rPr>
          <w:rFonts w:hint="eastAsia"/>
          <w:lang w:val="en-US" w:eastAsia="zh-CN"/>
        </w:rPr>
        <w:t>；</w:t>
      </w:r>
      <w:proofErr w:type="gramEnd"/>
    </w:p>
    <w:p w14:paraId="1E8FEAE9" w14:textId="77777777" w:rsidR="00B1592E" w:rsidRDefault="00897AEF">
      <w:pPr>
        <w:jc w:val="both"/>
        <w:rPr>
          <w:lang w:val="en-US" w:eastAsia="zh-CN"/>
        </w:rPr>
      </w:pPr>
      <w:r>
        <w:rPr>
          <w:i/>
          <w:lang w:val="en-US" w:eastAsia="zh-CN"/>
        </w:rPr>
        <w:t>c)</w:t>
      </w:r>
      <w:r>
        <w:rPr>
          <w:lang w:val="en-US" w:eastAsia="zh-CN"/>
        </w:rPr>
        <w:tab/>
      </w:r>
      <w:r>
        <w:rPr>
          <w:rFonts w:hint="eastAsia"/>
          <w:lang w:eastAsia="zh-CN"/>
        </w:rPr>
        <w:t>往届</w:t>
      </w:r>
      <w:r>
        <w:rPr>
          <w:rFonts w:hint="eastAsia"/>
          <w:lang w:val="zh-CN" w:eastAsia="zh-CN"/>
        </w:rPr>
        <w:t>世界无线电行政大会</w:t>
      </w:r>
      <w:r>
        <w:rPr>
          <w:rFonts w:hint="eastAsia"/>
          <w:lang w:val="en-US" w:eastAsia="zh-CN"/>
        </w:rPr>
        <w:t>（</w:t>
      </w:r>
      <w:r>
        <w:rPr>
          <w:lang w:eastAsia="zh-CN"/>
        </w:rPr>
        <w:t>WAR</w:t>
      </w:r>
      <w:r>
        <w:rPr>
          <w:szCs w:val="17"/>
          <w:lang w:eastAsia="zh-CN"/>
        </w:rPr>
        <w:t>C</w:t>
      </w:r>
      <w:r>
        <w:rPr>
          <w:rFonts w:hint="eastAsia"/>
          <w:szCs w:val="17"/>
          <w:lang w:eastAsia="zh-CN"/>
        </w:rPr>
        <w:t>）</w:t>
      </w:r>
      <w:r>
        <w:rPr>
          <w:rFonts w:hint="eastAsia"/>
          <w:lang w:val="zh-CN" w:eastAsia="zh-CN"/>
        </w:rPr>
        <w:t>和</w:t>
      </w:r>
      <w:r>
        <w:rPr>
          <w:lang w:eastAsia="zh-CN"/>
        </w:rPr>
        <w:t>WR</w:t>
      </w:r>
      <w:r>
        <w:rPr>
          <w:szCs w:val="17"/>
          <w:lang w:eastAsia="zh-CN"/>
        </w:rPr>
        <w:t>C</w:t>
      </w:r>
      <w:r>
        <w:rPr>
          <w:rFonts w:hint="eastAsia"/>
          <w:lang w:val="zh-CN" w:eastAsia="zh-CN"/>
        </w:rPr>
        <w:t>的相关决议和建议</w:t>
      </w:r>
      <w:r>
        <w:rPr>
          <w:rFonts w:hint="eastAsia"/>
          <w:lang w:val="en-US" w:eastAsia="zh-CN"/>
        </w:rPr>
        <w:t>，</w:t>
      </w:r>
    </w:p>
    <w:p w14:paraId="1233B062" w14:textId="77777777" w:rsidR="00B1592E" w:rsidRDefault="00897AEF">
      <w:pPr>
        <w:pStyle w:val="Call"/>
        <w:jc w:val="both"/>
        <w:rPr>
          <w:lang w:eastAsia="zh-CN"/>
        </w:rPr>
      </w:pPr>
      <w:r>
        <w:rPr>
          <w:rFonts w:hint="eastAsia"/>
          <w:lang w:eastAsia="zh-CN"/>
        </w:rPr>
        <w:t>认识到</w:t>
      </w:r>
    </w:p>
    <w:p w14:paraId="64025ADE" w14:textId="77777777" w:rsidR="00B1592E" w:rsidRDefault="00897AEF">
      <w:pPr>
        <w:jc w:val="both"/>
        <w:rPr>
          <w:lang w:val="en-US" w:eastAsia="zh-CN"/>
        </w:rPr>
      </w:pPr>
      <w:r>
        <w:rPr>
          <w:i/>
          <w:lang w:val="en-US" w:eastAsia="zh-CN"/>
        </w:rPr>
        <w:t>a)</w:t>
      </w:r>
      <w:r>
        <w:rPr>
          <w:lang w:val="en-US" w:eastAsia="zh-CN"/>
        </w:rPr>
        <w:tab/>
      </w:r>
      <w:r>
        <w:rPr>
          <w:rFonts w:hint="eastAsia"/>
          <w:lang w:val="en-US" w:eastAsia="zh-CN"/>
        </w:rPr>
        <w:t>本届</w:t>
      </w:r>
      <w:r>
        <w:rPr>
          <w:lang w:val="en-US" w:eastAsia="zh-CN"/>
        </w:rPr>
        <w:t>大会</w:t>
      </w:r>
      <w:r>
        <w:rPr>
          <w:rFonts w:hint="eastAsia"/>
          <w:lang w:val="zh-CN" w:eastAsia="zh-CN"/>
        </w:rPr>
        <w:t>确定了若干需要</w:t>
      </w:r>
      <w:r>
        <w:rPr>
          <w:szCs w:val="24"/>
          <w:lang w:eastAsia="zh-CN"/>
        </w:rPr>
        <w:t>WRC</w:t>
      </w:r>
      <w:r>
        <w:rPr>
          <w:szCs w:val="24"/>
          <w:lang w:eastAsia="zh-CN"/>
        </w:rPr>
        <w:noBreakHyphen/>
      </w:r>
      <w:proofErr w:type="gramStart"/>
      <w:r>
        <w:rPr>
          <w:szCs w:val="24"/>
          <w:lang w:eastAsia="zh-CN"/>
        </w:rPr>
        <w:t>27</w:t>
      </w:r>
      <w:r>
        <w:rPr>
          <w:rFonts w:hint="eastAsia"/>
          <w:lang w:val="zh-CN" w:eastAsia="zh-CN"/>
        </w:rPr>
        <w:t>进一步研究的紧迫问题</w:t>
      </w:r>
      <w:r>
        <w:rPr>
          <w:rFonts w:hint="eastAsia"/>
          <w:lang w:val="en-US" w:eastAsia="zh-CN"/>
        </w:rPr>
        <w:t>；</w:t>
      </w:r>
      <w:proofErr w:type="gramEnd"/>
    </w:p>
    <w:p w14:paraId="4964EA7D" w14:textId="77777777" w:rsidR="00B1592E" w:rsidRDefault="00897AEF">
      <w:pPr>
        <w:jc w:val="both"/>
        <w:rPr>
          <w:lang w:val="zh-CN" w:eastAsia="zh-CN"/>
        </w:rPr>
      </w:pPr>
      <w:r>
        <w:rPr>
          <w:i/>
          <w:lang w:val="en-US" w:eastAsia="zh-CN"/>
        </w:rPr>
        <w:t>b)</w:t>
      </w:r>
      <w:r>
        <w:rPr>
          <w:lang w:val="en-US" w:eastAsia="zh-CN"/>
        </w:rPr>
        <w:tab/>
      </w:r>
      <w:r>
        <w:rPr>
          <w:rFonts w:hint="eastAsia"/>
          <w:lang w:val="zh-CN" w:eastAsia="zh-CN"/>
        </w:rPr>
        <w:t>在拟定本议程的过程中，主管部门提出的一些议项未能纳入，只能推迟到未来大会的议程中，</w:t>
      </w:r>
    </w:p>
    <w:p w14:paraId="3F849035" w14:textId="77777777" w:rsidR="00B1592E" w:rsidRDefault="00897AEF">
      <w:pPr>
        <w:pStyle w:val="Call"/>
        <w:jc w:val="both"/>
        <w:rPr>
          <w:lang w:eastAsia="zh-CN"/>
        </w:rPr>
      </w:pPr>
      <w:r>
        <w:rPr>
          <w:rFonts w:hint="eastAsia"/>
          <w:lang w:eastAsia="zh-CN"/>
        </w:rPr>
        <w:t>做出决议</w:t>
      </w:r>
    </w:p>
    <w:p w14:paraId="5B9D1014" w14:textId="77777777" w:rsidR="00B1592E" w:rsidRDefault="00897AEF">
      <w:pPr>
        <w:ind w:firstLineChars="200" w:firstLine="480"/>
        <w:jc w:val="both"/>
        <w:rPr>
          <w:lang w:eastAsia="zh-CN"/>
        </w:rPr>
      </w:pPr>
      <w:r>
        <w:rPr>
          <w:rFonts w:hint="eastAsia"/>
          <w:lang w:eastAsia="zh-CN"/>
        </w:rPr>
        <w:t>向理事会提出建议，在</w:t>
      </w:r>
      <w:r>
        <w:rPr>
          <w:szCs w:val="24"/>
          <w:lang w:eastAsia="zh-CN"/>
        </w:rPr>
        <w:t>2027</w:t>
      </w:r>
      <w:r>
        <w:rPr>
          <w:rFonts w:hint="eastAsia"/>
          <w:lang w:eastAsia="zh-CN"/>
        </w:rPr>
        <w:t>年举行一届为期最长四周的</w:t>
      </w:r>
      <w:r>
        <w:rPr>
          <w:rFonts w:hint="eastAsia"/>
          <w:lang w:eastAsia="zh-CN"/>
        </w:rPr>
        <w:t>W</w:t>
      </w:r>
      <w:r>
        <w:rPr>
          <w:lang w:eastAsia="zh-CN"/>
        </w:rPr>
        <w:t>RC</w:t>
      </w:r>
      <w:r>
        <w:rPr>
          <w:rFonts w:hint="eastAsia"/>
          <w:lang w:eastAsia="zh-CN"/>
        </w:rPr>
        <w:t>，议程如下：</w:t>
      </w:r>
    </w:p>
    <w:p w14:paraId="337EAC67" w14:textId="77777777" w:rsidR="00B1592E" w:rsidRDefault="00897AEF">
      <w:pPr>
        <w:jc w:val="both"/>
        <w:rPr>
          <w:lang w:eastAsia="zh-CN"/>
        </w:rPr>
      </w:pPr>
      <w:r>
        <w:rPr>
          <w:lang w:eastAsia="zh-CN"/>
        </w:rPr>
        <w:t>1</w:t>
      </w:r>
      <w:r>
        <w:rPr>
          <w:lang w:eastAsia="zh-CN"/>
        </w:rPr>
        <w:tab/>
      </w:r>
      <w:r>
        <w:rPr>
          <w:rFonts w:hint="eastAsia"/>
          <w:lang w:eastAsia="zh-CN"/>
        </w:rPr>
        <w:t>以各主管部门的提案为基础，在考虑到</w:t>
      </w:r>
      <w:r>
        <w:rPr>
          <w:rFonts w:hint="eastAsia"/>
          <w:lang w:eastAsia="zh-CN"/>
        </w:rPr>
        <w:t>WRC-19</w:t>
      </w:r>
      <w:r>
        <w:rPr>
          <w:rFonts w:hint="eastAsia"/>
          <w:lang w:eastAsia="zh-CN"/>
        </w:rPr>
        <w:t>的成果和大会筹备会议报告，并适当顾及所涉各频段中现有和未来业务的需求的同时，审议下列议项并采取适当的行动：</w:t>
      </w:r>
    </w:p>
    <w:p w14:paraId="1DA8BCCB" w14:textId="77777777" w:rsidR="00B1592E" w:rsidRDefault="00897AEF">
      <w:pPr>
        <w:jc w:val="both"/>
        <w:rPr>
          <w:szCs w:val="24"/>
          <w:lang w:eastAsia="zh-CN"/>
        </w:rPr>
      </w:pPr>
      <w:r>
        <w:rPr>
          <w:szCs w:val="24"/>
          <w:lang w:eastAsia="zh-CN"/>
        </w:rPr>
        <w:t>[…]</w:t>
      </w:r>
    </w:p>
    <w:p w14:paraId="6D5F7543" w14:textId="77777777" w:rsidR="00B1592E" w:rsidRDefault="00897AEF">
      <w:pPr>
        <w:jc w:val="both"/>
        <w:rPr>
          <w:szCs w:val="24"/>
          <w:lang w:eastAsia="zh-CN"/>
        </w:rPr>
      </w:pPr>
      <w:r>
        <w:rPr>
          <w:szCs w:val="24"/>
          <w:lang w:eastAsia="zh-CN"/>
        </w:rPr>
        <w:t>1.X</w:t>
      </w:r>
      <w:r>
        <w:rPr>
          <w:szCs w:val="24"/>
          <w:lang w:eastAsia="zh-CN"/>
        </w:rPr>
        <w:tab/>
      </w:r>
      <w:r>
        <w:rPr>
          <w:szCs w:val="24"/>
          <w:lang w:eastAsia="zh-CN"/>
        </w:rPr>
        <w:t>对可能</w:t>
      </w:r>
      <w:r>
        <w:rPr>
          <w:rFonts w:hint="eastAsia"/>
          <w:szCs w:val="24"/>
          <w:lang w:val="en-US" w:eastAsia="zh-CN"/>
        </w:rPr>
        <w:t>进行</w:t>
      </w:r>
      <w:r>
        <w:rPr>
          <w:szCs w:val="24"/>
          <w:lang w:eastAsia="zh-CN"/>
        </w:rPr>
        <w:t>的新</w:t>
      </w:r>
      <w:r>
        <w:rPr>
          <w:rFonts w:hint="eastAsia"/>
          <w:szCs w:val="24"/>
          <w:lang w:val="en-US" w:eastAsia="zh-CN"/>
        </w:rPr>
        <w:t>划分</w:t>
      </w:r>
      <w:r>
        <w:rPr>
          <w:szCs w:val="24"/>
          <w:lang w:eastAsia="zh-CN"/>
        </w:rPr>
        <w:t>和</w:t>
      </w:r>
      <w:r>
        <w:rPr>
          <w:szCs w:val="24"/>
          <w:lang w:eastAsia="zh-CN"/>
        </w:rPr>
        <w:t>/</w:t>
      </w:r>
      <w:r>
        <w:rPr>
          <w:szCs w:val="24"/>
          <w:lang w:eastAsia="zh-CN"/>
        </w:rPr>
        <w:t>或</w:t>
      </w:r>
      <w:r>
        <w:rPr>
          <w:rFonts w:hint="eastAsia"/>
          <w:szCs w:val="24"/>
          <w:lang w:val="en-US" w:eastAsia="zh-CN"/>
        </w:rPr>
        <w:t>可能确定的新频段</w:t>
      </w:r>
      <w:r>
        <w:rPr>
          <w:szCs w:val="24"/>
          <w:lang w:eastAsia="zh-CN"/>
        </w:rPr>
        <w:t>的频谱需求和</w:t>
      </w:r>
      <w:r>
        <w:rPr>
          <w:rFonts w:hint="eastAsia"/>
          <w:szCs w:val="24"/>
          <w:lang w:eastAsia="zh-CN"/>
        </w:rPr>
        <w:t>规则</w:t>
      </w:r>
      <w:r>
        <w:rPr>
          <w:szCs w:val="24"/>
          <w:lang w:eastAsia="zh-CN"/>
        </w:rPr>
        <w:t>措施进行研究，</w:t>
      </w:r>
      <w:r>
        <w:rPr>
          <w:rFonts w:hint="eastAsia"/>
          <w:szCs w:val="24"/>
          <w:lang w:val="en-US" w:eastAsia="zh-CN"/>
        </w:rPr>
        <w:t>其中</w:t>
      </w:r>
      <w:r>
        <w:rPr>
          <w:szCs w:val="24"/>
          <w:lang w:eastAsia="zh-CN"/>
        </w:rPr>
        <w:t>包括任何必要的</w:t>
      </w:r>
      <w:r>
        <w:rPr>
          <w:rFonts w:hint="eastAsia"/>
          <w:szCs w:val="24"/>
          <w:lang w:eastAsia="zh-CN"/>
        </w:rPr>
        <w:t>规则条款</w:t>
      </w:r>
      <w:r>
        <w:rPr>
          <w:szCs w:val="24"/>
          <w:lang w:eastAsia="zh-CN"/>
        </w:rPr>
        <w:t>，以支持月球表面</w:t>
      </w:r>
      <w:r>
        <w:rPr>
          <w:rFonts w:hint="eastAsia"/>
          <w:szCs w:val="24"/>
          <w:lang w:val="en-US" w:eastAsia="zh-CN"/>
        </w:rPr>
        <w:t>上</w:t>
      </w:r>
      <w:r>
        <w:rPr>
          <w:szCs w:val="24"/>
          <w:lang w:eastAsia="zh-CN"/>
        </w:rPr>
        <w:t>或月球轨道</w:t>
      </w:r>
      <w:r>
        <w:rPr>
          <w:rFonts w:hint="eastAsia"/>
          <w:szCs w:val="24"/>
          <w:lang w:val="en-US" w:eastAsia="zh-CN"/>
        </w:rPr>
        <w:t>内</w:t>
      </w:r>
      <w:r>
        <w:rPr>
          <w:szCs w:val="24"/>
          <w:lang w:eastAsia="zh-CN"/>
        </w:rPr>
        <w:t>的通信系统，</w:t>
      </w:r>
      <w:r>
        <w:rPr>
          <w:rFonts w:hint="eastAsia"/>
          <w:szCs w:val="24"/>
          <w:lang w:val="en-US" w:eastAsia="zh-CN"/>
        </w:rPr>
        <w:t>相关</w:t>
      </w:r>
      <w:r>
        <w:rPr>
          <w:szCs w:val="24"/>
          <w:lang w:eastAsia="zh-CN"/>
        </w:rPr>
        <w:t>频段为</w:t>
      </w:r>
      <w:r>
        <w:rPr>
          <w:szCs w:val="24"/>
          <w:lang w:eastAsia="zh-CN"/>
        </w:rPr>
        <w:t>390-450 MHz</w:t>
      </w:r>
      <w:r>
        <w:rPr>
          <w:szCs w:val="24"/>
          <w:lang w:eastAsia="zh-CN"/>
        </w:rPr>
        <w:t>、</w:t>
      </w:r>
      <w:r>
        <w:rPr>
          <w:szCs w:val="24"/>
          <w:lang w:eastAsia="zh-CN"/>
        </w:rPr>
        <w:t>2 400-2 700 MHz</w:t>
      </w:r>
      <w:r>
        <w:rPr>
          <w:szCs w:val="24"/>
          <w:lang w:eastAsia="zh-CN"/>
        </w:rPr>
        <w:t>、</w:t>
      </w:r>
      <w:r>
        <w:rPr>
          <w:szCs w:val="24"/>
          <w:lang w:eastAsia="zh-CN"/>
        </w:rPr>
        <w:t>3 500-3 800 MHz</w:t>
      </w:r>
      <w:r>
        <w:rPr>
          <w:szCs w:val="24"/>
          <w:lang w:eastAsia="zh-CN"/>
        </w:rPr>
        <w:t>、</w:t>
      </w:r>
      <w:r>
        <w:rPr>
          <w:szCs w:val="24"/>
          <w:lang w:eastAsia="zh-CN"/>
        </w:rPr>
        <w:t>5 150-5 925 MHz</w:t>
      </w:r>
      <w:r>
        <w:rPr>
          <w:szCs w:val="24"/>
          <w:lang w:eastAsia="zh-CN"/>
        </w:rPr>
        <w:t>和</w:t>
      </w:r>
      <w:r>
        <w:rPr>
          <w:szCs w:val="24"/>
          <w:lang w:eastAsia="zh-CN"/>
        </w:rPr>
        <w:t>25.25-28.35 GHz</w:t>
      </w:r>
      <w:r>
        <w:rPr>
          <w:szCs w:val="24"/>
          <w:lang w:eastAsia="zh-CN"/>
        </w:rPr>
        <w:t>，</w:t>
      </w:r>
      <w:proofErr w:type="gramStart"/>
      <w:r>
        <w:rPr>
          <w:szCs w:val="24"/>
          <w:lang w:eastAsia="zh-CN"/>
        </w:rPr>
        <w:t>并根据</w:t>
      </w:r>
      <w:r>
        <w:rPr>
          <w:rFonts w:hint="eastAsia"/>
          <w:szCs w:val="24"/>
          <w:lang w:val="en-US" w:eastAsia="zh-CN"/>
        </w:rPr>
        <w:t>第</w:t>
      </w:r>
      <w:r>
        <w:rPr>
          <w:b/>
          <w:szCs w:val="24"/>
          <w:lang w:eastAsia="zh-CN"/>
        </w:rPr>
        <w:t>[</w:t>
      </w:r>
      <w:proofErr w:type="gramEnd"/>
      <w:r>
        <w:rPr>
          <w:b/>
          <w:szCs w:val="24"/>
          <w:lang w:eastAsia="zh-CN"/>
        </w:rPr>
        <w:t>AI-10-LUNAR</w:t>
      </w:r>
      <w:r>
        <w:rPr>
          <w:b/>
          <w:bCs/>
          <w:szCs w:val="24"/>
          <w:lang w:eastAsia="zh-CN"/>
        </w:rPr>
        <w:t>]</w:t>
      </w:r>
      <w:r>
        <w:rPr>
          <w:rFonts w:hint="eastAsia"/>
          <w:szCs w:val="24"/>
          <w:lang w:val="en-US" w:eastAsia="zh-CN"/>
        </w:rPr>
        <w:t>号</w:t>
      </w:r>
      <w:r>
        <w:rPr>
          <w:szCs w:val="24"/>
          <w:lang w:eastAsia="zh-CN"/>
        </w:rPr>
        <w:t>决议</w:t>
      </w:r>
      <w:r>
        <w:rPr>
          <w:rFonts w:hint="eastAsia"/>
          <w:b/>
          <w:bCs/>
          <w:szCs w:val="24"/>
          <w:lang w:eastAsia="zh-CN"/>
        </w:rPr>
        <w:t>（</w:t>
      </w:r>
      <w:r>
        <w:rPr>
          <w:rFonts w:hint="eastAsia"/>
          <w:b/>
          <w:bCs/>
          <w:szCs w:val="24"/>
          <w:lang w:eastAsia="zh-CN"/>
        </w:rPr>
        <w:t>WRC-23</w:t>
      </w:r>
      <w:r>
        <w:rPr>
          <w:rFonts w:hint="eastAsia"/>
          <w:b/>
          <w:bCs/>
          <w:szCs w:val="24"/>
          <w:lang w:eastAsia="zh-CN"/>
        </w:rPr>
        <w:t>）</w:t>
      </w:r>
      <w:r>
        <w:rPr>
          <w:rFonts w:hint="eastAsia"/>
          <w:szCs w:val="24"/>
          <w:lang w:val="en-US" w:eastAsia="zh-CN"/>
        </w:rPr>
        <w:t>对</w:t>
      </w:r>
      <w:r>
        <w:rPr>
          <w:szCs w:val="24"/>
          <w:lang w:eastAsia="zh-CN"/>
        </w:rPr>
        <w:t>未来月球通信的</w:t>
      </w:r>
      <w:r>
        <w:rPr>
          <w:rFonts w:hint="eastAsia"/>
          <w:szCs w:val="24"/>
          <w:lang w:val="en-US" w:eastAsia="zh-CN"/>
        </w:rPr>
        <w:t>可能</w:t>
      </w:r>
      <w:r>
        <w:rPr>
          <w:rFonts w:hint="eastAsia"/>
          <w:szCs w:val="24"/>
          <w:lang w:eastAsia="zh-CN"/>
        </w:rPr>
        <w:t>规则</w:t>
      </w:r>
      <w:r>
        <w:rPr>
          <w:szCs w:val="24"/>
          <w:lang w:eastAsia="zh-CN"/>
        </w:rPr>
        <w:t>框架</w:t>
      </w:r>
      <w:r>
        <w:rPr>
          <w:rFonts w:hint="eastAsia"/>
          <w:szCs w:val="24"/>
          <w:lang w:val="en-US" w:eastAsia="zh-CN"/>
        </w:rPr>
        <w:t>展开</w:t>
      </w:r>
      <w:r>
        <w:rPr>
          <w:szCs w:val="24"/>
          <w:lang w:eastAsia="zh-CN"/>
        </w:rPr>
        <w:t>研究；</w:t>
      </w:r>
    </w:p>
    <w:p w14:paraId="02226A0E" w14:textId="77777777" w:rsidR="00B1592E" w:rsidRDefault="00897AEF">
      <w:pPr>
        <w:jc w:val="both"/>
        <w:rPr>
          <w:szCs w:val="24"/>
          <w:lang w:eastAsia="zh-CN"/>
        </w:rPr>
      </w:pPr>
      <w:r>
        <w:rPr>
          <w:szCs w:val="24"/>
          <w:lang w:eastAsia="zh-CN"/>
        </w:rPr>
        <w:t>[…]</w:t>
      </w:r>
    </w:p>
    <w:p w14:paraId="7D4B3EF9" w14:textId="77777777" w:rsidR="00B1592E" w:rsidRDefault="00897AEF">
      <w:pPr>
        <w:pStyle w:val="Call"/>
        <w:jc w:val="both"/>
        <w:rPr>
          <w:lang w:eastAsia="zh-CN"/>
        </w:rPr>
      </w:pPr>
      <w:r>
        <w:rPr>
          <w:rFonts w:hint="eastAsia"/>
          <w:lang w:eastAsia="zh-CN"/>
        </w:rPr>
        <w:t>请国际电联理事会</w:t>
      </w:r>
    </w:p>
    <w:p w14:paraId="4ABBD6E3" w14:textId="7B91CFF2" w:rsidR="00B1592E" w:rsidRDefault="00897AEF">
      <w:pPr>
        <w:ind w:firstLineChars="200" w:firstLine="480"/>
        <w:jc w:val="both"/>
        <w:rPr>
          <w:lang w:eastAsia="zh-CN"/>
        </w:rPr>
      </w:pPr>
      <w:r>
        <w:rPr>
          <w:rFonts w:hint="eastAsia"/>
          <w:lang w:eastAsia="zh-CN"/>
        </w:rPr>
        <w:t>最终确定</w:t>
      </w:r>
      <w:r>
        <w:rPr>
          <w:lang w:eastAsia="zh-CN"/>
        </w:rPr>
        <w:t>WRC-2</w:t>
      </w:r>
      <w:r w:rsidR="00D77403">
        <w:rPr>
          <w:lang w:eastAsia="zh-CN"/>
        </w:rPr>
        <w:t>7</w:t>
      </w:r>
      <w:r>
        <w:rPr>
          <w:rFonts w:hint="eastAsia"/>
          <w:lang w:eastAsia="zh-CN"/>
        </w:rPr>
        <w:t>议程并为其召开做出安排，同时尽快开始与成员国进行必要的磋商，</w:t>
      </w:r>
    </w:p>
    <w:p w14:paraId="232F99C2" w14:textId="77777777" w:rsidR="00B1592E" w:rsidRDefault="00897AEF">
      <w:pPr>
        <w:pStyle w:val="Call"/>
        <w:jc w:val="both"/>
        <w:rPr>
          <w:lang w:eastAsia="zh-CN"/>
        </w:rPr>
      </w:pPr>
      <w:r>
        <w:rPr>
          <w:rFonts w:hint="eastAsia"/>
          <w:lang w:eastAsia="zh-CN"/>
        </w:rPr>
        <w:t>责成无线电通信局主任</w:t>
      </w:r>
    </w:p>
    <w:p w14:paraId="742A7267" w14:textId="67B11367" w:rsidR="00B1592E" w:rsidRDefault="00897AEF">
      <w:pPr>
        <w:jc w:val="both"/>
        <w:rPr>
          <w:lang w:eastAsia="zh-CN"/>
        </w:rPr>
      </w:pPr>
      <w:r>
        <w:rPr>
          <w:lang w:eastAsia="zh-CN"/>
        </w:rPr>
        <w:t>1</w:t>
      </w:r>
      <w:r>
        <w:rPr>
          <w:lang w:eastAsia="zh-CN"/>
        </w:rPr>
        <w:tab/>
      </w:r>
      <w:r>
        <w:rPr>
          <w:rFonts w:hint="eastAsia"/>
          <w:lang w:eastAsia="zh-CN"/>
        </w:rPr>
        <w:t>为召开大会筹备会议（</w:t>
      </w:r>
      <w:r>
        <w:rPr>
          <w:lang w:eastAsia="zh-CN"/>
        </w:rPr>
        <w:t>CPM</w:t>
      </w:r>
      <w:r>
        <w:rPr>
          <w:rFonts w:hint="eastAsia"/>
          <w:lang w:eastAsia="zh-CN"/>
        </w:rPr>
        <w:t>）进行必要的安排并拟定提交</w:t>
      </w:r>
      <w:r>
        <w:rPr>
          <w:lang w:eastAsia="zh-CN"/>
        </w:rPr>
        <w:t>WRC-</w:t>
      </w:r>
      <w:proofErr w:type="gramStart"/>
      <w:r>
        <w:rPr>
          <w:lang w:eastAsia="zh-CN"/>
        </w:rPr>
        <w:t>2</w:t>
      </w:r>
      <w:r w:rsidR="00D77403">
        <w:rPr>
          <w:lang w:eastAsia="zh-CN"/>
        </w:rPr>
        <w:t>7</w:t>
      </w:r>
      <w:r>
        <w:rPr>
          <w:rFonts w:hint="eastAsia"/>
          <w:lang w:eastAsia="zh-CN"/>
        </w:rPr>
        <w:t>的报告；</w:t>
      </w:r>
      <w:proofErr w:type="gramEnd"/>
    </w:p>
    <w:p w14:paraId="1B73CBD6" w14:textId="77777777" w:rsidR="00B1592E" w:rsidRDefault="00897AEF">
      <w:pPr>
        <w:jc w:val="both"/>
        <w:rPr>
          <w:lang w:eastAsia="zh-CN"/>
        </w:rPr>
      </w:pPr>
      <w:r>
        <w:rPr>
          <w:lang w:eastAsia="zh-CN"/>
        </w:rPr>
        <w:t>2</w:t>
      </w:r>
      <w:r>
        <w:rPr>
          <w:lang w:eastAsia="zh-CN"/>
        </w:rPr>
        <w:tab/>
      </w:r>
      <w:r>
        <w:rPr>
          <w:rFonts w:hint="eastAsia"/>
          <w:lang w:eastAsia="zh-CN"/>
        </w:rPr>
        <w:t>向</w:t>
      </w:r>
      <w:r>
        <w:rPr>
          <w:rFonts w:hint="eastAsia"/>
          <w:lang w:val="en-US" w:eastAsia="zh-CN"/>
        </w:rPr>
        <w:t>C</w:t>
      </w:r>
      <w:r>
        <w:rPr>
          <w:lang w:val="en-US" w:eastAsia="zh-CN"/>
        </w:rPr>
        <w:t>PM</w:t>
      </w:r>
      <w:r>
        <w:rPr>
          <w:rFonts w:hint="eastAsia"/>
          <w:lang w:val="en-US" w:eastAsia="zh-CN"/>
        </w:rPr>
        <w:t>第二次会议提交一份议项</w:t>
      </w:r>
      <w:r>
        <w:rPr>
          <w:rFonts w:hint="eastAsia"/>
          <w:lang w:val="en-US" w:eastAsia="zh-CN"/>
        </w:rPr>
        <w:t>9.2</w:t>
      </w:r>
      <w:r>
        <w:rPr>
          <w:rFonts w:hint="eastAsia"/>
          <w:lang w:eastAsia="zh-CN"/>
        </w:rPr>
        <w:t>中所提及的、</w:t>
      </w:r>
      <w:r>
        <w:rPr>
          <w:rFonts w:hint="eastAsia"/>
          <w:lang w:val="en-US" w:eastAsia="zh-CN"/>
        </w:rPr>
        <w:t>关于</w:t>
      </w:r>
      <w:r>
        <w:rPr>
          <w:rFonts w:hint="eastAsia"/>
          <w:lang w:eastAsia="zh-CN"/>
        </w:rPr>
        <w:t>适用《无线电规则》过程中所遇任何问题或矛盾之处的报告</w:t>
      </w:r>
      <w:r>
        <w:rPr>
          <w:rFonts w:hint="eastAsia"/>
          <w:lang w:val="en-US" w:eastAsia="zh-CN"/>
        </w:rPr>
        <w:t>草案，并至少在下届世界无线电通信大会召开的五个月前提交最终报告，</w:t>
      </w:r>
    </w:p>
    <w:p w14:paraId="445F924E" w14:textId="77777777" w:rsidR="00B1592E" w:rsidRDefault="00897AEF">
      <w:pPr>
        <w:pStyle w:val="Call"/>
        <w:rPr>
          <w:lang w:eastAsia="zh-CN"/>
        </w:rPr>
      </w:pPr>
      <w:r>
        <w:rPr>
          <w:rFonts w:hint="eastAsia"/>
          <w:lang w:eastAsia="zh-CN"/>
        </w:rPr>
        <w:lastRenderedPageBreak/>
        <w:t>责成秘书长</w:t>
      </w:r>
    </w:p>
    <w:p w14:paraId="217C91B4" w14:textId="77777777" w:rsidR="00B1592E" w:rsidRDefault="00897AEF">
      <w:pPr>
        <w:ind w:firstLineChars="200" w:firstLine="480"/>
        <w:rPr>
          <w:lang w:eastAsia="zh-CN"/>
        </w:rPr>
      </w:pPr>
      <w:r>
        <w:rPr>
          <w:rFonts w:hint="eastAsia"/>
          <w:lang w:eastAsia="zh-CN"/>
        </w:rPr>
        <w:t>将本决议通报相关的国际和区域性组织。</w:t>
      </w:r>
    </w:p>
    <w:p w14:paraId="42EE784A" w14:textId="77777777" w:rsidR="00B1592E" w:rsidRDefault="00897AEF">
      <w:pPr>
        <w:pStyle w:val="Reasons"/>
        <w:jc w:val="both"/>
        <w:rPr>
          <w:lang w:eastAsia="zh-CN"/>
        </w:rPr>
      </w:pPr>
      <w:r>
        <w:rPr>
          <w:b/>
          <w:lang w:eastAsia="zh-CN"/>
        </w:rPr>
        <w:t>理由：</w:t>
      </w:r>
      <w:r>
        <w:rPr>
          <w:lang w:eastAsia="zh-CN"/>
        </w:rPr>
        <w:tab/>
      </w:r>
      <w:r>
        <w:rPr>
          <w:rFonts w:hint="eastAsia"/>
          <w:lang w:eastAsia="zh-CN"/>
        </w:rPr>
        <w:t>为</w:t>
      </w:r>
      <w:r>
        <w:rPr>
          <w:rFonts w:hint="eastAsia"/>
          <w:lang w:eastAsia="zh-CN"/>
        </w:rPr>
        <w:t>WRC</w:t>
      </w:r>
      <w:r>
        <w:rPr>
          <w:rFonts w:hint="eastAsia"/>
          <w:lang w:eastAsia="zh-CN"/>
        </w:rPr>
        <w:noBreakHyphen/>
        <w:t>27</w:t>
      </w:r>
      <w:r>
        <w:rPr>
          <w:rFonts w:hint="eastAsia"/>
          <w:lang w:eastAsia="zh-CN"/>
        </w:rPr>
        <w:t>创建一个议项，以研究频谱使用的可行性和兼容性，</w:t>
      </w:r>
      <w:r>
        <w:rPr>
          <w:rFonts w:hint="eastAsia"/>
          <w:lang w:val="en-US" w:eastAsia="zh-CN"/>
        </w:rPr>
        <w:t>其中</w:t>
      </w:r>
      <w:r>
        <w:rPr>
          <w:rFonts w:hint="eastAsia"/>
          <w:lang w:eastAsia="zh-CN"/>
        </w:rPr>
        <w:t>包括在某些</w:t>
      </w:r>
      <w:r>
        <w:rPr>
          <w:rFonts w:hint="eastAsia"/>
          <w:lang w:val="en-US" w:eastAsia="zh-CN"/>
        </w:rPr>
        <w:t>频段内</w:t>
      </w:r>
      <w:r>
        <w:rPr>
          <w:rFonts w:hint="eastAsia"/>
          <w:lang w:eastAsia="zh-CN"/>
        </w:rPr>
        <w:t>为与月球表面上的</w:t>
      </w:r>
      <w:r>
        <w:rPr>
          <w:rFonts w:hint="eastAsia"/>
          <w:lang w:val="en-US" w:eastAsia="zh-CN"/>
        </w:rPr>
        <w:t>电台进行</w:t>
      </w:r>
      <w:r>
        <w:rPr>
          <w:rFonts w:hint="eastAsia"/>
          <w:lang w:eastAsia="zh-CN"/>
        </w:rPr>
        <w:t>通信的月球表面</w:t>
      </w:r>
      <w:r>
        <w:rPr>
          <w:rFonts w:hint="eastAsia"/>
          <w:lang w:val="en-US" w:eastAsia="zh-CN"/>
        </w:rPr>
        <w:t>上</w:t>
      </w:r>
      <w:r>
        <w:rPr>
          <w:rFonts w:hint="eastAsia"/>
          <w:lang w:eastAsia="zh-CN"/>
        </w:rPr>
        <w:t>或月球轨道</w:t>
      </w:r>
      <w:r>
        <w:rPr>
          <w:rFonts w:hint="eastAsia"/>
          <w:lang w:val="en-US" w:eastAsia="zh-CN"/>
        </w:rPr>
        <w:t>内的</w:t>
      </w:r>
      <w:r>
        <w:rPr>
          <w:rFonts w:hint="eastAsia"/>
          <w:lang w:eastAsia="zh-CN"/>
        </w:rPr>
        <w:t>通信网络的月球无线电通信可能进行的新</w:t>
      </w:r>
      <w:r>
        <w:rPr>
          <w:rFonts w:hint="eastAsia"/>
          <w:lang w:val="en-US" w:eastAsia="zh-CN"/>
        </w:rPr>
        <w:t>划分</w:t>
      </w:r>
      <w:r>
        <w:rPr>
          <w:rFonts w:hint="eastAsia"/>
          <w:lang w:eastAsia="zh-CN"/>
        </w:rPr>
        <w:t>和</w:t>
      </w:r>
      <w:r>
        <w:rPr>
          <w:rFonts w:hint="eastAsia"/>
          <w:lang w:eastAsia="zh-CN"/>
        </w:rPr>
        <w:t>/</w:t>
      </w:r>
      <w:r>
        <w:rPr>
          <w:rFonts w:hint="eastAsia"/>
          <w:lang w:eastAsia="zh-CN"/>
        </w:rPr>
        <w:t>或</w:t>
      </w:r>
      <w:r>
        <w:rPr>
          <w:rFonts w:hint="eastAsia"/>
          <w:lang w:val="en-US" w:eastAsia="zh-CN"/>
        </w:rPr>
        <w:t>可能确定的新频段</w:t>
      </w:r>
      <w:r>
        <w:rPr>
          <w:rFonts w:hint="eastAsia"/>
          <w:lang w:eastAsia="zh-CN"/>
        </w:rPr>
        <w:t>，并</w:t>
      </w:r>
      <w:r>
        <w:rPr>
          <w:rFonts w:hint="eastAsia"/>
          <w:szCs w:val="24"/>
          <w:lang w:val="en-US" w:eastAsia="zh-CN"/>
        </w:rPr>
        <w:t>对</w:t>
      </w:r>
      <w:r>
        <w:rPr>
          <w:szCs w:val="24"/>
          <w:lang w:eastAsia="zh-CN"/>
        </w:rPr>
        <w:t>未来月球通信的</w:t>
      </w:r>
      <w:r>
        <w:rPr>
          <w:rFonts w:hint="eastAsia"/>
          <w:szCs w:val="24"/>
          <w:lang w:val="en-US" w:eastAsia="zh-CN"/>
        </w:rPr>
        <w:t>可能</w:t>
      </w:r>
      <w:r>
        <w:rPr>
          <w:rFonts w:hint="eastAsia"/>
          <w:szCs w:val="24"/>
          <w:lang w:eastAsia="zh-CN"/>
        </w:rPr>
        <w:t>规则</w:t>
      </w:r>
      <w:r>
        <w:rPr>
          <w:szCs w:val="24"/>
          <w:lang w:eastAsia="zh-CN"/>
        </w:rPr>
        <w:t>框架</w:t>
      </w:r>
      <w:r>
        <w:rPr>
          <w:rFonts w:hint="eastAsia"/>
          <w:szCs w:val="24"/>
          <w:lang w:val="en-US" w:eastAsia="zh-CN"/>
        </w:rPr>
        <w:t>展开</w:t>
      </w:r>
      <w:r>
        <w:rPr>
          <w:szCs w:val="24"/>
          <w:lang w:eastAsia="zh-CN"/>
        </w:rPr>
        <w:t>研究</w:t>
      </w:r>
      <w:r>
        <w:rPr>
          <w:rFonts w:hint="eastAsia"/>
          <w:lang w:eastAsia="zh-CN"/>
        </w:rPr>
        <w:t>。</w:t>
      </w:r>
    </w:p>
    <w:p w14:paraId="518976D0" w14:textId="77777777" w:rsidR="00B1592E" w:rsidRDefault="00897AEF">
      <w:pPr>
        <w:pStyle w:val="Proposal"/>
        <w:rPr>
          <w:lang w:eastAsia="zh-CN"/>
        </w:rPr>
      </w:pPr>
      <w:r>
        <w:rPr>
          <w:lang w:eastAsia="zh-CN"/>
        </w:rPr>
        <w:t>ADD</w:t>
      </w:r>
      <w:r>
        <w:rPr>
          <w:lang w:eastAsia="zh-CN"/>
        </w:rPr>
        <w:tab/>
        <w:t>IAP/44A27A3/</w:t>
      </w:r>
      <w:proofErr w:type="gramStart"/>
      <w:r>
        <w:rPr>
          <w:lang w:eastAsia="zh-CN"/>
        </w:rPr>
        <w:t>2</w:t>
      </w:r>
      <w:proofErr w:type="gramEnd"/>
    </w:p>
    <w:p w14:paraId="219FF1CA" w14:textId="77777777" w:rsidR="00B1592E" w:rsidRDefault="00897AEF">
      <w:pPr>
        <w:pStyle w:val="ResNo"/>
        <w:rPr>
          <w:lang w:eastAsia="zh-CN"/>
        </w:rPr>
      </w:pPr>
      <w:r>
        <w:rPr>
          <w:rFonts w:hint="eastAsia"/>
          <w:lang w:eastAsia="zh-CN"/>
        </w:rPr>
        <w:t>第</w:t>
      </w:r>
      <w:r>
        <w:rPr>
          <w:lang w:eastAsia="zh-CN"/>
        </w:rPr>
        <w:t>[AI-10-LUNAR]</w:t>
      </w:r>
      <w:r>
        <w:rPr>
          <w:rFonts w:hint="eastAsia"/>
          <w:lang w:eastAsia="zh-CN"/>
        </w:rPr>
        <w:t>号</w:t>
      </w:r>
      <w:r>
        <w:rPr>
          <w:lang w:eastAsia="zh-CN"/>
        </w:rPr>
        <w:t>新决议草案</w:t>
      </w:r>
      <w:r>
        <w:rPr>
          <w:rFonts w:hint="eastAsia"/>
          <w:lang w:eastAsia="zh-CN"/>
        </w:rPr>
        <w:t>（</w:t>
      </w:r>
      <w:r>
        <w:rPr>
          <w:lang w:eastAsia="zh-CN"/>
        </w:rPr>
        <w:t>WRC-23</w:t>
      </w:r>
      <w:r>
        <w:rPr>
          <w:rFonts w:hint="eastAsia"/>
          <w:lang w:eastAsia="zh-CN"/>
        </w:rPr>
        <w:t>）</w:t>
      </w:r>
    </w:p>
    <w:p w14:paraId="100B9F43" w14:textId="77777777" w:rsidR="00B1592E" w:rsidRDefault="00897AEF">
      <w:pPr>
        <w:pStyle w:val="Restitle"/>
        <w:rPr>
          <w:lang w:val="en-US" w:eastAsia="zh-CN"/>
        </w:rPr>
      </w:pPr>
      <w:r>
        <w:rPr>
          <w:rFonts w:ascii="Times New Roman" w:hint="eastAsia"/>
          <w:lang w:val="en-US" w:eastAsia="zh-CN"/>
        </w:rPr>
        <w:t>有关</w:t>
      </w:r>
      <w:r>
        <w:rPr>
          <w:rFonts w:ascii="Times New Roman" w:hint="eastAsia"/>
          <w:lang w:eastAsia="zh-CN"/>
        </w:rPr>
        <w:t>频率相关</w:t>
      </w:r>
      <w:r>
        <w:rPr>
          <w:rFonts w:ascii="Times New Roman" w:hint="eastAsia"/>
          <w:lang w:val="en-US" w:eastAsia="zh-CN"/>
        </w:rPr>
        <w:t>事宜</w:t>
      </w:r>
      <w:r>
        <w:rPr>
          <w:rFonts w:ascii="Times New Roman" w:hint="eastAsia"/>
          <w:lang w:eastAsia="zh-CN"/>
        </w:rPr>
        <w:t>的研究，</w:t>
      </w:r>
      <w:r>
        <w:rPr>
          <w:rFonts w:ascii="Times New Roman" w:hint="eastAsia"/>
          <w:lang w:val="en-US" w:eastAsia="zh-CN"/>
        </w:rPr>
        <w:t>其中</w:t>
      </w:r>
      <w:r>
        <w:rPr>
          <w:rFonts w:ascii="Times New Roman" w:hint="eastAsia"/>
          <w:lang w:eastAsia="zh-CN"/>
        </w:rPr>
        <w:t>包括为月球表面</w:t>
      </w:r>
      <w:r>
        <w:rPr>
          <w:rFonts w:ascii="Times New Roman" w:hint="eastAsia"/>
          <w:lang w:val="en-US" w:eastAsia="zh-CN"/>
        </w:rPr>
        <w:t>上的</w:t>
      </w:r>
      <w:r>
        <w:rPr>
          <w:rFonts w:ascii="Times New Roman" w:hint="eastAsia"/>
          <w:lang w:val="en-US" w:eastAsia="zh-CN"/>
        </w:rPr>
        <w:br/>
      </w:r>
      <w:r>
        <w:rPr>
          <w:rFonts w:ascii="Times New Roman" w:hint="eastAsia"/>
          <w:lang w:val="en-US" w:eastAsia="zh-CN"/>
        </w:rPr>
        <w:t>通信以及</w:t>
      </w:r>
      <w:r>
        <w:rPr>
          <w:rFonts w:ascii="Times New Roman" w:hint="eastAsia"/>
          <w:lang w:eastAsia="zh-CN"/>
        </w:rPr>
        <w:t>月球轨道与月球表面之间</w:t>
      </w:r>
      <w:r>
        <w:rPr>
          <w:rFonts w:ascii="Times New Roman" w:hint="eastAsia"/>
          <w:lang w:val="en-US" w:eastAsia="zh-CN"/>
        </w:rPr>
        <w:t>的</w:t>
      </w:r>
      <w:r>
        <w:rPr>
          <w:rFonts w:ascii="Times New Roman" w:hint="eastAsia"/>
          <w:lang w:eastAsia="zh-CN"/>
        </w:rPr>
        <w:t>通信的未来发展</w:t>
      </w:r>
      <w:r>
        <w:rPr>
          <w:rFonts w:ascii="Times New Roman" w:hint="eastAsia"/>
          <w:lang w:eastAsia="zh-CN"/>
        </w:rPr>
        <w:br/>
      </w:r>
      <w:r>
        <w:rPr>
          <w:rFonts w:ascii="Times New Roman" w:hint="eastAsia"/>
          <w:lang w:eastAsia="zh-CN"/>
        </w:rPr>
        <w:t>可能</w:t>
      </w:r>
      <w:r>
        <w:rPr>
          <w:rFonts w:ascii="Times New Roman" w:hint="eastAsia"/>
          <w:lang w:val="en-US" w:eastAsia="zh-CN"/>
        </w:rPr>
        <w:t>进行</w:t>
      </w:r>
      <w:r>
        <w:rPr>
          <w:rFonts w:ascii="Times New Roman" w:hint="eastAsia"/>
          <w:lang w:eastAsia="zh-CN"/>
        </w:rPr>
        <w:t>的额外划分和</w:t>
      </w:r>
      <w:r>
        <w:rPr>
          <w:rFonts w:ascii="Times New Roman" w:hint="eastAsia"/>
          <w:lang w:eastAsia="zh-CN"/>
        </w:rPr>
        <w:t>/</w:t>
      </w:r>
      <w:r>
        <w:rPr>
          <w:rFonts w:ascii="Times New Roman" w:hint="eastAsia"/>
          <w:lang w:eastAsia="zh-CN"/>
        </w:rPr>
        <w:t>或</w:t>
      </w:r>
      <w:r>
        <w:rPr>
          <w:rFonts w:ascii="Times New Roman" w:hint="eastAsia"/>
          <w:lang w:val="en-US" w:eastAsia="zh-CN"/>
        </w:rPr>
        <w:t>可能确定的额外频段</w:t>
      </w:r>
    </w:p>
    <w:p w14:paraId="28E98EC1" w14:textId="77777777" w:rsidR="00B1592E" w:rsidRDefault="00897AEF">
      <w:pPr>
        <w:pStyle w:val="Normalaftertitle"/>
        <w:jc w:val="both"/>
        <w:rPr>
          <w:lang w:eastAsia="zh-CN"/>
        </w:rPr>
      </w:pPr>
      <w:r>
        <w:rPr>
          <w:rFonts w:hint="eastAsia"/>
          <w:lang w:eastAsia="zh-CN"/>
        </w:rPr>
        <w:t>世界无线电通信大会（</w:t>
      </w:r>
      <w:r>
        <w:rPr>
          <w:rFonts w:hint="eastAsia"/>
          <w:lang w:eastAsia="zh-CN"/>
        </w:rPr>
        <w:t>2</w:t>
      </w:r>
      <w:r>
        <w:rPr>
          <w:lang w:eastAsia="zh-CN"/>
        </w:rPr>
        <w:t>023</w:t>
      </w:r>
      <w:r>
        <w:rPr>
          <w:rFonts w:hint="eastAsia"/>
          <w:lang w:eastAsia="zh-CN"/>
        </w:rPr>
        <w:t>年，迪拜），</w:t>
      </w:r>
    </w:p>
    <w:p w14:paraId="23164B8C" w14:textId="77777777" w:rsidR="00B1592E" w:rsidRDefault="00897AEF">
      <w:pPr>
        <w:pStyle w:val="Call"/>
        <w:jc w:val="both"/>
        <w:rPr>
          <w:lang w:eastAsia="zh-CN"/>
        </w:rPr>
      </w:pPr>
      <w:r>
        <w:rPr>
          <w:rFonts w:hint="eastAsia"/>
          <w:lang w:eastAsia="zh-CN"/>
        </w:rPr>
        <w:t>考虑到</w:t>
      </w:r>
    </w:p>
    <w:p w14:paraId="295CEDA3" w14:textId="77777777" w:rsidR="00B1592E" w:rsidRDefault="00897AEF">
      <w:pPr>
        <w:jc w:val="both"/>
        <w:rPr>
          <w:lang w:eastAsia="zh-CN"/>
        </w:rPr>
      </w:pPr>
      <w:r>
        <w:rPr>
          <w:i/>
          <w:iCs/>
          <w:lang w:eastAsia="zh-CN"/>
        </w:rPr>
        <w:t>a)</w:t>
      </w:r>
      <w:r>
        <w:rPr>
          <w:lang w:eastAsia="zh-CN"/>
        </w:rPr>
        <w:tab/>
      </w:r>
      <w:r>
        <w:rPr>
          <w:rFonts w:hint="eastAsia"/>
          <w:lang w:val="en-US" w:eastAsia="zh-CN"/>
        </w:rPr>
        <w:t>各方对</w:t>
      </w:r>
      <w:r>
        <w:rPr>
          <w:szCs w:val="24"/>
          <w:lang w:eastAsia="zh-CN"/>
        </w:rPr>
        <w:t>在月球附近</w:t>
      </w:r>
      <w:r>
        <w:rPr>
          <w:rFonts w:hint="eastAsia"/>
          <w:szCs w:val="24"/>
          <w:lang w:eastAsia="zh-CN"/>
        </w:rPr>
        <w:t>（</w:t>
      </w:r>
      <w:r>
        <w:rPr>
          <w:szCs w:val="24"/>
          <w:lang w:eastAsia="zh-CN"/>
        </w:rPr>
        <w:t>包括在月球表面</w:t>
      </w:r>
      <w:r>
        <w:rPr>
          <w:rFonts w:hint="eastAsia"/>
          <w:szCs w:val="24"/>
          <w:lang w:eastAsia="zh-CN"/>
        </w:rPr>
        <w:t>）</w:t>
      </w:r>
      <w:r>
        <w:rPr>
          <w:szCs w:val="24"/>
          <w:lang w:eastAsia="zh-CN"/>
        </w:rPr>
        <w:t>进行科学实验、</w:t>
      </w:r>
      <w:proofErr w:type="gramStart"/>
      <w:r>
        <w:rPr>
          <w:szCs w:val="24"/>
          <w:lang w:eastAsia="zh-CN"/>
        </w:rPr>
        <w:t>探索活动和</w:t>
      </w:r>
      <w:r>
        <w:rPr>
          <w:rFonts w:hint="eastAsia"/>
          <w:szCs w:val="24"/>
          <w:lang w:val="en-US" w:eastAsia="zh-CN"/>
        </w:rPr>
        <w:t>在</w:t>
      </w:r>
      <w:r>
        <w:rPr>
          <w:szCs w:val="24"/>
          <w:lang w:eastAsia="zh-CN"/>
        </w:rPr>
        <w:t>未来</w:t>
      </w:r>
      <w:r>
        <w:rPr>
          <w:rFonts w:hint="eastAsia"/>
          <w:szCs w:val="24"/>
          <w:lang w:val="en-US" w:eastAsia="zh-CN"/>
        </w:rPr>
        <w:t>开展可能的</w:t>
      </w:r>
      <w:r>
        <w:rPr>
          <w:szCs w:val="24"/>
          <w:lang w:eastAsia="zh-CN"/>
        </w:rPr>
        <w:t>空间商业的兴趣</w:t>
      </w:r>
      <w:r>
        <w:rPr>
          <w:rFonts w:hint="eastAsia"/>
          <w:szCs w:val="24"/>
          <w:lang w:val="en-US" w:eastAsia="zh-CN"/>
        </w:rPr>
        <w:t>日益浓厚</w:t>
      </w:r>
      <w:r>
        <w:rPr>
          <w:szCs w:val="24"/>
          <w:lang w:eastAsia="zh-CN"/>
        </w:rPr>
        <w:t>；</w:t>
      </w:r>
      <w:proofErr w:type="gramEnd"/>
    </w:p>
    <w:p w14:paraId="6D154D65" w14:textId="77777777" w:rsidR="00B1592E" w:rsidRDefault="00897AEF">
      <w:pPr>
        <w:jc w:val="both"/>
        <w:rPr>
          <w:szCs w:val="24"/>
          <w:lang w:eastAsia="zh-CN"/>
        </w:rPr>
      </w:pPr>
      <w:r>
        <w:rPr>
          <w:i/>
          <w:iCs/>
          <w:szCs w:val="24"/>
          <w:lang w:eastAsia="zh-CN"/>
        </w:rPr>
        <w:t>b)</w:t>
      </w:r>
      <w:r>
        <w:rPr>
          <w:szCs w:val="24"/>
          <w:lang w:eastAsia="zh-CN"/>
        </w:rPr>
        <w:tab/>
      </w:r>
      <w:r>
        <w:rPr>
          <w:szCs w:val="24"/>
          <w:lang w:eastAsia="zh-CN"/>
        </w:rPr>
        <w:t>通信技术</w:t>
      </w:r>
      <w:r>
        <w:rPr>
          <w:rFonts w:hint="eastAsia"/>
          <w:szCs w:val="24"/>
          <w:lang w:val="en-US" w:eastAsia="zh-CN"/>
        </w:rPr>
        <w:t>的</w:t>
      </w:r>
      <w:r>
        <w:rPr>
          <w:szCs w:val="24"/>
          <w:lang w:eastAsia="zh-CN"/>
        </w:rPr>
        <w:t>发展</w:t>
      </w:r>
      <w:r>
        <w:rPr>
          <w:rFonts w:hint="eastAsia"/>
          <w:szCs w:val="24"/>
          <w:lang w:val="en-US" w:eastAsia="zh-CN"/>
        </w:rPr>
        <w:t>已臻</w:t>
      </w:r>
      <w:r>
        <w:rPr>
          <w:szCs w:val="24"/>
          <w:lang w:eastAsia="zh-CN"/>
        </w:rPr>
        <w:t>完善，并广泛部署在地球上，</w:t>
      </w:r>
      <w:proofErr w:type="gramStart"/>
      <w:r>
        <w:rPr>
          <w:rFonts w:hint="eastAsia"/>
          <w:szCs w:val="24"/>
          <w:lang w:val="en-US" w:eastAsia="zh-CN"/>
        </w:rPr>
        <w:t>其</w:t>
      </w:r>
      <w:r>
        <w:rPr>
          <w:szCs w:val="24"/>
          <w:lang w:eastAsia="zh-CN"/>
        </w:rPr>
        <w:t>使用的行业标准可应用于月球通信；</w:t>
      </w:r>
      <w:proofErr w:type="gramEnd"/>
    </w:p>
    <w:p w14:paraId="65470AF5" w14:textId="77777777" w:rsidR="00B1592E" w:rsidRDefault="00897AEF">
      <w:pPr>
        <w:jc w:val="both"/>
        <w:rPr>
          <w:szCs w:val="24"/>
          <w:lang w:eastAsia="zh-CN"/>
        </w:rPr>
      </w:pPr>
      <w:r>
        <w:rPr>
          <w:i/>
          <w:szCs w:val="24"/>
          <w:lang w:eastAsia="zh-CN"/>
        </w:rPr>
        <w:t>c)</w:t>
      </w:r>
      <w:r>
        <w:rPr>
          <w:szCs w:val="24"/>
          <w:lang w:eastAsia="zh-CN"/>
        </w:rPr>
        <w:tab/>
      </w:r>
      <w:r>
        <w:rPr>
          <w:szCs w:val="24"/>
          <w:lang w:eastAsia="zh-CN"/>
        </w:rPr>
        <w:t>月球近侧表面上用于科学或技术研究目的的点对多点系统目前可以在空间研究</w:t>
      </w:r>
      <w:r>
        <w:rPr>
          <w:rFonts w:hint="eastAsia"/>
          <w:szCs w:val="24"/>
          <w:lang w:val="en-US" w:eastAsia="zh-CN"/>
        </w:rPr>
        <w:t>业务</w:t>
      </w:r>
      <w:r>
        <w:rPr>
          <w:rFonts w:hint="eastAsia"/>
          <w:szCs w:val="24"/>
          <w:lang w:eastAsia="zh-CN"/>
        </w:rPr>
        <w:t>（</w:t>
      </w:r>
      <w:r>
        <w:rPr>
          <w:szCs w:val="24"/>
          <w:lang w:eastAsia="zh-CN"/>
        </w:rPr>
        <w:t>空</w:t>
      </w:r>
      <w:r>
        <w:rPr>
          <w:rFonts w:hint="eastAsia"/>
          <w:szCs w:val="24"/>
          <w:lang w:val="en-US" w:eastAsia="zh-CN"/>
        </w:rPr>
        <w:t>对</w:t>
      </w:r>
      <w:r>
        <w:rPr>
          <w:szCs w:val="24"/>
          <w:lang w:eastAsia="zh-CN"/>
        </w:rPr>
        <w:t>空</w:t>
      </w:r>
      <w:r>
        <w:rPr>
          <w:rFonts w:hint="eastAsia"/>
          <w:szCs w:val="24"/>
          <w:lang w:eastAsia="zh-CN"/>
        </w:rPr>
        <w:t>）</w:t>
      </w:r>
      <w:proofErr w:type="gramStart"/>
      <w:r>
        <w:rPr>
          <w:szCs w:val="24"/>
          <w:lang w:eastAsia="zh-CN"/>
        </w:rPr>
        <w:t>中</w:t>
      </w:r>
      <w:r>
        <w:rPr>
          <w:rFonts w:hint="eastAsia"/>
          <w:szCs w:val="24"/>
          <w:lang w:eastAsia="zh-CN"/>
        </w:rPr>
        <w:t>操作</w:t>
      </w:r>
      <w:r>
        <w:rPr>
          <w:szCs w:val="24"/>
          <w:lang w:eastAsia="zh-CN"/>
        </w:rPr>
        <w:t>；</w:t>
      </w:r>
      <w:proofErr w:type="gramEnd"/>
    </w:p>
    <w:p w14:paraId="717C4F2A" w14:textId="77777777" w:rsidR="00B1592E" w:rsidRDefault="00897AEF">
      <w:pPr>
        <w:jc w:val="both"/>
        <w:rPr>
          <w:szCs w:val="24"/>
          <w:lang w:eastAsia="zh-CN"/>
        </w:rPr>
      </w:pPr>
      <w:r>
        <w:rPr>
          <w:i/>
          <w:iCs/>
          <w:szCs w:val="24"/>
          <w:lang w:eastAsia="zh-CN"/>
        </w:rPr>
        <w:t>d)</w:t>
      </w:r>
      <w:r>
        <w:rPr>
          <w:szCs w:val="24"/>
          <w:lang w:eastAsia="zh-CN"/>
        </w:rPr>
        <w:tab/>
      </w:r>
      <w:r>
        <w:rPr>
          <w:szCs w:val="24"/>
          <w:lang w:eastAsia="zh-CN"/>
        </w:rPr>
        <w:t>月球表面具有独特的大气、</w:t>
      </w:r>
      <w:proofErr w:type="gramStart"/>
      <w:r>
        <w:rPr>
          <w:szCs w:val="24"/>
          <w:lang w:eastAsia="zh-CN"/>
        </w:rPr>
        <w:t>土壤和地形条件；</w:t>
      </w:r>
      <w:proofErr w:type="gramEnd"/>
    </w:p>
    <w:p w14:paraId="48F5E941" w14:textId="77777777" w:rsidR="00B1592E" w:rsidRDefault="00897AEF">
      <w:pPr>
        <w:jc w:val="both"/>
        <w:rPr>
          <w:szCs w:val="24"/>
          <w:lang w:eastAsia="zh-CN"/>
        </w:rPr>
      </w:pPr>
      <w:r>
        <w:rPr>
          <w:i/>
          <w:iCs/>
          <w:szCs w:val="24"/>
          <w:lang w:eastAsia="zh-CN"/>
        </w:rPr>
        <w:t>e)</w:t>
      </w:r>
      <w:r>
        <w:rPr>
          <w:szCs w:val="24"/>
          <w:lang w:eastAsia="zh-CN"/>
        </w:rPr>
        <w:tab/>
      </w:r>
      <w:r>
        <w:rPr>
          <w:szCs w:val="24"/>
          <w:lang w:eastAsia="zh-CN"/>
        </w:rPr>
        <w:t>科学发现、空间探索和空间商业的利益</w:t>
      </w:r>
      <w:r>
        <w:rPr>
          <w:rFonts w:hint="eastAsia"/>
          <w:szCs w:val="24"/>
          <w:lang w:val="en-US" w:eastAsia="zh-CN"/>
        </w:rPr>
        <w:t>具有</w:t>
      </w:r>
      <w:r>
        <w:rPr>
          <w:szCs w:val="24"/>
          <w:lang w:eastAsia="zh-CN"/>
        </w:rPr>
        <w:t>全球性，</w:t>
      </w:r>
    </w:p>
    <w:p w14:paraId="1D024B24" w14:textId="77777777" w:rsidR="00B1592E" w:rsidRDefault="00897AEF">
      <w:pPr>
        <w:pStyle w:val="Call"/>
        <w:jc w:val="both"/>
        <w:rPr>
          <w:szCs w:val="24"/>
          <w:lang w:eastAsia="zh-CN"/>
        </w:rPr>
      </w:pPr>
      <w:r>
        <w:rPr>
          <w:rFonts w:hint="eastAsia"/>
          <w:szCs w:val="24"/>
          <w:lang w:eastAsia="zh-CN"/>
        </w:rPr>
        <w:t>注意到</w:t>
      </w:r>
    </w:p>
    <w:p w14:paraId="7C096676" w14:textId="77777777" w:rsidR="00B1592E" w:rsidRDefault="00897AEF" w:rsidP="00897AEF">
      <w:pPr>
        <w:ind w:firstLineChars="200" w:firstLine="480"/>
        <w:jc w:val="both"/>
        <w:rPr>
          <w:szCs w:val="24"/>
          <w:lang w:eastAsia="zh-CN"/>
        </w:rPr>
      </w:pPr>
      <w:r>
        <w:rPr>
          <w:szCs w:val="24"/>
          <w:lang w:eastAsia="zh-CN"/>
        </w:rPr>
        <w:t>第</w:t>
      </w:r>
      <w:r>
        <w:rPr>
          <w:b/>
          <w:bCs/>
          <w:szCs w:val="24"/>
          <w:lang w:eastAsia="zh-CN"/>
        </w:rPr>
        <w:t>22</w:t>
      </w:r>
      <w:r>
        <w:rPr>
          <w:szCs w:val="24"/>
          <w:lang w:eastAsia="zh-CN"/>
        </w:rPr>
        <w:t>条第五节涉及保护月球</w:t>
      </w:r>
      <w:proofErr w:type="gramStart"/>
      <w:r>
        <w:rPr>
          <w:szCs w:val="24"/>
          <w:lang w:eastAsia="zh-CN"/>
        </w:rPr>
        <w:t>屏蔽区</w:t>
      </w:r>
      <w:proofErr w:type="gramEnd"/>
      <w:r>
        <w:rPr>
          <w:szCs w:val="24"/>
          <w:lang w:eastAsia="zh-CN"/>
        </w:rPr>
        <w:t>的射电天文</w:t>
      </w:r>
      <w:r>
        <w:rPr>
          <w:rFonts w:hint="eastAsia"/>
          <w:szCs w:val="24"/>
          <w:lang w:val="en-US" w:eastAsia="zh-CN"/>
        </w:rPr>
        <w:t>业务</w:t>
      </w:r>
      <w:r>
        <w:rPr>
          <w:szCs w:val="24"/>
          <w:lang w:eastAsia="zh-CN"/>
        </w:rPr>
        <w:t>，</w:t>
      </w:r>
    </w:p>
    <w:p w14:paraId="0FACBA86" w14:textId="77777777" w:rsidR="00B1592E" w:rsidRDefault="00897AEF">
      <w:pPr>
        <w:pStyle w:val="Call"/>
        <w:jc w:val="both"/>
        <w:rPr>
          <w:lang w:eastAsia="zh-CN"/>
        </w:rPr>
      </w:pPr>
      <w:r>
        <w:rPr>
          <w:rFonts w:hint="eastAsia"/>
          <w:lang w:eastAsia="zh-CN"/>
        </w:rPr>
        <w:t>进一步注意到</w:t>
      </w:r>
    </w:p>
    <w:p w14:paraId="707C71AE" w14:textId="77777777" w:rsidR="00B1592E" w:rsidRDefault="00897AEF" w:rsidP="00897AEF">
      <w:pPr>
        <w:ind w:firstLineChars="200" w:firstLine="480"/>
        <w:jc w:val="both"/>
        <w:rPr>
          <w:szCs w:val="24"/>
          <w:lang w:eastAsia="zh-CN"/>
        </w:rPr>
      </w:pPr>
      <w:r>
        <w:rPr>
          <w:szCs w:val="24"/>
          <w:lang w:eastAsia="zh-CN"/>
        </w:rPr>
        <w:t>国际电</w:t>
      </w:r>
      <w:proofErr w:type="gramStart"/>
      <w:r>
        <w:rPr>
          <w:szCs w:val="24"/>
          <w:lang w:eastAsia="zh-CN"/>
        </w:rPr>
        <w:t>联所有</w:t>
      </w:r>
      <w:proofErr w:type="gramEnd"/>
      <w:r>
        <w:rPr>
          <w:szCs w:val="24"/>
          <w:lang w:eastAsia="zh-CN"/>
        </w:rPr>
        <w:t>三个区的成员国</w:t>
      </w:r>
      <w:proofErr w:type="gramStart"/>
      <w:r>
        <w:rPr>
          <w:rFonts w:hint="eastAsia"/>
          <w:szCs w:val="24"/>
          <w:lang w:val="en-US" w:eastAsia="zh-CN"/>
        </w:rPr>
        <w:t>均</w:t>
      </w:r>
      <w:r>
        <w:rPr>
          <w:szCs w:val="24"/>
          <w:lang w:eastAsia="zh-CN"/>
        </w:rPr>
        <w:t>签署</w:t>
      </w:r>
      <w:proofErr w:type="gramEnd"/>
      <w:r>
        <w:rPr>
          <w:szCs w:val="24"/>
          <w:lang w:eastAsia="zh-CN"/>
        </w:rPr>
        <w:t>了促进安全、可持续和负责任的空间探索的</w:t>
      </w:r>
      <w:r>
        <w:rPr>
          <w:bCs/>
          <w:szCs w:val="24"/>
          <w:lang w:eastAsia="zh-CN"/>
        </w:rPr>
        <w:t>《</w:t>
      </w:r>
      <w:r>
        <w:rPr>
          <w:rFonts w:hint="eastAsia"/>
          <w:bCs/>
          <w:szCs w:val="24"/>
          <w:lang w:eastAsia="zh-CN"/>
        </w:rPr>
        <w:t>阿尔忒弥斯</w:t>
      </w:r>
      <w:r>
        <w:rPr>
          <w:bCs/>
          <w:szCs w:val="24"/>
          <w:lang w:eastAsia="zh-CN"/>
        </w:rPr>
        <w:t>协定》</w:t>
      </w:r>
      <w:r>
        <w:rPr>
          <w:szCs w:val="24"/>
          <w:lang w:eastAsia="zh-CN"/>
        </w:rPr>
        <w:t>，</w:t>
      </w:r>
    </w:p>
    <w:p w14:paraId="71221998" w14:textId="77777777" w:rsidR="00B1592E" w:rsidRDefault="00897AEF">
      <w:pPr>
        <w:pStyle w:val="Call"/>
        <w:jc w:val="both"/>
        <w:rPr>
          <w:szCs w:val="24"/>
          <w:lang w:eastAsia="zh-CN"/>
        </w:rPr>
      </w:pPr>
      <w:r>
        <w:rPr>
          <w:rFonts w:hint="eastAsia"/>
          <w:szCs w:val="24"/>
          <w:lang w:eastAsia="zh-CN"/>
        </w:rPr>
        <w:t>认识到</w:t>
      </w:r>
    </w:p>
    <w:p w14:paraId="443CBFF3" w14:textId="77777777" w:rsidR="00B1592E" w:rsidRDefault="00897AEF">
      <w:pPr>
        <w:jc w:val="both"/>
        <w:rPr>
          <w:szCs w:val="24"/>
          <w:lang w:eastAsia="zh-CN"/>
        </w:rPr>
      </w:pPr>
      <w:r>
        <w:rPr>
          <w:i/>
          <w:iCs/>
          <w:szCs w:val="24"/>
          <w:lang w:eastAsia="zh-CN"/>
        </w:rPr>
        <w:t>a)</w:t>
      </w:r>
      <w:r>
        <w:rPr>
          <w:szCs w:val="24"/>
          <w:lang w:eastAsia="zh-CN"/>
        </w:rPr>
        <w:tab/>
      </w:r>
      <w:r>
        <w:rPr>
          <w:szCs w:val="24"/>
          <w:lang w:eastAsia="zh-CN"/>
        </w:rPr>
        <w:t>鉴于月球作为天体卫星的独特情况，</w:t>
      </w:r>
      <w:proofErr w:type="gramStart"/>
      <w:r>
        <w:rPr>
          <w:szCs w:val="24"/>
          <w:lang w:eastAsia="zh-CN"/>
        </w:rPr>
        <w:t>可能需要一个月球通信</w:t>
      </w:r>
      <w:r>
        <w:rPr>
          <w:rFonts w:hint="eastAsia"/>
          <w:szCs w:val="24"/>
          <w:lang w:eastAsia="zh-CN"/>
        </w:rPr>
        <w:t>规则</w:t>
      </w:r>
      <w:r>
        <w:rPr>
          <w:szCs w:val="24"/>
          <w:lang w:eastAsia="zh-CN"/>
        </w:rPr>
        <w:t>框架；</w:t>
      </w:r>
      <w:proofErr w:type="gramEnd"/>
    </w:p>
    <w:p w14:paraId="699C9E1F" w14:textId="77777777" w:rsidR="00B1592E" w:rsidRDefault="00897AEF">
      <w:pPr>
        <w:jc w:val="both"/>
        <w:rPr>
          <w:szCs w:val="24"/>
          <w:lang w:eastAsia="zh-CN"/>
        </w:rPr>
      </w:pPr>
      <w:r>
        <w:rPr>
          <w:i/>
          <w:iCs/>
          <w:szCs w:val="24"/>
          <w:lang w:eastAsia="zh-CN"/>
        </w:rPr>
        <w:t>b)</w:t>
      </w:r>
      <w:r>
        <w:rPr>
          <w:szCs w:val="24"/>
          <w:lang w:eastAsia="zh-CN"/>
        </w:rPr>
        <w:t xml:space="preserve"> </w:t>
      </w:r>
      <w:r>
        <w:rPr>
          <w:szCs w:val="24"/>
          <w:lang w:eastAsia="zh-CN"/>
        </w:rPr>
        <w:tab/>
      </w:r>
      <w:r>
        <w:rPr>
          <w:szCs w:val="24"/>
          <w:lang w:eastAsia="zh-CN"/>
        </w:rPr>
        <w:t>对月球表面的潜在系统和绕月</w:t>
      </w:r>
      <w:r>
        <w:rPr>
          <w:rFonts w:hint="eastAsia"/>
          <w:szCs w:val="24"/>
          <w:lang w:eastAsia="zh-CN"/>
        </w:rPr>
        <w:t>操作</w:t>
      </w:r>
      <w:r>
        <w:rPr>
          <w:szCs w:val="24"/>
          <w:lang w:eastAsia="zh-CN"/>
        </w:rPr>
        <w:t>的系统之间的</w:t>
      </w:r>
      <w:r>
        <w:rPr>
          <w:rFonts w:hint="eastAsia"/>
          <w:szCs w:val="24"/>
          <w:lang w:eastAsia="zh-CN"/>
        </w:rPr>
        <w:t>共用</w:t>
      </w:r>
      <w:r>
        <w:rPr>
          <w:szCs w:val="24"/>
          <w:lang w:eastAsia="zh-CN"/>
        </w:rPr>
        <w:t>和兼容性研究将需要考虑到相同</w:t>
      </w:r>
      <w:r>
        <w:rPr>
          <w:rFonts w:hint="eastAsia"/>
          <w:szCs w:val="24"/>
          <w:lang w:val="en-US" w:eastAsia="zh-CN"/>
        </w:rPr>
        <w:t>频段内</w:t>
      </w:r>
      <w:r>
        <w:rPr>
          <w:szCs w:val="24"/>
          <w:lang w:eastAsia="zh-CN"/>
        </w:rPr>
        <w:t>或</w:t>
      </w:r>
      <w:r>
        <w:rPr>
          <w:rFonts w:hint="eastAsia"/>
          <w:szCs w:val="24"/>
          <w:lang w:val="en-US" w:eastAsia="zh-CN"/>
        </w:rPr>
        <w:t>适宜时</w:t>
      </w:r>
      <w:r>
        <w:rPr>
          <w:szCs w:val="24"/>
          <w:lang w:eastAsia="zh-CN"/>
        </w:rPr>
        <w:t>相邻</w:t>
      </w:r>
      <w:r>
        <w:rPr>
          <w:rFonts w:hint="eastAsia"/>
          <w:szCs w:val="24"/>
          <w:lang w:eastAsia="zh-CN"/>
        </w:rPr>
        <w:t>频段</w:t>
      </w:r>
      <w:r>
        <w:rPr>
          <w:rFonts w:hint="eastAsia"/>
          <w:szCs w:val="24"/>
          <w:lang w:val="en-US" w:eastAsia="zh-CN"/>
        </w:rPr>
        <w:t>内</w:t>
      </w:r>
      <w:r>
        <w:rPr>
          <w:szCs w:val="24"/>
          <w:lang w:eastAsia="zh-CN"/>
        </w:rPr>
        <w:t>任何其他受影响的</w:t>
      </w:r>
      <w:r>
        <w:rPr>
          <w:rFonts w:hint="eastAsia"/>
          <w:szCs w:val="24"/>
          <w:lang w:eastAsia="zh-CN"/>
        </w:rPr>
        <w:t>业务</w:t>
      </w:r>
      <w:r>
        <w:rPr>
          <w:szCs w:val="24"/>
          <w:lang w:eastAsia="zh-CN"/>
        </w:rPr>
        <w:t>，</w:t>
      </w:r>
    </w:p>
    <w:p w14:paraId="386B0B17" w14:textId="77777777" w:rsidR="00B1592E" w:rsidRDefault="00897AEF">
      <w:pPr>
        <w:pStyle w:val="Call"/>
        <w:jc w:val="both"/>
        <w:rPr>
          <w:szCs w:val="24"/>
          <w:lang w:eastAsia="zh-CN"/>
        </w:rPr>
      </w:pPr>
      <w:r>
        <w:rPr>
          <w:rFonts w:hint="eastAsia"/>
          <w:szCs w:val="24"/>
          <w:lang w:eastAsia="zh-CN"/>
        </w:rPr>
        <w:lastRenderedPageBreak/>
        <w:t>做出决议，请国际电联无线电通信部门</w:t>
      </w:r>
    </w:p>
    <w:p w14:paraId="7D95468C" w14:textId="77777777" w:rsidR="00B1592E" w:rsidRDefault="00897AEF">
      <w:pPr>
        <w:jc w:val="both"/>
        <w:rPr>
          <w:szCs w:val="24"/>
          <w:lang w:eastAsia="zh-CN"/>
        </w:rPr>
      </w:pPr>
      <w:r>
        <w:rPr>
          <w:szCs w:val="24"/>
          <w:lang w:eastAsia="zh-CN"/>
        </w:rPr>
        <w:t>1</w:t>
      </w:r>
      <w:r>
        <w:rPr>
          <w:szCs w:val="24"/>
          <w:lang w:eastAsia="zh-CN"/>
        </w:rPr>
        <w:tab/>
      </w:r>
      <w:r>
        <w:rPr>
          <w:szCs w:val="24"/>
          <w:lang w:eastAsia="zh-CN"/>
        </w:rPr>
        <w:t>在</w:t>
      </w:r>
      <w:r>
        <w:rPr>
          <w:szCs w:val="24"/>
          <w:lang w:eastAsia="zh-CN"/>
        </w:rPr>
        <w:t>390-450</w:t>
      </w:r>
      <w:r>
        <w:rPr>
          <w:rFonts w:hint="eastAsia"/>
          <w:szCs w:val="24"/>
          <w:lang w:eastAsia="zh-CN"/>
        </w:rPr>
        <w:t> MHz</w:t>
      </w:r>
      <w:r>
        <w:rPr>
          <w:szCs w:val="24"/>
          <w:lang w:eastAsia="zh-CN"/>
        </w:rPr>
        <w:t>、</w:t>
      </w:r>
      <w:r>
        <w:rPr>
          <w:szCs w:val="24"/>
          <w:lang w:eastAsia="zh-CN"/>
        </w:rPr>
        <w:t>2 400</w:t>
      </w:r>
      <w:r>
        <w:rPr>
          <w:szCs w:val="24"/>
          <w:lang w:eastAsia="zh-CN"/>
        </w:rPr>
        <w:noBreakHyphen/>
        <w:t>2 700</w:t>
      </w:r>
      <w:r>
        <w:rPr>
          <w:rFonts w:hint="eastAsia"/>
          <w:szCs w:val="24"/>
          <w:lang w:eastAsia="zh-CN"/>
        </w:rPr>
        <w:t> MHz</w:t>
      </w:r>
      <w:r>
        <w:rPr>
          <w:szCs w:val="24"/>
          <w:lang w:eastAsia="zh-CN"/>
        </w:rPr>
        <w:t>、</w:t>
      </w:r>
      <w:r>
        <w:rPr>
          <w:szCs w:val="24"/>
          <w:lang w:eastAsia="zh-CN"/>
        </w:rPr>
        <w:t>3 500-3 800</w:t>
      </w:r>
      <w:r>
        <w:rPr>
          <w:rFonts w:hint="eastAsia"/>
          <w:szCs w:val="24"/>
          <w:lang w:eastAsia="zh-CN"/>
        </w:rPr>
        <w:t> MHz</w:t>
      </w:r>
      <w:r>
        <w:rPr>
          <w:szCs w:val="24"/>
          <w:lang w:eastAsia="zh-CN"/>
        </w:rPr>
        <w:t>、</w:t>
      </w:r>
      <w:r>
        <w:rPr>
          <w:szCs w:val="24"/>
          <w:lang w:eastAsia="zh-CN"/>
        </w:rPr>
        <w:t>5 150</w:t>
      </w:r>
      <w:r>
        <w:rPr>
          <w:szCs w:val="24"/>
          <w:lang w:eastAsia="zh-CN"/>
        </w:rPr>
        <w:noBreakHyphen/>
        <w:t>5 925</w:t>
      </w:r>
      <w:r>
        <w:rPr>
          <w:rFonts w:hint="eastAsia"/>
          <w:szCs w:val="24"/>
          <w:lang w:eastAsia="zh-CN"/>
        </w:rPr>
        <w:t> MHz</w:t>
      </w:r>
      <w:r>
        <w:rPr>
          <w:szCs w:val="24"/>
          <w:lang w:eastAsia="zh-CN"/>
        </w:rPr>
        <w:t>和</w:t>
      </w:r>
      <w:r>
        <w:rPr>
          <w:szCs w:val="24"/>
          <w:lang w:eastAsia="zh-CN"/>
        </w:rPr>
        <w:t>25.25-28.35 GHz</w:t>
      </w:r>
      <w:r>
        <w:rPr>
          <w:rFonts w:hint="eastAsia"/>
          <w:szCs w:val="24"/>
          <w:lang w:eastAsia="zh-CN"/>
        </w:rPr>
        <w:t>频段</w:t>
      </w:r>
      <w:r>
        <w:rPr>
          <w:szCs w:val="24"/>
          <w:lang w:eastAsia="zh-CN"/>
        </w:rPr>
        <w:t>内，</w:t>
      </w:r>
      <w:proofErr w:type="gramStart"/>
      <w:r>
        <w:rPr>
          <w:szCs w:val="24"/>
          <w:lang w:eastAsia="zh-CN"/>
        </w:rPr>
        <w:t>研究可在月球表面</w:t>
      </w:r>
      <w:r>
        <w:rPr>
          <w:rFonts w:hint="eastAsia"/>
          <w:szCs w:val="24"/>
          <w:lang w:eastAsia="zh-CN"/>
        </w:rPr>
        <w:t>操作</w:t>
      </w:r>
      <w:r>
        <w:rPr>
          <w:szCs w:val="24"/>
          <w:lang w:eastAsia="zh-CN"/>
        </w:rPr>
        <w:t>的通信系统或在月球轨道</w:t>
      </w:r>
      <w:r>
        <w:rPr>
          <w:rFonts w:hint="eastAsia"/>
          <w:szCs w:val="24"/>
          <w:lang w:val="en-US" w:eastAsia="zh-CN"/>
        </w:rPr>
        <w:t>内</w:t>
      </w:r>
      <w:r>
        <w:rPr>
          <w:szCs w:val="24"/>
          <w:lang w:eastAsia="zh-CN"/>
        </w:rPr>
        <w:t>与月球表面系统通信的通信系统的频谱需求；</w:t>
      </w:r>
      <w:proofErr w:type="gramEnd"/>
    </w:p>
    <w:p w14:paraId="62C056DA" w14:textId="3075F7D5" w:rsidR="00B1592E" w:rsidRPr="00897AEF" w:rsidRDefault="00897AEF">
      <w:pPr>
        <w:jc w:val="both"/>
        <w:rPr>
          <w:szCs w:val="24"/>
          <w:lang w:eastAsia="zh-CN"/>
        </w:rPr>
      </w:pPr>
      <w:r>
        <w:rPr>
          <w:szCs w:val="24"/>
          <w:lang w:eastAsia="zh-CN"/>
        </w:rPr>
        <w:t>2</w:t>
      </w:r>
      <w:r>
        <w:rPr>
          <w:szCs w:val="24"/>
          <w:lang w:eastAsia="zh-CN"/>
        </w:rPr>
        <w:tab/>
      </w:r>
      <w:r>
        <w:rPr>
          <w:szCs w:val="24"/>
          <w:lang w:eastAsia="zh-CN"/>
        </w:rPr>
        <w:t>研究</w:t>
      </w:r>
      <w:r w:rsidRPr="00897AEF">
        <w:rPr>
          <w:szCs w:val="24"/>
          <w:lang w:eastAsia="zh-CN"/>
        </w:rPr>
        <w:t>计划在</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eastAsia="zh-CN"/>
        </w:rPr>
        <w:t xml:space="preserve"> </w:t>
      </w:r>
      <w:proofErr w:type="gramStart"/>
      <w:r w:rsidRPr="00897AEF">
        <w:rPr>
          <w:szCs w:val="24"/>
          <w:lang w:eastAsia="zh-CN"/>
        </w:rPr>
        <w:t>1</w:t>
      </w:r>
      <w:r w:rsidRPr="00897AEF">
        <w:rPr>
          <w:szCs w:val="24"/>
          <w:lang w:val="en-US" w:eastAsia="zh-CN"/>
        </w:rPr>
        <w:t>所述</w:t>
      </w:r>
      <w:r w:rsidRPr="00897AEF">
        <w:rPr>
          <w:szCs w:val="24"/>
          <w:lang w:eastAsia="zh-CN"/>
        </w:rPr>
        <w:t>频段</w:t>
      </w:r>
      <w:r w:rsidRPr="00897AEF">
        <w:rPr>
          <w:szCs w:val="24"/>
          <w:lang w:val="en-US" w:eastAsia="zh-CN"/>
        </w:rPr>
        <w:t>内</w:t>
      </w:r>
      <w:r w:rsidRPr="00897AEF">
        <w:rPr>
          <w:szCs w:val="24"/>
          <w:lang w:eastAsia="zh-CN"/>
        </w:rPr>
        <w:t>操作的系统的技术和操作特性；</w:t>
      </w:r>
      <w:proofErr w:type="gramEnd"/>
    </w:p>
    <w:p w14:paraId="07D0DBEA" w14:textId="38B182D7" w:rsidR="00B1592E" w:rsidRPr="00897AEF" w:rsidRDefault="00897AEF">
      <w:pPr>
        <w:jc w:val="both"/>
        <w:rPr>
          <w:szCs w:val="24"/>
          <w:lang w:eastAsia="zh-CN"/>
        </w:rPr>
      </w:pPr>
      <w:r w:rsidRPr="00897AEF">
        <w:rPr>
          <w:szCs w:val="24"/>
          <w:lang w:eastAsia="zh-CN"/>
        </w:rPr>
        <w:t>3</w:t>
      </w:r>
      <w:r w:rsidRPr="00897AEF">
        <w:rPr>
          <w:szCs w:val="24"/>
          <w:lang w:eastAsia="zh-CN"/>
        </w:rPr>
        <w:tab/>
      </w:r>
      <w:r w:rsidRPr="00897AEF">
        <w:rPr>
          <w:szCs w:val="24"/>
          <w:lang w:eastAsia="zh-CN"/>
        </w:rPr>
        <w:t>研究在</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eastAsia="zh-CN"/>
        </w:rPr>
        <w:t xml:space="preserve"> </w:t>
      </w:r>
      <w:proofErr w:type="gramStart"/>
      <w:r w:rsidRPr="00897AEF">
        <w:rPr>
          <w:szCs w:val="24"/>
          <w:lang w:eastAsia="zh-CN"/>
        </w:rPr>
        <w:t>1</w:t>
      </w:r>
      <w:r w:rsidRPr="00897AEF">
        <w:rPr>
          <w:szCs w:val="24"/>
          <w:lang w:val="en-US" w:eastAsia="zh-CN"/>
        </w:rPr>
        <w:t>所述</w:t>
      </w:r>
      <w:r w:rsidRPr="00897AEF">
        <w:rPr>
          <w:szCs w:val="24"/>
          <w:lang w:eastAsia="zh-CN"/>
        </w:rPr>
        <w:t>频率范围内操作的月球表面系统和月球轨道系统的传播考虑因素；</w:t>
      </w:r>
      <w:proofErr w:type="gramEnd"/>
    </w:p>
    <w:p w14:paraId="72915701" w14:textId="0CF5517E" w:rsidR="00B1592E" w:rsidRDefault="00897AEF">
      <w:pPr>
        <w:jc w:val="both"/>
        <w:rPr>
          <w:szCs w:val="24"/>
          <w:lang w:eastAsia="zh-CN"/>
        </w:rPr>
      </w:pPr>
      <w:r w:rsidRPr="00897AEF">
        <w:rPr>
          <w:szCs w:val="24"/>
          <w:lang w:eastAsia="zh-CN"/>
        </w:rPr>
        <w:t>4</w:t>
      </w:r>
      <w:r w:rsidRPr="00897AEF">
        <w:rPr>
          <w:szCs w:val="24"/>
          <w:lang w:eastAsia="zh-CN"/>
        </w:rPr>
        <w:tab/>
      </w:r>
      <w:r w:rsidRPr="00897AEF">
        <w:rPr>
          <w:szCs w:val="24"/>
          <w:lang w:eastAsia="zh-CN"/>
        </w:rPr>
        <w:t>研究</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eastAsia="zh-CN"/>
        </w:rPr>
        <w:t xml:space="preserve"> </w:t>
      </w:r>
      <w:r w:rsidRPr="00897AEF">
        <w:rPr>
          <w:szCs w:val="24"/>
          <w:lang w:eastAsia="zh-CN"/>
        </w:rPr>
        <w:t>1</w:t>
      </w:r>
      <w:r w:rsidRPr="00897AEF">
        <w:rPr>
          <w:szCs w:val="24"/>
          <w:lang w:eastAsia="zh-CN"/>
        </w:rPr>
        <w:t>中确定的系统和相同</w:t>
      </w:r>
      <w:r w:rsidRPr="00897AEF">
        <w:rPr>
          <w:szCs w:val="24"/>
          <w:lang w:val="en-US" w:eastAsia="zh-CN"/>
        </w:rPr>
        <w:t>频段内</w:t>
      </w:r>
      <w:r w:rsidRPr="00897AEF">
        <w:rPr>
          <w:szCs w:val="24"/>
          <w:lang w:eastAsia="zh-CN"/>
        </w:rPr>
        <w:t>或</w:t>
      </w:r>
      <w:r w:rsidRPr="00897AEF">
        <w:rPr>
          <w:szCs w:val="24"/>
          <w:lang w:val="en-US" w:eastAsia="zh-CN"/>
        </w:rPr>
        <w:t>适宜时</w:t>
      </w:r>
      <w:r w:rsidRPr="00897AEF">
        <w:rPr>
          <w:szCs w:val="24"/>
          <w:lang w:eastAsia="zh-CN"/>
        </w:rPr>
        <w:t>相邻频段</w:t>
      </w:r>
      <w:r w:rsidRPr="00897AEF">
        <w:rPr>
          <w:szCs w:val="24"/>
          <w:lang w:val="en-US" w:eastAsia="zh-CN"/>
        </w:rPr>
        <w:t>内</w:t>
      </w:r>
      <w:r w:rsidRPr="00897AEF">
        <w:rPr>
          <w:szCs w:val="24"/>
          <w:lang w:eastAsia="zh-CN"/>
        </w:rPr>
        <w:t>其他受影响的业务之间的共用和兼容性</w:t>
      </w:r>
      <w:r>
        <w:rPr>
          <w:szCs w:val="24"/>
          <w:lang w:eastAsia="zh-CN"/>
        </w:rPr>
        <w:t>，以使</w:t>
      </w:r>
      <w:r>
        <w:rPr>
          <w:rFonts w:hint="eastAsia"/>
          <w:szCs w:val="24"/>
          <w:lang w:eastAsia="zh-CN"/>
        </w:rPr>
        <w:t>频段</w:t>
      </w:r>
      <w:r>
        <w:rPr>
          <w:szCs w:val="24"/>
          <w:lang w:eastAsia="zh-CN"/>
        </w:rPr>
        <w:t>能够在月球附近使用，</w:t>
      </w:r>
      <w:r>
        <w:rPr>
          <w:rFonts w:hint="eastAsia"/>
          <w:szCs w:val="24"/>
          <w:lang w:val="en-US" w:eastAsia="zh-CN"/>
        </w:rPr>
        <w:t>其中</w:t>
      </w:r>
      <w:r>
        <w:rPr>
          <w:szCs w:val="24"/>
          <w:lang w:eastAsia="zh-CN"/>
        </w:rPr>
        <w:t>包括</w:t>
      </w:r>
      <w:r>
        <w:rPr>
          <w:rFonts w:hint="eastAsia"/>
          <w:szCs w:val="24"/>
          <w:lang w:val="en-US" w:eastAsia="zh-CN"/>
        </w:rPr>
        <w:t>可能</w:t>
      </w:r>
      <w:r>
        <w:rPr>
          <w:rFonts w:hint="eastAsia"/>
          <w:szCs w:val="24"/>
          <w:lang w:eastAsia="zh-CN"/>
        </w:rPr>
        <w:t>划分</w:t>
      </w:r>
      <w:r>
        <w:rPr>
          <w:rFonts w:hint="eastAsia"/>
          <w:szCs w:val="24"/>
          <w:lang w:val="en-US" w:eastAsia="zh-CN"/>
        </w:rPr>
        <w:t>的</w:t>
      </w:r>
      <w:r>
        <w:rPr>
          <w:szCs w:val="24"/>
          <w:lang w:eastAsia="zh-CN"/>
        </w:rPr>
        <w:t>新频率和</w:t>
      </w:r>
      <w:r>
        <w:rPr>
          <w:szCs w:val="24"/>
          <w:lang w:eastAsia="zh-CN"/>
        </w:rPr>
        <w:t>/</w:t>
      </w:r>
      <w:r>
        <w:rPr>
          <w:szCs w:val="24"/>
          <w:lang w:eastAsia="zh-CN"/>
        </w:rPr>
        <w:t>或</w:t>
      </w:r>
      <w:r>
        <w:rPr>
          <w:rFonts w:hint="eastAsia"/>
          <w:szCs w:val="24"/>
          <w:lang w:val="en-US" w:eastAsia="zh-CN"/>
        </w:rPr>
        <w:t>确定的新频段，</w:t>
      </w:r>
      <w:proofErr w:type="gramStart"/>
      <w:r>
        <w:rPr>
          <w:rFonts w:hint="eastAsia"/>
          <w:szCs w:val="24"/>
          <w:lang w:val="en-US" w:eastAsia="zh-CN"/>
        </w:rPr>
        <w:t>并针对</w:t>
      </w:r>
      <w:r>
        <w:rPr>
          <w:szCs w:val="24"/>
          <w:lang w:eastAsia="zh-CN"/>
        </w:rPr>
        <w:t>在月球表面</w:t>
      </w:r>
      <w:r>
        <w:rPr>
          <w:rFonts w:hint="eastAsia"/>
          <w:szCs w:val="24"/>
          <w:lang w:val="en-US" w:eastAsia="zh-CN"/>
        </w:rPr>
        <w:t>上</w:t>
      </w:r>
      <w:r>
        <w:rPr>
          <w:szCs w:val="24"/>
          <w:lang w:eastAsia="zh-CN"/>
        </w:rPr>
        <w:t>或月球轨道</w:t>
      </w:r>
      <w:r>
        <w:rPr>
          <w:rFonts w:hint="eastAsia"/>
          <w:szCs w:val="24"/>
          <w:lang w:val="en-US" w:eastAsia="zh-CN"/>
        </w:rPr>
        <w:t>内</w:t>
      </w:r>
      <w:r>
        <w:rPr>
          <w:szCs w:val="24"/>
          <w:lang w:eastAsia="zh-CN"/>
        </w:rPr>
        <w:t>与月球表面系统</w:t>
      </w:r>
      <w:r>
        <w:rPr>
          <w:rFonts w:hint="eastAsia"/>
          <w:szCs w:val="24"/>
          <w:lang w:val="en-US" w:eastAsia="zh-CN"/>
        </w:rPr>
        <w:t>进行的</w:t>
      </w:r>
      <w:r>
        <w:rPr>
          <w:szCs w:val="24"/>
          <w:lang w:eastAsia="zh-CN"/>
        </w:rPr>
        <w:t>通信</w:t>
      </w:r>
      <w:r>
        <w:rPr>
          <w:rFonts w:hint="eastAsia"/>
          <w:szCs w:val="24"/>
          <w:lang w:val="en-US" w:eastAsia="zh-CN"/>
        </w:rPr>
        <w:t>制定</w:t>
      </w:r>
      <w:r>
        <w:rPr>
          <w:szCs w:val="24"/>
          <w:lang w:eastAsia="zh-CN"/>
        </w:rPr>
        <w:t>适当</w:t>
      </w:r>
      <w:r>
        <w:rPr>
          <w:rFonts w:hint="eastAsia"/>
          <w:szCs w:val="24"/>
          <w:lang w:val="en-US" w:eastAsia="zh-CN"/>
        </w:rPr>
        <w:t>的规则条款</w:t>
      </w:r>
      <w:r>
        <w:rPr>
          <w:szCs w:val="24"/>
          <w:lang w:eastAsia="zh-CN"/>
        </w:rPr>
        <w:t>；</w:t>
      </w:r>
      <w:proofErr w:type="gramEnd"/>
    </w:p>
    <w:p w14:paraId="4CC3A7A4" w14:textId="77777777" w:rsidR="00B1592E" w:rsidRDefault="00897AEF">
      <w:pPr>
        <w:jc w:val="both"/>
        <w:rPr>
          <w:szCs w:val="24"/>
          <w:lang w:eastAsia="zh-CN"/>
        </w:rPr>
      </w:pPr>
      <w:r>
        <w:rPr>
          <w:szCs w:val="24"/>
          <w:lang w:eastAsia="zh-CN"/>
        </w:rPr>
        <w:t>5</w:t>
      </w:r>
      <w:r>
        <w:rPr>
          <w:szCs w:val="24"/>
          <w:lang w:eastAsia="zh-CN"/>
        </w:rPr>
        <w:tab/>
      </w:r>
      <w:r>
        <w:rPr>
          <w:szCs w:val="24"/>
          <w:lang w:eastAsia="zh-CN"/>
        </w:rPr>
        <w:t>研究将各种</w:t>
      </w:r>
      <w:r>
        <w:rPr>
          <w:rFonts w:hint="eastAsia"/>
          <w:szCs w:val="24"/>
          <w:lang w:val="en-US" w:eastAsia="zh-CN"/>
        </w:rPr>
        <w:t>规则</w:t>
      </w:r>
      <w:r>
        <w:rPr>
          <w:szCs w:val="24"/>
          <w:lang w:eastAsia="zh-CN"/>
        </w:rPr>
        <w:t>定义、</w:t>
      </w:r>
      <w:proofErr w:type="gramStart"/>
      <w:r>
        <w:rPr>
          <w:rFonts w:hint="eastAsia"/>
          <w:szCs w:val="24"/>
          <w:lang w:val="en-US" w:eastAsia="zh-CN"/>
        </w:rPr>
        <w:t>条款</w:t>
      </w:r>
      <w:r>
        <w:rPr>
          <w:szCs w:val="24"/>
          <w:lang w:eastAsia="zh-CN"/>
        </w:rPr>
        <w:t>和程序应用于月球附近</w:t>
      </w:r>
      <w:r>
        <w:rPr>
          <w:rFonts w:hint="eastAsia"/>
          <w:szCs w:val="24"/>
          <w:lang w:val="en-US" w:eastAsia="zh-CN"/>
        </w:rPr>
        <w:t>操作</w:t>
      </w:r>
      <w:r>
        <w:rPr>
          <w:szCs w:val="24"/>
          <w:lang w:eastAsia="zh-CN"/>
        </w:rPr>
        <w:t>的适宜性；</w:t>
      </w:r>
      <w:proofErr w:type="gramEnd"/>
    </w:p>
    <w:p w14:paraId="0903162C" w14:textId="77777777" w:rsidR="00B1592E" w:rsidRDefault="00897AEF">
      <w:pPr>
        <w:jc w:val="both"/>
        <w:rPr>
          <w:szCs w:val="24"/>
          <w:lang w:eastAsia="zh-CN"/>
        </w:rPr>
      </w:pPr>
      <w:r>
        <w:rPr>
          <w:szCs w:val="24"/>
          <w:lang w:eastAsia="zh-CN"/>
        </w:rPr>
        <w:t>6</w:t>
      </w:r>
      <w:r>
        <w:rPr>
          <w:szCs w:val="24"/>
          <w:lang w:eastAsia="zh-CN"/>
        </w:rPr>
        <w:tab/>
      </w:r>
      <w:r>
        <w:rPr>
          <w:szCs w:val="24"/>
          <w:lang w:eastAsia="zh-CN"/>
        </w:rPr>
        <w:t>考虑到月球作为天体卫星的独特情况，研究对《无线电</w:t>
      </w:r>
      <w:r>
        <w:rPr>
          <w:rFonts w:hint="eastAsia"/>
          <w:szCs w:val="24"/>
          <w:lang w:val="en-US" w:eastAsia="zh-CN"/>
        </w:rPr>
        <w:t>规则</w:t>
      </w:r>
      <w:r>
        <w:rPr>
          <w:szCs w:val="24"/>
          <w:lang w:eastAsia="zh-CN"/>
        </w:rPr>
        <w:t>》的适当修改，</w:t>
      </w:r>
      <w:proofErr w:type="gramStart"/>
      <w:r>
        <w:rPr>
          <w:szCs w:val="24"/>
          <w:lang w:eastAsia="zh-CN"/>
        </w:rPr>
        <w:t>以</w:t>
      </w:r>
      <w:r>
        <w:rPr>
          <w:rFonts w:hint="eastAsia"/>
          <w:szCs w:val="24"/>
          <w:lang w:val="en-US" w:eastAsia="zh-CN"/>
        </w:rPr>
        <w:t>针对</w:t>
      </w:r>
      <w:r>
        <w:rPr>
          <w:szCs w:val="24"/>
          <w:lang w:eastAsia="zh-CN"/>
        </w:rPr>
        <w:t>月球表面通信</w:t>
      </w:r>
      <w:r>
        <w:rPr>
          <w:rFonts w:hint="eastAsia"/>
          <w:szCs w:val="24"/>
          <w:lang w:val="en-US" w:eastAsia="zh-CN"/>
        </w:rPr>
        <w:t>以及</w:t>
      </w:r>
      <w:r>
        <w:rPr>
          <w:szCs w:val="24"/>
          <w:lang w:eastAsia="zh-CN"/>
        </w:rPr>
        <w:t>与月球表面</w:t>
      </w:r>
      <w:r>
        <w:rPr>
          <w:rFonts w:hint="eastAsia"/>
          <w:szCs w:val="24"/>
          <w:lang w:val="en-US" w:eastAsia="zh-CN"/>
        </w:rPr>
        <w:t>电台</w:t>
      </w:r>
      <w:r>
        <w:rPr>
          <w:szCs w:val="24"/>
          <w:lang w:eastAsia="zh-CN"/>
        </w:rPr>
        <w:t>通信的月球轨道系统制定可能的</w:t>
      </w:r>
      <w:r>
        <w:rPr>
          <w:rFonts w:hint="eastAsia"/>
          <w:szCs w:val="24"/>
          <w:lang w:eastAsia="zh-CN"/>
        </w:rPr>
        <w:t>规则</w:t>
      </w:r>
      <w:r>
        <w:rPr>
          <w:szCs w:val="24"/>
          <w:lang w:eastAsia="zh-CN"/>
        </w:rPr>
        <w:t>框架；</w:t>
      </w:r>
      <w:proofErr w:type="gramEnd"/>
    </w:p>
    <w:p w14:paraId="5676566C" w14:textId="77777777" w:rsidR="00B1592E" w:rsidRDefault="00897AEF">
      <w:pPr>
        <w:jc w:val="both"/>
        <w:rPr>
          <w:szCs w:val="24"/>
          <w:lang w:eastAsia="zh-CN"/>
        </w:rPr>
      </w:pPr>
      <w:r>
        <w:rPr>
          <w:szCs w:val="24"/>
          <w:lang w:eastAsia="zh-CN"/>
        </w:rPr>
        <w:t>7</w:t>
      </w:r>
      <w:r>
        <w:rPr>
          <w:szCs w:val="24"/>
          <w:lang w:eastAsia="zh-CN"/>
        </w:rPr>
        <w:tab/>
      </w:r>
      <w:r>
        <w:rPr>
          <w:szCs w:val="24"/>
          <w:lang w:eastAsia="zh-CN"/>
        </w:rPr>
        <w:t>在</w:t>
      </w:r>
      <w:r>
        <w:rPr>
          <w:szCs w:val="24"/>
          <w:lang w:eastAsia="zh-CN"/>
        </w:rPr>
        <w:t>WRC</w:t>
      </w:r>
      <w:r>
        <w:rPr>
          <w:rFonts w:hint="eastAsia"/>
          <w:szCs w:val="24"/>
          <w:lang w:val="en-US" w:eastAsia="zh-CN"/>
        </w:rPr>
        <w:t>-</w:t>
      </w:r>
      <w:r>
        <w:rPr>
          <w:szCs w:val="24"/>
          <w:lang w:eastAsia="zh-CN"/>
        </w:rPr>
        <w:t>27</w:t>
      </w:r>
      <w:r>
        <w:rPr>
          <w:szCs w:val="24"/>
          <w:lang w:eastAsia="zh-CN"/>
        </w:rPr>
        <w:t>之前完成这些研究，</w:t>
      </w:r>
    </w:p>
    <w:p w14:paraId="14DE4F2B" w14:textId="77777777" w:rsidR="00B1592E" w:rsidRDefault="00897AEF">
      <w:pPr>
        <w:pStyle w:val="Call"/>
        <w:jc w:val="both"/>
        <w:rPr>
          <w:szCs w:val="24"/>
          <w:lang w:eastAsia="zh-CN"/>
        </w:rPr>
      </w:pPr>
      <w:r>
        <w:rPr>
          <w:rFonts w:hint="eastAsia"/>
          <w:szCs w:val="24"/>
          <w:lang w:eastAsia="zh-CN"/>
        </w:rPr>
        <w:t>请各主管部门</w:t>
      </w:r>
    </w:p>
    <w:p w14:paraId="2F8FE79C" w14:textId="77777777" w:rsidR="00B1592E" w:rsidRDefault="00897AEF">
      <w:pPr>
        <w:ind w:firstLineChars="200" w:firstLine="480"/>
        <w:jc w:val="both"/>
        <w:rPr>
          <w:szCs w:val="24"/>
          <w:lang w:eastAsia="zh-CN"/>
        </w:rPr>
      </w:pPr>
      <w:r>
        <w:rPr>
          <w:rFonts w:hint="eastAsia"/>
          <w:lang w:eastAsia="zh-CN"/>
        </w:rPr>
        <w:t>通过向</w:t>
      </w:r>
      <w:r>
        <w:rPr>
          <w:rFonts w:hint="eastAsia"/>
          <w:lang w:eastAsia="zh-CN"/>
        </w:rPr>
        <w:t>ITU-R</w:t>
      </w:r>
      <w:r>
        <w:rPr>
          <w:rFonts w:hint="eastAsia"/>
          <w:lang w:eastAsia="zh-CN"/>
        </w:rPr>
        <w:t>提交文稿参与研究工作，</w:t>
      </w:r>
    </w:p>
    <w:p w14:paraId="3EB50DFC" w14:textId="77777777" w:rsidR="00B1592E" w:rsidRPr="00897AEF" w:rsidRDefault="00897AEF">
      <w:pPr>
        <w:pStyle w:val="Call"/>
        <w:jc w:val="both"/>
        <w:rPr>
          <w:rFonts w:ascii="Times New Roman" w:hAnsi="Times New Roman"/>
          <w:szCs w:val="24"/>
          <w:lang w:eastAsia="zh-CN"/>
        </w:rPr>
      </w:pPr>
      <w:bookmarkStart w:id="14" w:name="_Hlk142473247"/>
      <w:r w:rsidRPr="00897AEF">
        <w:rPr>
          <w:rFonts w:ascii="Times New Roman" w:hAnsi="Times New Roman"/>
          <w:szCs w:val="24"/>
          <w:lang w:eastAsia="zh-CN"/>
        </w:rPr>
        <w:t>请</w:t>
      </w:r>
      <w:r w:rsidRPr="00897AEF">
        <w:rPr>
          <w:rFonts w:ascii="Times New Roman" w:hAnsi="Times New Roman"/>
          <w:szCs w:val="24"/>
          <w:lang w:eastAsia="zh-CN"/>
        </w:rPr>
        <w:t>2027</w:t>
      </w:r>
      <w:r w:rsidRPr="00897AEF">
        <w:rPr>
          <w:rFonts w:ascii="Times New Roman" w:hAnsi="Times New Roman"/>
          <w:szCs w:val="24"/>
          <w:lang w:eastAsia="zh-CN"/>
        </w:rPr>
        <w:t>年世界无线电通信大会</w:t>
      </w:r>
    </w:p>
    <w:bookmarkEnd w:id="14"/>
    <w:p w14:paraId="42E64CDF" w14:textId="77777777" w:rsidR="00B1592E" w:rsidRDefault="00897AEF">
      <w:pPr>
        <w:jc w:val="both"/>
        <w:rPr>
          <w:lang w:eastAsia="zh-CN"/>
        </w:rPr>
      </w:pPr>
      <w:r>
        <w:rPr>
          <w:lang w:eastAsia="zh-CN"/>
        </w:rPr>
        <w:t>1</w:t>
      </w:r>
      <w:r>
        <w:rPr>
          <w:lang w:eastAsia="zh-CN"/>
        </w:rPr>
        <w:tab/>
      </w:r>
      <w:r>
        <w:rPr>
          <w:szCs w:val="24"/>
          <w:lang w:eastAsia="zh-CN"/>
        </w:rPr>
        <w:t>根据上述研究的结果，考虑在</w:t>
      </w:r>
      <w:r>
        <w:rPr>
          <w:rFonts w:ascii="STKaiti" w:eastAsia="STKaiti" w:hAnsi="STKaiti" w:cs="STKaiti" w:hint="eastAsia"/>
          <w:szCs w:val="24"/>
          <w:lang w:val="en-US" w:eastAsia="zh-CN"/>
        </w:rPr>
        <w:t>做出决议，</w:t>
      </w:r>
      <w:r>
        <w:rPr>
          <w:rFonts w:ascii="STKaiti" w:eastAsia="STKaiti" w:hAnsi="STKaiti" w:cs="STKaiti" w:hint="eastAsia"/>
          <w:szCs w:val="24"/>
          <w:lang w:eastAsia="zh-CN"/>
        </w:rPr>
        <w:t>请国际电联无线电通信部门</w:t>
      </w:r>
      <w:r>
        <w:rPr>
          <w:rFonts w:ascii="STKaiti" w:eastAsia="STKaiti" w:hAnsi="STKaiti" w:cs="STKaiti" w:hint="eastAsia"/>
          <w:szCs w:val="24"/>
          <w:lang w:val="en-US" w:eastAsia="zh-CN"/>
        </w:rPr>
        <w:t xml:space="preserve"> </w:t>
      </w:r>
      <w:r>
        <w:rPr>
          <w:szCs w:val="24"/>
          <w:lang w:eastAsia="zh-CN"/>
        </w:rPr>
        <w:t>1</w:t>
      </w:r>
      <w:r>
        <w:rPr>
          <w:szCs w:val="24"/>
          <w:lang w:eastAsia="zh-CN"/>
        </w:rPr>
        <w:t>中</w:t>
      </w:r>
      <w:r>
        <w:rPr>
          <w:rFonts w:hint="eastAsia"/>
          <w:szCs w:val="24"/>
          <w:lang w:val="en-US" w:eastAsia="zh-CN"/>
        </w:rPr>
        <w:t>列出</w:t>
      </w:r>
      <w:r>
        <w:rPr>
          <w:szCs w:val="24"/>
          <w:lang w:eastAsia="zh-CN"/>
        </w:rPr>
        <w:t>的部分或全部</w:t>
      </w:r>
      <w:r>
        <w:rPr>
          <w:rFonts w:hint="eastAsia"/>
          <w:szCs w:val="24"/>
          <w:lang w:eastAsia="zh-CN"/>
        </w:rPr>
        <w:t>频段</w:t>
      </w:r>
      <w:r>
        <w:rPr>
          <w:rFonts w:hint="eastAsia"/>
          <w:szCs w:val="24"/>
          <w:lang w:val="en-US" w:eastAsia="zh-CN"/>
        </w:rPr>
        <w:t>内</w:t>
      </w:r>
      <w:r>
        <w:rPr>
          <w:rFonts w:hint="eastAsia"/>
          <w:szCs w:val="24"/>
          <w:lang w:eastAsia="zh-CN"/>
        </w:rPr>
        <w:t>划分</w:t>
      </w:r>
      <w:r>
        <w:rPr>
          <w:szCs w:val="24"/>
          <w:lang w:eastAsia="zh-CN"/>
        </w:rPr>
        <w:t>和</w:t>
      </w:r>
      <w:r>
        <w:rPr>
          <w:rFonts w:hint="eastAsia"/>
          <w:szCs w:val="24"/>
          <w:lang w:eastAsia="zh-CN"/>
        </w:rPr>
        <w:t>（</w:t>
      </w:r>
      <w:r>
        <w:rPr>
          <w:szCs w:val="24"/>
          <w:lang w:eastAsia="zh-CN"/>
        </w:rPr>
        <w:t>或</w:t>
      </w:r>
      <w:r>
        <w:rPr>
          <w:rFonts w:hint="eastAsia"/>
          <w:szCs w:val="24"/>
          <w:lang w:eastAsia="zh-CN"/>
        </w:rPr>
        <w:t>）</w:t>
      </w:r>
      <w:r>
        <w:rPr>
          <w:szCs w:val="24"/>
          <w:lang w:eastAsia="zh-CN"/>
        </w:rPr>
        <w:t>确定</w:t>
      </w:r>
      <w:r>
        <w:rPr>
          <w:rFonts w:hint="eastAsia"/>
          <w:szCs w:val="24"/>
          <w:lang w:eastAsia="zh-CN"/>
        </w:rPr>
        <w:t>频段，</w:t>
      </w:r>
      <w:proofErr w:type="gramStart"/>
      <w:r>
        <w:rPr>
          <w:rFonts w:hint="eastAsia"/>
          <w:szCs w:val="24"/>
          <w:lang w:val="en-US" w:eastAsia="zh-CN"/>
        </w:rPr>
        <w:t>以供</w:t>
      </w:r>
      <w:r>
        <w:rPr>
          <w:szCs w:val="24"/>
          <w:lang w:eastAsia="zh-CN"/>
        </w:rPr>
        <w:t>在月球附近使用；</w:t>
      </w:r>
      <w:proofErr w:type="gramEnd"/>
    </w:p>
    <w:p w14:paraId="181FD610" w14:textId="77777777" w:rsidR="00B1592E" w:rsidRPr="00897AEF" w:rsidRDefault="00897AEF">
      <w:pPr>
        <w:jc w:val="both"/>
        <w:rPr>
          <w:lang w:eastAsia="zh-CN"/>
        </w:rPr>
      </w:pPr>
      <w:r w:rsidRPr="00897AEF">
        <w:rPr>
          <w:lang w:eastAsia="zh-CN"/>
        </w:rPr>
        <w:t>2</w:t>
      </w:r>
      <w:r w:rsidRPr="00897AEF">
        <w:rPr>
          <w:lang w:eastAsia="zh-CN"/>
        </w:rPr>
        <w:tab/>
      </w:r>
      <w:r w:rsidRPr="00897AEF">
        <w:rPr>
          <w:szCs w:val="24"/>
          <w:lang w:eastAsia="zh-CN"/>
        </w:rPr>
        <w:t>请未来</w:t>
      </w:r>
      <w:r w:rsidRPr="00897AEF">
        <w:rPr>
          <w:szCs w:val="24"/>
          <w:lang w:val="en-US" w:eastAsia="zh-CN"/>
        </w:rPr>
        <w:t>有权</w:t>
      </w:r>
      <w:r w:rsidRPr="00897AEF">
        <w:rPr>
          <w:szCs w:val="24"/>
          <w:lang w:eastAsia="zh-CN"/>
        </w:rPr>
        <w:t>的</w:t>
      </w:r>
      <w:r w:rsidRPr="00897AEF">
        <w:rPr>
          <w:szCs w:val="24"/>
          <w:lang w:val="en-US" w:eastAsia="zh-CN"/>
        </w:rPr>
        <w:t>大会</w:t>
      </w:r>
      <w:r w:rsidRPr="00897AEF">
        <w:rPr>
          <w:szCs w:val="24"/>
          <w:lang w:eastAsia="zh-CN"/>
        </w:rPr>
        <w:t>修订这些划分和</w:t>
      </w:r>
      <w:r w:rsidRPr="00897AEF">
        <w:rPr>
          <w:szCs w:val="24"/>
          <w:lang w:eastAsia="zh-CN"/>
        </w:rPr>
        <w:t>/</w:t>
      </w:r>
      <w:r w:rsidRPr="00897AEF">
        <w:rPr>
          <w:szCs w:val="24"/>
          <w:lang w:eastAsia="zh-CN"/>
        </w:rPr>
        <w:t>或</w:t>
      </w:r>
      <w:r w:rsidRPr="00897AEF">
        <w:rPr>
          <w:szCs w:val="24"/>
          <w:lang w:val="en-US" w:eastAsia="zh-CN"/>
        </w:rPr>
        <w:t>确定的频段</w:t>
      </w:r>
      <w:r w:rsidRPr="00897AEF">
        <w:rPr>
          <w:szCs w:val="24"/>
          <w:lang w:eastAsia="zh-CN"/>
        </w:rPr>
        <w:t>，并</w:t>
      </w:r>
      <w:r w:rsidRPr="00897AEF">
        <w:rPr>
          <w:szCs w:val="24"/>
          <w:lang w:val="en-US" w:eastAsia="zh-CN"/>
        </w:rPr>
        <w:t>做出</w:t>
      </w:r>
      <w:r w:rsidRPr="00897AEF">
        <w:rPr>
          <w:szCs w:val="24"/>
          <w:lang w:eastAsia="zh-CN"/>
        </w:rPr>
        <w:t>其他适当的规则修改，以期建立一个规则框架，同时考虑到</w:t>
      </w:r>
      <w:r w:rsidRPr="00897AEF">
        <w:rPr>
          <w:szCs w:val="24"/>
          <w:lang w:val="en-US" w:eastAsia="zh-CN"/>
        </w:rPr>
        <w:t>上述</w:t>
      </w:r>
      <w:r w:rsidRPr="00897AEF">
        <w:rPr>
          <w:rFonts w:eastAsia="STKaiti"/>
          <w:szCs w:val="24"/>
          <w:lang w:val="en-US" w:eastAsia="zh-CN"/>
        </w:rPr>
        <w:t>做出决议，</w:t>
      </w:r>
      <w:r w:rsidRPr="00897AEF">
        <w:rPr>
          <w:rFonts w:eastAsia="STKaiti"/>
          <w:szCs w:val="24"/>
          <w:lang w:eastAsia="zh-CN"/>
        </w:rPr>
        <w:t>请国际电联无线电通信部门</w:t>
      </w:r>
      <w:r w:rsidRPr="00897AEF">
        <w:rPr>
          <w:rFonts w:eastAsia="STKaiti"/>
          <w:szCs w:val="24"/>
          <w:lang w:val="en-US" w:eastAsia="zh-CN"/>
        </w:rPr>
        <w:t xml:space="preserve"> </w:t>
      </w:r>
      <w:r w:rsidRPr="00897AEF">
        <w:rPr>
          <w:szCs w:val="24"/>
          <w:lang w:eastAsia="zh-CN"/>
        </w:rPr>
        <w:t>5</w:t>
      </w:r>
      <w:r w:rsidRPr="00897AEF">
        <w:rPr>
          <w:szCs w:val="24"/>
          <w:lang w:eastAsia="zh-CN"/>
        </w:rPr>
        <w:t>。</w:t>
      </w:r>
    </w:p>
    <w:p w14:paraId="1863EF7E" w14:textId="77777777" w:rsidR="00B1592E" w:rsidRDefault="00897AEF">
      <w:pPr>
        <w:pStyle w:val="Reasons"/>
        <w:jc w:val="both"/>
        <w:rPr>
          <w:lang w:eastAsia="zh-CN"/>
        </w:rPr>
      </w:pPr>
      <w:r>
        <w:rPr>
          <w:b/>
          <w:lang w:eastAsia="zh-CN"/>
        </w:rPr>
        <w:t>理由：</w:t>
      </w:r>
      <w:r>
        <w:rPr>
          <w:lang w:eastAsia="zh-CN"/>
        </w:rPr>
        <w:tab/>
      </w:r>
      <w:r>
        <w:rPr>
          <w:szCs w:val="24"/>
          <w:lang w:eastAsia="zh-CN"/>
        </w:rPr>
        <w:t>提供支持该</w:t>
      </w:r>
      <w:r>
        <w:rPr>
          <w:rFonts w:hint="eastAsia"/>
          <w:szCs w:val="24"/>
          <w:lang w:eastAsia="zh-CN"/>
        </w:rPr>
        <w:t>议项</w:t>
      </w:r>
      <w:r>
        <w:rPr>
          <w:szCs w:val="24"/>
          <w:lang w:eastAsia="zh-CN"/>
        </w:rPr>
        <w:t>的决议。</w:t>
      </w:r>
    </w:p>
    <w:p w14:paraId="4CE779C8" w14:textId="77777777" w:rsidR="00B1592E" w:rsidRDefault="00897AEF">
      <w:pPr>
        <w:rPr>
          <w:lang w:eastAsia="zh-CN"/>
        </w:rPr>
      </w:pPr>
      <w:r>
        <w:rPr>
          <w:lang w:eastAsia="zh-CN"/>
        </w:rPr>
        <w:br w:type="page"/>
      </w:r>
    </w:p>
    <w:p w14:paraId="6737D2A8" w14:textId="77777777" w:rsidR="00B1592E" w:rsidRDefault="00897AEF">
      <w:pPr>
        <w:pStyle w:val="AnnexNo"/>
        <w:rPr>
          <w:lang w:val="en-US"/>
        </w:rPr>
      </w:pPr>
      <w:proofErr w:type="spellStart"/>
      <w:r>
        <w:rPr>
          <w:rFonts w:hint="eastAsia"/>
        </w:rPr>
        <w:lastRenderedPageBreak/>
        <w:t>后附资料</w:t>
      </w:r>
      <w:proofErr w:type="spellEnd"/>
    </w:p>
    <w:p w14:paraId="6399718A" w14:textId="77777777" w:rsidR="00B1592E" w:rsidRDefault="00897AEF">
      <w:pPr>
        <w:pStyle w:val="Annextitle"/>
      </w:pPr>
      <w:proofErr w:type="spellStart"/>
      <w:r>
        <w:rPr>
          <w:rFonts w:hint="eastAsia"/>
        </w:rPr>
        <w:t>议项提案草案</w:t>
      </w:r>
      <w:proofErr w:type="spellEnd"/>
    </w:p>
    <w:tbl>
      <w:tblPr>
        <w:tblW w:w="8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821"/>
      </w:tblGrid>
      <w:tr w:rsidR="00B1592E" w14:paraId="3B37074B" w14:textId="77777777">
        <w:trPr>
          <w:trHeight w:val="300"/>
        </w:trPr>
        <w:tc>
          <w:tcPr>
            <w:tcW w:w="8931" w:type="dxa"/>
            <w:gridSpan w:val="2"/>
            <w:tcBorders>
              <w:top w:val="nil"/>
              <w:left w:val="nil"/>
              <w:bottom w:val="nil"/>
              <w:right w:val="nil"/>
            </w:tcBorders>
            <w:shd w:val="clear" w:color="auto" w:fill="auto"/>
          </w:tcPr>
          <w:p w14:paraId="10A5944D" w14:textId="77777777" w:rsidR="00B1592E" w:rsidRDefault="00897AEF">
            <w:pPr>
              <w:spacing w:after="120"/>
              <w:rPr>
                <w:lang w:eastAsia="zh-CN"/>
              </w:rPr>
            </w:pPr>
            <w:r>
              <w:rPr>
                <w:rFonts w:hint="eastAsia"/>
                <w:b/>
                <w:bCs/>
                <w:szCs w:val="24"/>
                <w:lang w:val="en-US" w:eastAsia="zh-CN"/>
              </w:rPr>
              <w:t>事由：</w:t>
            </w:r>
            <w:r>
              <w:rPr>
                <w:bCs/>
                <w:szCs w:val="24"/>
                <w:lang w:eastAsia="zh-CN"/>
              </w:rPr>
              <w:t>提出一个</w:t>
            </w:r>
            <w:r>
              <w:rPr>
                <w:bCs/>
                <w:szCs w:val="24"/>
                <w:lang w:eastAsia="zh-CN"/>
              </w:rPr>
              <w:t>WRC</w:t>
            </w:r>
            <w:r>
              <w:rPr>
                <w:rFonts w:hint="eastAsia"/>
                <w:bCs/>
                <w:szCs w:val="24"/>
                <w:lang w:val="en-US" w:eastAsia="zh-CN"/>
              </w:rPr>
              <w:t>-</w:t>
            </w:r>
            <w:r>
              <w:rPr>
                <w:bCs/>
                <w:szCs w:val="24"/>
                <w:lang w:eastAsia="zh-CN"/>
              </w:rPr>
              <w:t>27</w:t>
            </w:r>
            <w:r>
              <w:rPr>
                <w:rFonts w:hint="eastAsia"/>
                <w:bCs/>
                <w:szCs w:val="24"/>
                <w:lang w:eastAsia="zh-CN"/>
              </w:rPr>
              <w:t>议项</w:t>
            </w:r>
            <w:r>
              <w:rPr>
                <w:bCs/>
                <w:szCs w:val="24"/>
                <w:lang w:eastAsia="zh-CN"/>
              </w:rPr>
              <w:t>，</w:t>
            </w:r>
            <w:r>
              <w:rPr>
                <w:rFonts w:hint="eastAsia"/>
                <w:bCs/>
                <w:szCs w:val="24"/>
                <w:lang w:val="en-US" w:eastAsia="zh-CN"/>
              </w:rPr>
              <w:t>以就</w:t>
            </w:r>
            <w:r>
              <w:rPr>
                <w:bCs/>
                <w:szCs w:val="24"/>
                <w:lang w:eastAsia="zh-CN"/>
              </w:rPr>
              <w:t>月球表面通信可能</w:t>
            </w:r>
            <w:r>
              <w:rPr>
                <w:rFonts w:hint="eastAsia"/>
                <w:bCs/>
                <w:szCs w:val="24"/>
                <w:lang w:eastAsia="zh-CN"/>
              </w:rPr>
              <w:t>划分</w:t>
            </w:r>
            <w:r>
              <w:rPr>
                <w:rFonts w:hint="eastAsia"/>
                <w:bCs/>
                <w:szCs w:val="24"/>
                <w:lang w:val="en-US" w:eastAsia="zh-CN"/>
              </w:rPr>
              <w:t>的</w:t>
            </w:r>
            <w:r>
              <w:rPr>
                <w:bCs/>
                <w:szCs w:val="24"/>
                <w:lang w:eastAsia="zh-CN"/>
              </w:rPr>
              <w:t>频率和</w:t>
            </w:r>
            <w:r>
              <w:rPr>
                <w:bCs/>
                <w:szCs w:val="24"/>
                <w:lang w:eastAsia="zh-CN"/>
              </w:rPr>
              <w:t>/</w:t>
            </w:r>
            <w:r>
              <w:rPr>
                <w:bCs/>
                <w:szCs w:val="24"/>
                <w:lang w:eastAsia="zh-CN"/>
              </w:rPr>
              <w:t>或</w:t>
            </w:r>
            <w:r>
              <w:rPr>
                <w:rFonts w:hint="eastAsia"/>
                <w:bCs/>
                <w:szCs w:val="24"/>
                <w:lang w:val="en-US" w:eastAsia="zh-CN"/>
              </w:rPr>
              <w:t>可能确定的频段展开</w:t>
            </w:r>
            <w:r>
              <w:rPr>
                <w:bCs/>
                <w:szCs w:val="24"/>
                <w:lang w:eastAsia="zh-CN"/>
              </w:rPr>
              <w:t>研究。</w:t>
            </w:r>
          </w:p>
        </w:tc>
      </w:tr>
      <w:tr w:rsidR="00B1592E" w14:paraId="5D57DAA3" w14:textId="77777777">
        <w:trPr>
          <w:trHeight w:val="300"/>
        </w:trPr>
        <w:tc>
          <w:tcPr>
            <w:tcW w:w="8931" w:type="dxa"/>
            <w:gridSpan w:val="2"/>
            <w:tcBorders>
              <w:top w:val="nil"/>
              <w:left w:val="nil"/>
              <w:bottom w:val="single" w:sz="6" w:space="0" w:color="auto"/>
              <w:right w:val="nil"/>
            </w:tcBorders>
            <w:shd w:val="clear" w:color="auto" w:fill="auto"/>
          </w:tcPr>
          <w:p w14:paraId="491FA05D"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Pr>
                <w:rFonts w:hint="eastAsia"/>
                <w:b/>
                <w:bCs/>
                <w:szCs w:val="24"/>
                <w:lang w:val="en-US" w:eastAsia="zh-CN"/>
              </w:rPr>
              <w:t>提交机构：</w:t>
            </w:r>
            <w:r>
              <w:rPr>
                <w:szCs w:val="24"/>
                <w:lang w:eastAsia="en-GB"/>
              </w:rPr>
              <w:t>CITEL </w:t>
            </w:r>
          </w:p>
        </w:tc>
      </w:tr>
      <w:tr w:rsidR="00B1592E" w14:paraId="52AB232C" w14:textId="77777777">
        <w:trPr>
          <w:trHeight w:val="300"/>
        </w:trPr>
        <w:tc>
          <w:tcPr>
            <w:tcW w:w="8931" w:type="dxa"/>
            <w:gridSpan w:val="2"/>
            <w:tcBorders>
              <w:top w:val="single" w:sz="6" w:space="0" w:color="auto"/>
              <w:left w:val="nil"/>
              <w:bottom w:val="single" w:sz="6" w:space="0" w:color="auto"/>
              <w:right w:val="nil"/>
            </w:tcBorders>
            <w:shd w:val="clear" w:color="auto" w:fill="auto"/>
          </w:tcPr>
          <w:p w14:paraId="0E6B8AAA" w14:textId="661B739D" w:rsidR="00B1592E" w:rsidRDefault="00897AEF">
            <w:pPr>
              <w:tabs>
                <w:tab w:val="clear" w:pos="1134"/>
                <w:tab w:val="clear" w:pos="1871"/>
                <w:tab w:val="clear" w:pos="2268"/>
              </w:tabs>
              <w:overflowPunct/>
              <w:autoSpaceDE/>
              <w:autoSpaceDN/>
              <w:adjustRightInd/>
              <w:spacing w:before="0"/>
              <w:rPr>
                <w:rFonts w:ascii="Segoe UI" w:hAnsi="Segoe UI" w:cs="Segoe UI"/>
                <w:sz w:val="18"/>
                <w:szCs w:val="18"/>
                <w:lang w:eastAsia="zh-CN"/>
              </w:rPr>
            </w:pPr>
            <w:r>
              <w:rPr>
                <w:rFonts w:ascii="STKaiti" w:eastAsia="STKaiti" w:hAnsi="STKaiti" w:cs="STKaiti" w:hint="eastAsia"/>
                <w:b/>
                <w:bCs/>
                <w:color w:val="000000"/>
                <w:szCs w:val="24"/>
                <w:lang w:val="en-US" w:eastAsia="zh-CN"/>
              </w:rPr>
              <w:t>提案</w:t>
            </w:r>
            <w:r w:rsidR="003C672F">
              <w:rPr>
                <w:rFonts w:ascii="STKaiti" w:eastAsia="STKaiti" w:hAnsi="STKaiti" w:cs="STKaiti" w:hint="eastAsia"/>
                <w:b/>
                <w:bCs/>
                <w:color w:val="000000"/>
                <w:szCs w:val="24"/>
                <w:lang w:val="en-US" w:eastAsia="zh-CN"/>
              </w:rPr>
              <w:t>：</w:t>
            </w:r>
            <w:r>
              <w:rPr>
                <w:color w:val="000000"/>
                <w:szCs w:val="24"/>
                <w:lang w:eastAsia="zh-CN"/>
              </w:rPr>
              <w:t> </w:t>
            </w:r>
          </w:p>
          <w:p w14:paraId="4EB3615E" w14:textId="77777777" w:rsidR="00B1592E" w:rsidRDefault="00897AEF">
            <w:pPr>
              <w:tabs>
                <w:tab w:val="clear" w:pos="1134"/>
                <w:tab w:val="clear" w:pos="1871"/>
                <w:tab w:val="clear" w:pos="2268"/>
              </w:tabs>
              <w:overflowPunct/>
              <w:autoSpaceDE/>
              <w:autoSpaceDN/>
              <w:adjustRightInd/>
              <w:spacing w:before="0" w:after="120"/>
              <w:rPr>
                <w:szCs w:val="24"/>
                <w:lang w:val="en-US" w:eastAsia="zh-CN"/>
              </w:rPr>
            </w:pPr>
            <w:r>
              <w:rPr>
                <w:szCs w:val="24"/>
                <w:lang w:eastAsia="zh-CN"/>
              </w:rPr>
              <w:t>根据</w:t>
            </w:r>
            <w:r>
              <w:rPr>
                <w:rFonts w:hint="eastAsia"/>
                <w:szCs w:val="24"/>
                <w:lang w:val="en-US" w:eastAsia="zh-CN"/>
              </w:rPr>
              <w:t>第</w:t>
            </w:r>
            <w:r>
              <w:rPr>
                <w:b/>
                <w:bCs/>
                <w:lang w:eastAsia="zh-CN"/>
              </w:rPr>
              <w:t>[</w:t>
            </w:r>
            <w:r>
              <w:rPr>
                <w:b/>
                <w:lang w:eastAsia="zh-CN"/>
              </w:rPr>
              <w:t>AI-10-LUNAR</w:t>
            </w:r>
            <w:r>
              <w:rPr>
                <w:b/>
                <w:bCs/>
                <w:lang w:eastAsia="zh-CN"/>
              </w:rPr>
              <w:t>]</w:t>
            </w:r>
            <w:r>
              <w:rPr>
                <w:rFonts w:hint="eastAsia"/>
                <w:szCs w:val="24"/>
                <w:lang w:val="en-US" w:eastAsia="zh-CN"/>
              </w:rPr>
              <w:t>号</w:t>
            </w:r>
            <w:r>
              <w:rPr>
                <w:szCs w:val="24"/>
                <w:lang w:eastAsia="zh-CN"/>
              </w:rPr>
              <w:t>决议</w:t>
            </w:r>
            <w:r>
              <w:rPr>
                <w:rFonts w:hint="eastAsia"/>
                <w:b/>
                <w:bCs/>
                <w:szCs w:val="24"/>
                <w:lang w:eastAsia="zh-CN"/>
              </w:rPr>
              <w:t>（</w:t>
            </w:r>
            <w:r>
              <w:rPr>
                <w:rFonts w:hint="eastAsia"/>
                <w:b/>
                <w:bCs/>
                <w:szCs w:val="24"/>
                <w:lang w:eastAsia="zh-CN"/>
              </w:rPr>
              <w:t>WRC-23</w:t>
            </w:r>
            <w:r>
              <w:rPr>
                <w:rFonts w:hint="eastAsia"/>
                <w:b/>
                <w:bCs/>
                <w:szCs w:val="24"/>
                <w:lang w:eastAsia="zh-CN"/>
              </w:rPr>
              <w:t>）</w:t>
            </w:r>
            <w:r>
              <w:rPr>
                <w:szCs w:val="24"/>
                <w:lang w:eastAsia="zh-CN"/>
              </w:rPr>
              <w:t>，考虑</w:t>
            </w:r>
            <w:r>
              <w:rPr>
                <w:rFonts w:hint="eastAsia"/>
                <w:szCs w:val="24"/>
                <w:lang w:val="en-US" w:eastAsia="zh-CN"/>
              </w:rPr>
              <w:t>为</w:t>
            </w:r>
            <w:r>
              <w:rPr>
                <w:szCs w:val="24"/>
                <w:lang w:eastAsia="zh-CN"/>
              </w:rPr>
              <w:t>月球表面通信</w:t>
            </w:r>
            <w:r>
              <w:rPr>
                <w:rFonts w:hint="eastAsia"/>
                <w:szCs w:val="24"/>
                <w:lang w:val="en-US" w:eastAsia="zh-CN"/>
              </w:rPr>
              <w:t>进行</w:t>
            </w:r>
            <w:r>
              <w:rPr>
                <w:szCs w:val="24"/>
                <w:lang w:eastAsia="zh-CN"/>
              </w:rPr>
              <w:t>频率</w:t>
            </w:r>
            <w:r>
              <w:rPr>
                <w:rFonts w:hint="eastAsia"/>
                <w:szCs w:val="24"/>
                <w:lang w:eastAsia="zh-CN"/>
              </w:rPr>
              <w:t>划分</w:t>
            </w:r>
            <w:r>
              <w:rPr>
                <w:szCs w:val="24"/>
                <w:lang w:eastAsia="zh-CN"/>
              </w:rPr>
              <w:t>和</w:t>
            </w:r>
            <w:r>
              <w:rPr>
                <w:szCs w:val="24"/>
                <w:lang w:eastAsia="zh-CN"/>
              </w:rPr>
              <w:t>/</w:t>
            </w:r>
            <w:r>
              <w:rPr>
                <w:szCs w:val="24"/>
                <w:lang w:eastAsia="zh-CN"/>
              </w:rPr>
              <w:t>或</w:t>
            </w:r>
            <w:r>
              <w:rPr>
                <w:rFonts w:hint="eastAsia"/>
                <w:szCs w:val="24"/>
                <w:lang w:val="en-US" w:eastAsia="zh-CN"/>
              </w:rPr>
              <w:t>确定频段。</w:t>
            </w:r>
          </w:p>
        </w:tc>
      </w:tr>
      <w:tr w:rsidR="00B1592E" w14:paraId="6F24B9FA" w14:textId="77777777">
        <w:trPr>
          <w:trHeight w:val="300"/>
        </w:trPr>
        <w:tc>
          <w:tcPr>
            <w:tcW w:w="8931" w:type="dxa"/>
            <w:gridSpan w:val="2"/>
            <w:tcBorders>
              <w:top w:val="single" w:sz="6" w:space="0" w:color="auto"/>
              <w:left w:val="nil"/>
              <w:bottom w:val="single" w:sz="6" w:space="0" w:color="auto"/>
              <w:right w:val="nil"/>
            </w:tcBorders>
            <w:shd w:val="clear" w:color="auto" w:fill="auto"/>
          </w:tcPr>
          <w:p w14:paraId="0A712887" w14:textId="77777777" w:rsidR="00B1592E" w:rsidRDefault="00897AEF">
            <w:pPr>
              <w:tabs>
                <w:tab w:val="clear" w:pos="1134"/>
                <w:tab w:val="clear" w:pos="1871"/>
                <w:tab w:val="clear" w:pos="2268"/>
              </w:tabs>
              <w:overflowPunct/>
              <w:autoSpaceDE/>
              <w:autoSpaceDN/>
              <w:adjustRightInd/>
              <w:spacing w:before="0"/>
              <w:rPr>
                <w:rFonts w:ascii="Segoe UI" w:hAnsi="Segoe UI" w:cs="Segoe UI"/>
                <w:sz w:val="18"/>
                <w:szCs w:val="18"/>
                <w:lang w:eastAsia="zh-CN"/>
              </w:rPr>
            </w:pPr>
            <w:r>
              <w:rPr>
                <w:rFonts w:ascii="STKaiti" w:eastAsia="STKaiti" w:hAnsi="STKaiti" w:cs="STKaiti" w:hint="eastAsia"/>
                <w:b/>
                <w:bCs/>
                <w:szCs w:val="24"/>
                <w:lang w:eastAsia="zh-CN"/>
              </w:rPr>
              <w:t>背景/</w:t>
            </w:r>
            <w:r>
              <w:rPr>
                <w:rFonts w:ascii="STKaiti" w:eastAsia="STKaiti" w:hAnsi="STKaiti" w:cs="STKaiti" w:hint="eastAsia"/>
                <w:b/>
                <w:bCs/>
                <w:szCs w:val="24"/>
                <w:lang w:val="en-US" w:eastAsia="zh-CN"/>
              </w:rPr>
              <w:t>理由</w:t>
            </w:r>
            <w:r>
              <w:rPr>
                <w:rFonts w:ascii="STKaiti" w:eastAsia="STKaiti" w:hAnsi="STKaiti" w:cs="STKaiti" w:hint="eastAsia"/>
                <w:b/>
                <w:bCs/>
                <w:szCs w:val="24"/>
                <w:lang w:eastAsia="zh-CN"/>
              </w:rPr>
              <w:t>：</w:t>
            </w:r>
            <w:r>
              <w:rPr>
                <w:szCs w:val="24"/>
                <w:lang w:eastAsia="zh-CN"/>
              </w:rPr>
              <w:t> </w:t>
            </w:r>
          </w:p>
          <w:p w14:paraId="322C78D8" w14:textId="77777777" w:rsidR="00B1592E" w:rsidRDefault="00897AEF">
            <w:pPr>
              <w:suppressAutoHyphens/>
              <w:spacing w:after="120"/>
              <w:jc w:val="both"/>
              <w:rPr>
                <w:rFonts w:ascii="Calibri" w:hAnsi="Calibri" w:cs="Calibri"/>
                <w:b/>
                <w:color w:val="800000"/>
                <w:sz w:val="22"/>
                <w:lang w:eastAsia="zh-CN"/>
              </w:rPr>
            </w:pPr>
            <w:r>
              <w:rPr>
                <w:bCs/>
                <w:szCs w:val="24"/>
                <w:lang w:eastAsia="zh-CN"/>
              </w:rPr>
              <w:t>《</w:t>
            </w:r>
            <w:r>
              <w:rPr>
                <w:rFonts w:hint="eastAsia"/>
                <w:bCs/>
                <w:szCs w:val="24"/>
                <w:lang w:eastAsia="zh-CN"/>
              </w:rPr>
              <w:t>阿尔忒弥斯</w:t>
            </w:r>
            <w:r>
              <w:rPr>
                <w:bCs/>
                <w:szCs w:val="24"/>
                <w:lang w:eastAsia="zh-CN"/>
              </w:rPr>
              <w:t>协定》提出了以</w:t>
            </w:r>
            <w:r>
              <w:rPr>
                <w:bCs/>
                <w:szCs w:val="24"/>
                <w:lang w:eastAsia="zh-CN"/>
              </w:rPr>
              <w:t>1967</w:t>
            </w:r>
            <w:r>
              <w:rPr>
                <w:bCs/>
                <w:szCs w:val="24"/>
                <w:lang w:eastAsia="zh-CN"/>
              </w:rPr>
              <w:t>年《外层空间条约》为基础的原则的共同愿景，即在为和平目的民用探索和利用月球、火星、彗星和小行星方面开展合作。作为</w:t>
            </w:r>
            <w:r>
              <w:rPr>
                <w:rFonts w:hint="eastAsia"/>
                <w:bCs/>
                <w:szCs w:val="24"/>
                <w:lang w:eastAsia="zh-CN"/>
              </w:rPr>
              <w:t>阿尔忒弥斯</w:t>
            </w:r>
            <w:r>
              <w:rPr>
                <w:bCs/>
                <w:szCs w:val="24"/>
                <w:lang w:eastAsia="zh-CN"/>
              </w:rPr>
              <w:t>任务的合作伙伴，美国国家航空航天局</w:t>
            </w:r>
            <w:r>
              <w:rPr>
                <w:rFonts w:hint="eastAsia"/>
                <w:bCs/>
                <w:szCs w:val="24"/>
                <w:lang w:eastAsia="zh-CN"/>
              </w:rPr>
              <w:t>（</w:t>
            </w:r>
            <w:r>
              <w:rPr>
                <w:rFonts w:hint="eastAsia"/>
                <w:bCs/>
                <w:szCs w:val="24"/>
                <w:lang w:val="en-US" w:eastAsia="zh-CN"/>
              </w:rPr>
              <w:t>NASA</w:t>
            </w:r>
            <w:r>
              <w:rPr>
                <w:rFonts w:hint="eastAsia"/>
                <w:bCs/>
                <w:szCs w:val="24"/>
                <w:lang w:eastAsia="zh-CN"/>
              </w:rPr>
              <w:t>）</w:t>
            </w:r>
            <w:r>
              <w:rPr>
                <w:bCs/>
                <w:szCs w:val="24"/>
                <w:lang w:eastAsia="zh-CN"/>
              </w:rPr>
              <w:t>和</w:t>
            </w:r>
            <w:r>
              <w:rPr>
                <w:rFonts w:hint="eastAsia"/>
                <w:bCs/>
                <w:szCs w:val="24"/>
                <w:lang w:val="en-US" w:eastAsia="zh-CN"/>
              </w:rPr>
              <w:t>全球</w:t>
            </w:r>
            <w:r>
              <w:rPr>
                <w:bCs/>
                <w:szCs w:val="24"/>
                <w:lang w:eastAsia="zh-CN"/>
              </w:rPr>
              <w:t>许多</w:t>
            </w:r>
            <w:r>
              <w:rPr>
                <w:rFonts w:hint="eastAsia"/>
                <w:bCs/>
                <w:szCs w:val="24"/>
                <w:lang w:val="en-US" w:eastAsia="zh-CN"/>
              </w:rPr>
              <w:t>航天</w:t>
            </w:r>
            <w:r>
              <w:rPr>
                <w:bCs/>
                <w:szCs w:val="24"/>
                <w:lang w:eastAsia="zh-CN"/>
              </w:rPr>
              <w:t>机构正在为人类重返月球做准备，同时开发航天器、</w:t>
            </w:r>
            <w:r>
              <w:rPr>
                <w:rFonts w:hint="eastAsia"/>
                <w:bCs/>
                <w:szCs w:val="24"/>
                <w:lang w:val="en-US" w:eastAsia="zh-CN"/>
              </w:rPr>
              <w:t>表面飞行器</w:t>
            </w:r>
            <w:r>
              <w:rPr>
                <w:bCs/>
                <w:szCs w:val="24"/>
                <w:lang w:eastAsia="zh-CN"/>
              </w:rPr>
              <w:t>和探索任务计划，以在未来十年</w:t>
            </w:r>
            <w:r>
              <w:rPr>
                <w:rFonts w:hint="eastAsia"/>
                <w:bCs/>
                <w:szCs w:val="24"/>
                <w:lang w:val="en-US" w:eastAsia="zh-CN"/>
              </w:rPr>
              <w:t>内</w:t>
            </w:r>
            <w:r>
              <w:rPr>
                <w:bCs/>
                <w:szCs w:val="24"/>
                <w:lang w:eastAsia="zh-CN"/>
              </w:rPr>
              <w:t>实现可持续和强大的</w:t>
            </w:r>
            <w:r>
              <w:rPr>
                <w:rFonts w:hint="eastAsia"/>
                <w:bCs/>
                <w:szCs w:val="24"/>
                <w:lang w:val="en-US" w:eastAsia="zh-CN"/>
              </w:rPr>
              <w:t>登月行动</w:t>
            </w:r>
            <w:r>
              <w:rPr>
                <w:bCs/>
                <w:szCs w:val="24"/>
                <w:lang w:eastAsia="zh-CN"/>
              </w:rPr>
              <w:t>。</w:t>
            </w:r>
            <w:r>
              <w:rPr>
                <w:szCs w:val="24"/>
                <w:lang w:eastAsia="zh-CN"/>
              </w:rPr>
              <w:t>除了传统的</w:t>
            </w:r>
            <w:r>
              <w:rPr>
                <w:rFonts w:hint="eastAsia"/>
                <w:szCs w:val="24"/>
                <w:lang w:eastAsia="zh-CN"/>
              </w:rPr>
              <w:t>空对地</w:t>
            </w:r>
            <w:r>
              <w:rPr>
                <w:szCs w:val="24"/>
                <w:lang w:eastAsia="zh-CN"/>
              </w:rPr>
              <w:t>和</w:t>
            </w:r>
            <w:r>
              <w:rPr>
                <w:rFonts w:hint="eastAsia"/>
                <w:szCs w:val="24"/>
                <w:lang w:eastAsia="zh-CN"/>
              </w:rPr>
              <w:t>地对空</w:t>
            </w:r>
            <w:r>
              <w:rPr>
                <w:szCs w:val="24"/>
                <w:lang w:eastAsia="zh-CN"/>
              </w:rPr>
              <w:t>通信</w:t>
            </w:r>
            <w:r>
              <w:rPr>
                <w:rFonts w:hint="eastAsia"/>
                <w:szCs w:val="24"/>
                <w:lang w:val="en-US" w:eastAsia="zh-CN"/>
              </w:rPr>
              <w:t>链路</w:t>
            </w:r>
            <w:r>
              <w:rPr>
                <w:szCs w:val="24"/>
                <w:lang w:eastAsia="zh-CN"/>
              </w:rPr>
              <w:t>之外，着陆器、漫游车、执行</w:t>
            </w:r>
            <w:r>
              <w:rPr>
                <w:rFonts w:hint="eastAsia"/>
                <w:szCs w:val="24"/>
                <w:lang w:val="en-US" w:eastAsia="zh-CN"/>
              </w:rPr>
              <w:t>出舱</w:t>
            </w:r>
            <w:r>
              <w:rPr>
                <w:szCs w:val="24"/>
                <w:lang w:eastAsia="zh-CN"/>
              </w:rPr>
              <w:t>任务和实验的舱外活动</w:t>
            </w:r>
            <w:r>
              <w:rPr>
                <w:rFonts w:hint="eastAsia"/>
                <w:szCs w:val="24"/>
                <w:lang w:eastAsia="zh-CN"/>
              </w:rPr>
              <w:t>（</w:t>
            </w:r>
            <w:r>
              <w:rPr>
                <w:rFonts w:hint="eastAsia"/>
                <w:szCs w:val="24"/>
                <w:lang w:val="en-US" w:eastAsia="zh-CN"/>
              </w:rPr>
              <w:t>EVA</w:t>
            </w:r>
            <w:r>
              <w:rPr>
                <w:rFonts w:hint="eastAsia"/>
                <w:szCs w:val="24"/>
                <w:lang w:eastAsia="zh-CN"/>
              </w:rPr>
              <w:t>）</w:t>
            </w:r>
            <w:r>
              <w:rPr>
                <w:szCs w:val="24"/>
                <w:lang w:eastAsia="zh-CN"/>
              </w:rPr>
              <w:t>宇航员之间的直接通信对于</w:t>
            </w:r>
            <w:r>
              <w:rPr>
                <w:bCs/>
                <w:szCs w:val="24"/>
                <w:lang w:eastAsia="zh-CN"/>
              </w:rPr>
              <w:t>考虑到月球环境中</w:t>
            </w:r>
            <w:r>
              <w:rPr>
                <w:rFonts w:hint="eastAsia"/>
                <w:bCs/>
                <w:szCs w:val="24"/>
                <w:lang w:val="en-US" w:eastAsia="zh-CN"/>
              </w:rPr>
              <w:t>宇航员</w:t>
            </w:r>
            <w:r>
              <w:rPr>
                <w:bCs/>
                <w:szCs w:val="24"/>
                <w:lang w:eastAsia="zh-CN"/>
              </w:rPr>
              <w:t>健康的有效科学活动是至关重要的</w:t>
            </w:r>
            <w:r>
              <w:rPr>
                <w:szCs w:val="24"/>
                <w:lang w:eastAsia="zh-CN"/>
              </w:rPr>
              <w:t>。</w:t>
            </w:r>
            <w:r>
              <w:rPr>
                <w:rFonts w:hint="eastAsia"/>
                <w:bCs/>
                <w:szCs w:val="24"/>
                <w:lang w:val="en-US" w:eastAsia="zh-CN"/>
              </w:rPr>
              <w:t>空间</w:t>
            </w:r>
            <w:r>
              <w:rPr>
                <w:bCs/>
                <w:szCs w:val="24"/>
                <w:lang w:eastAsia="zh-CN"/>
              </w:rPr>
              <w:t>探索带来的科学发现和技术进步可以创造新的产业和技术，</w:t>
            </w:r>
            <w:r>
              <w:rPr>
                <w:rFonts w:hint="eastAsia"/>
                <w:bCs/>
                <w:szCs w:val="24"/>
                <w:lang w:val="en-US" w:eastAsia="zh-CN"/>
              </w:rPr>
              <w:t>并</w:t>
            </w:r>
            <w:r>
              <w:rPr>
                <w:bCs/>
                <w:szCs w:val="24"/>
                <w:lang w:eastAsia="zh-CN"/>
              </w:rPr>
              <w:t>促进未来的</w:t>
            </w:r>
            <w:r>
              <w:rPr>
                <w:rFonts w:hint="eastAsia"/>
                <w:bCs/>
                <w:szCs w:val="24"/>
                <w:lang w:val="en-US" w:eastAsia="zh-CN"/>
              </w:rPr>
              <w:t>空间</w:t>
            </w:r>
            <w:r>
              <w:rPr>
                <w:bCs/>
                <w:szCs w:val="24"/>
                <w:lang w:eastAsia="zh-CN"/>
              </w:rPr>
              <w:t>商业。对可用技术的初步调查已经表明，基于商业标准</w:t>
            </w:r>
            <w:r>
              <w:rPr>
                <w:rFonts w:hint="eastAsia"/>
                <w:bCs/>
                <w:szCs w:val="24"/>
                <w:lang w:eastAsia="zh-CN"/>
              </w:rPr>
              <w:t>（</w:t>
            </w:r>
            <w:r>
              <w:rPr>
                <w:bCs/>
                <w:szCs w:val="24"/>
                <w:lang w:eastAsia="zh-CN"/>
              </w:rPr>
              <w:t>例如由</w:t>
            </w:r>
            <w:r>
              <w:rPr>
                <w:bCs/>
                <w:szCs w:val="24"/>
                <w:lang w:eastAsia="zh-CN"/>
              </w:rPr>
              <w:t>3GPP</w:t>
            </w:r>
            <w:r>
              <w:rPr>
                <w:bCs/>
                <w:szCs w:val="24"/>
                <w:lang w:eastAsia="zh-CN"/>
              </w:rPr>
              <w:t>开发的标准</w:t>
            </w:r>
            <w:r>
              <w:rPr>
                <w:rFonts w:hint="eastAsia"/>
                <w:bCs/>
                <w:szCs w:val="24"/>
                <w:lang w:eastAsia="zh-CN"/>
              </w:rPr>
              <w:t>）</w:t>
            </w:r>
            <w:r>
              <w:rPr>
                <w:bCs/>
                <w:szCs w:val="24"/>
                <w:lang w:eastAsia="zh-CN"/>
              </w:rPr>
              <w:t>的网络</w:t>
            </w:r>
            <w:proofErr w:type="gramStart"/>
            <w:r>
              <w:rPr>
                <w:bCs/>
                <w:szCs w:val="24"/>
                <w:lang w:eastAsia="zh-CN"/>
              </w:rPr>
              <w:t>能够</w:t>
            </w:r>
            <w:r>
              <w:rPr>
                <w:szCs w:val="24"/>
                <w:lang w:eastAsia="zh-CN"/>
              </w:rPr>
              <w:t>能够</w:t>
            </w:r>
            <w:proofErr w:type="gramEnd"/>
            <w:r>
              <w:rPr>
                <w:szCs w:val="24"/>
                <w:lang w:eastAsia="zh-CN"/>
              </w:rPr>
              <w:t>为参考飞行任务的</w:t>
            </w:r>
            <w:r>
              <w:rPr>
                <w:rFonts w:hint="eastAsia"/>
                <w:szCs w:val="24"/>
                <w:lang w:val="en-US" w:eastAsia="zh-CN"/>
              </w:rPr>
              <w:t>操作</w:t>
            </w:r>
            <w:r>
              <w:rPr>
                <w:szCs w:val="24"/>
                <w:lang w:eastAsia="zh-CN"/>
              </w:rPr>
              <w:t>概念提供服务，这一概念涉及</w:t>
            </w:r>
            <w:r>
              <w:rPr>
                <w:bCs/>
                <w:szCs w:val="24"/>
                <w:lang w:eastAsia="zh-CN"/>
              </w:rPr>
              <w:t>广泛表面区域上</w:t>
            </w:r>
            <w:r>
              <w:rPr>
                <w:szCs w:val="24"/>
                <w:lang w:eastAsia="zh-CN"/>
              </w:rPr>
              <w:t>的许多用户群体，对数据吞吐量有很高的要求。</w:t>
            </w:r>
            <w:r>
              <w:rPr>
                <w:rFonts w:hint="eastAsia"/>
                <w:szCs w:val="24"/>
                <w:lang w:val="en-US" w:eastAsia="zh-CN"/>
              </w:rPr>
              <w:t>为</w:t>
            </w:r>
            <w:r>
              <w:rPr>
                <w:bCs/>
                <w:szCs w:val="24"/>
                <w:lang w:eastAsia="zh-CN"/>
              </w:rPr>
              <w:t>未来</w:t>
            </w:r>
            <w:r>
              <w:rPr>
                <w:rFonts w:hint="eastAsia"/>
                <w:bCs/>
                <w:szCs w:val="24"/>
                <w:lang w:val="en-US" w:eastAsia="zh-CN"/>
              </w:rPr>
              <w:t>大会提出的本</w:t>
            </w:r>
            <w:r>
              <w:rPr>
                <w:rFonts w:hint="eastAsia"/>
                <w:bCs/>
                <w:szCs w:val="24"/>
                <w:lang w:eastAsia="zh-CN"/>
              </w:rPr>
              <w:t>议项</w:t>
            </w:r>
            <w:r>
              <w:rPr>
                <w:rFonts w:hint="eastAsia"/>
                <w:bCs/>
                <w:szCs w:val="24"/>
                <w:lang w:val="en-US" w:eastAsia="zh-CN"/>
              </w:rPr>
              <w:t>建议</w:t>
            </w:r>
            <w:r>
              <w:rPr>
                <w:bCs/>
                <w:szCs w:val="24"/>
                <w:lang w:eastAsia="zh-CN"/>
              </w:rPr>
              <w:t>研究月球上通信系统的频谱需求、系统特性、此类系统之间的</w:t>
            </w:r>
            <w:r>
              <w:rPr>
                <w:rFonts w:hint="eastAsia"/>
                <w:bCs/>
                <w:szCs w:val="24"/>
                <w:lang w:eastAsia="zh-CN"/>
              </w:rPr>
              <w:t>共用</w:t>
            </w:r>
            <w:r>
              <w:rPr>
                <w:bCs/>
                <w:szCs w:val="24"/>
                <w:lang w:eastAsia="zh-CN"/>
              </w:rPr>
              <w:t>和兼容性以及潜在新</w:t>
            </w:r>
            <w:r>
              <w:rPr>
                <w:rFonts w:hint="eastAsia"/>
                <w:bCs/>
                <w:szCs w:val="24"/>
                <w:lang w:eastAsia="zh-CN"/>
              </w:rPr>
              <w:t>规则</w:t>
            </w:r>
            <w:r>
              <w:rPr>
                <w:bCs/>
                <w:szCs w:val="24"/>
                <w:lang w:eastAsia="zh-CN"/>
              </w:rPr>
              <w:t>框架的制定</w:t>
            </w:r>
            <w:r>
              <w:rPr>
                <w:rFonts w:hint="eastAsia"/>
                <w:bCs/>
                <w:szCs w:val="24"/>
                <w:lang w:val="en-US" w:eastAsia="zh-CN"/>
              </w:rPr>
              <w:t>事宜</w:t>
            </w:r>
            <w:r>
              <w:rPr>
                <w:bCs/>
                <w:szCs w:val="24"/>
                <w:lang w:eastAsia="zh-CN"/>
              </w:rPr>
              <w:t>。</w:t>
            </w:r>
            <w:r>
              <w:rPr>
                <w:rFonts w:hint="eastAsia"/>
                <w:szCs w:val="24"/>
                <w:lang w:val="en-US" w:eastAsia="zh-CN"/>
              </w:rPr>
              <w:t>相关</w:t>
            </w:r>
            <w:r>
              <w:rPr>
                <w:szCs w:val="24"/>
                <w:lang w:eastAsia="zh-CN"/>
              </w:rPr>
              <w:t>频率范围是</w:t>
            </w:r>
            <w:r>
              <w:rPr>
                <w:rFonts w:hint="eastAsia"/>
                <w:szCs w:val="24"/>
                <w:lang w:eastAsia="zh-CN"/>
              </w:rPr>
              <w:t>：</w:t>
            </w:r>
            <w:r>
              <w:rPr>
                <w:szCs w:val="24"/>
                <w:lang w:eastAsia="zh-CN"/>
              </w:rPr>
              <w:t>390</w:t>
            </w:r>
            <w:r>
              <w:rPr>
                <w:lang w:eastAsia="zh-CN"/>
              </w:rPr>
              <w:noBreakHyphen/>
            </w:r>
            <w:r>
              <w:rPr>
                <w:szCs w:val="24"/>
                <w:lang w:eastAsia="zh-CN"/>
              </w:rPr>
              <w:t>450 MHz</w:t>
            </w:r>
            <w:r>
              <w:rPr>
                <w:szCs w:val="24"/>
                <w:lang w:eastAsia="zh-CN"/>
              </w:rPr>
              <w:t>、</w:t>
            </w:r>
            <w:r>
              <w:rPr>
                <w:szCs w:val="24"/>
                <w:lang w:eastAsia="zh-CN"/>
              </w:rPr>
              <w:t>2 400</w:t>
            </w:r>
            <w:r>
              <w:rPr>
                <w:lang w:eastAsia="zh-CN"/>
              </w:rPr>
              <w:noBreakHyphen/>
            </w:r>
            <w:r>
              <w:rPr>
                <w:szCs w:val="24"/>
                <w:lang w:eastAsia="zh-CN"/>
              </w:rPr>
              <w:t>2 700 MHz</w:t>
            </w:r>
            <w:r>
              <w:rPr>
                <w:szCs w:val="24"/>
                <w:lang w:eastAsia="zh-CN"/>
              </w:rPr>
              <w:t>、</w:t>
            </w:r>
            <w:r>
              <w:rPr>
                <w:szCs w:val="24"/>
                <w:lang w:eastAsia="zh-CN"/>
              </w:rPr>
              <w:t>3 500-3 800 MHz</w:t>
            </w:r>
            <w:r>
              <w:rPr>
                <w:szCs w:val="24"/>
                <w:lang w:eastAsia="zh-CN"/>
              </w:rPr>
              <w:t>、</w:t>
            </w:r>
            <w:r>
              <w:rPr>
                <w:szCs w:val="24"/>
                <w:lang w:eastAsia="zh-CN"/>
              </w:rPr>
              <w:t>5 150-5 925 MHz</w:t>
            </w:r>
            <w:r>
              <w:rPr>
                <w:szCs w:val="24"/>
                <w:lang w:eastAsia="zh-CN"/>
              </w:rPr>
              <w:t>和</w:t>
            </w:r>
            <w:r>
              <w:rPr>
                <w:szCs w:val="24"/>
                <w:lang w:eastAsia="zh-CN"/>
              </w:rPr>
              <w:t>25.25-28.35 GHz</w:t>
            </w:r>
            <w:r>
              <w:rPr>
                <w:szCs w:val="24"/>
                <w:lang w:eastAsia="zh-CN"/>
              </w:rPr>
              <w:t>。</w:t>
            </w:r>
          </w:p>
        </w:tc>
      </w:tr>
      <w:tr w:rsidR="00B1592E" w14:paraId="0F5A541B" w14:textId="77777777">
        <w:trPr>
          <w:trHeight w:val="300"/>
        </w:trPr>
        <w:tc>
          <w:tcPr>
            <w:tcW w:w="8931" w:type="dxa"/>
            <w:gridSpan w:val="2"/>
            <w:tcBorders>
              <w:top w:val="single" w:sz="6" w:space="0" w:color="auto"/>
              <w:left w:val="nil"/>
              <w:bottom w:val="single" w:sz="6" w:space="0" w:color="auto"/>
              <w:right w:val="nil"/>
            </w:tcBorders>
            <w:shd w:val="clear" w:color="auto" w:fill="auto"/>
          </w:tcPr>
          <w:p w14:paraId="5F802A7B" w14:textId="66289EB9" w:rsidR="00B1592E" w:rsidRDefault="00897AEF">
            <w:pPr>
              <w:tabs>
                <w:tab w:val="clear" w:pos="1134"/>
                <w:tab w:val="clear" w:pos="1871"/>
                <w:tab w:val="clear" w:pos="2268"/>
              </w:tabs>
              <w:overflowPunct/>
              <w:autoSpaceDE/>
              <w:autoSpaceDN/>
              <w:adjustRightInd/>
              <w:spacing w:before="0"/>
              <w:rPr>
                <w:rFonts w:ascii="Segoe UI" w:hAnsi="Segoe UI" w:cs="Segoe UI"/>
                <w:sz w:val="18"/>
                <w:szCs w:val="18"/>
                <w:lang w:eastAsia="zh-CN"/>
              </w:rPr>
            </w:pPr>
            <w:r>
              <w:rPr>
                <w:rFonts w:ascii="STKaiti" w:eastAsia="STKaiti" w:hAnsi="STKaiti" w:cs="STKaiti" w:hint="eastAsia"/>
                <w:b/>
                <w:bCs/>
                <w:szCs w:val="24"/>
                <w:lang w:val="en-US" w:eastAsia="zh-CN"/>
              </w:rPr>
              <w:t>相关</w:t>
            </w:r>
            <w:r>
              <w:rPr>
                <w:rFonts w:ascii="STKaiti" w:eastAsia="STKaiti" w:hAnsi="STKaiti" w:cs="STKaiti" w:hint="eastAsia"/>
                <w:b/>
                <w:bCs/>
                <w:szCs w:val="24"/>
                <w:lang w:eastAsia="zh-CN"/>
              </w:rPr>
              <w:t>的无线电通信业务：</w:t>
            </w:r>
          </w:p>
          <w:p w14:paraId="52EAA8CB" w14:textId="77777777" w:rsidR="00B1592E" w:rsidRDefault="00897AEF">
            <w:pPr>
              <w:spacing w:after="120"/>
              <w:jc w:val="both"/>
              <w:rPr>
                <w:szCs w:val="24"/>
                <w:lang w:eastAsia="zh-CN"/>
              </w:rPr>
            </w:pPr>
            <w:r>
              <w:rPr>
                <w:iCs/>
                <w:szCs w:val="24"/>
                <w:lang w:eastAsia="zh-CN"/>
              </w:rPr>
              <w:t>固定</w:t>
            </w:r>
            <w:r>
              <w:rPr>
                <w:rFonts w:hint="eastAsia"/>
                <w:iCs/>
                <w:szCs w:val="24"/>
                <w:lang w:val="en-US" w:eastAsia="zh-CN"/>
              </w:rPr>
              <w:t>业务</w:t>
            </w:r>
            <w:r>
              <w:rPr>
                <w:iCs/>
                <w:szCs w:val="24"/>
                <w:lang w:eastAsia="zh-CN"/>
              </w:rPr>
              <w:t>、移动</w:t>
            </w:r>
            <w:r>
              <w:rPr>
                <w:rFonts w:hint="eastAsia"/>
                <w:iCs/>
                <w:szCs w:val="24"/>
                <w:lang w:val="en-US" w:eastAsia="zh-CN"/>
              </w:rPr>
              <w:t>业务</w:t>
            </w:r>
            <w:r>
              <w:rPr>
                <w:iCs/>
                <w:szCs w:val="24"/>
                <w:lang w:eastAsia="zh-CN"/>
              </w:rPr>
              <w:t>、卫星固定</w:t>
            </w:r>
            <w:r>
              <w:rPr>
                <w:rFonts w:hint="eastAsia"/>
                <w:iCs/>
                <w:szCs w:val="24"/>
                <w:lang w:eastAsia="zh-CN"/>
              </w:rPr>
              <w:t>业务</w:t>
            </w:r>
            <w:r>
              <w:rPr>
                <w:iCs/>
                <w:szCs w:val="24"/>
                <w:lang w:eastAsia="zh-CN"/>
              </w:rPr>
              <w:t>、卫星移动</w:t>
            </w:r>
            <w:r>
              <w:rPr>
                <w:rFonts w:hint="eastAsia"/>
                <w:iCs/>
                <w:szCs w:val="24"/>
                <w:lang w:eastAsia="zh-CN"/>
              </w:rPr>
              <w:t>业务</w:t>
            </w:r>
            <w:r>
              <w:rPr>
                <w:iCs/>
                <w:szCs w:val="24"/>
                <w:lang w:eastAsia="zh-CN"/>
              </w:rPr>
              <w:t>、卫星无线电测定</w:t>
            </w:r>
            <w:r>
              <w:rPr>
                <w:rFonts w:hint="eastAsia"/>
                <w:iCs/>
                <w:szCs w:val="24"/>
                <w:lang w:eastAsia="zh-CN"/>
              </w:rPr>
              <w:t>业务</w:t>
            </w:r>
            <w:r>
              <w:rPr>
                <w:iCs/>
                <w:szCs w:val="24"/>
                <w:lang w:eastAsia="zh-CN"/>
              </w:rPr>
              <w:t>、卫星无线电导航</w:t>
            </w:r>
            <w:r>
              <w:rPr>
                <w:rFonts w:hint="eastAsia"/>
                <w:iCs/>
                <w:szCs w:val="24"/>
                <w:lang w:eastAsia="zh-CN"/>
              </w:rPr>
              <w:t>业务</w:t>
            </w:r>
            <w:r>
              <w:rPr>
                <w:iCs/>
                <w:szCs w:val="24"/>
                <w:lang w:eastAsia="zh-CN"/>
              </w:rPr>
              <w:t>、射电天文</w:t>
            </w:r>
            <w:r>
              <w:rPr>
                <w:rFonts w:hint="eastAsia"/>
                <w:iCs/>
                <w:szCs w:val="24"/>
                <w:lang w:eastAsia="zh-CN"/>
              </w:rPr>
              <w:t>业务</w:t>
            </w:r>
            <w:r>
              <w:rPr>
                <w:iCs/>
                <w:szCs w:val="24"/>
                <w:lang w:eastAsia="zh-CN"/>
              </w:rPr>
              <w:t>、有源和无源遥感系统、空间操作</w:t>
            </w:r>
            <w:r>
              <w:rPr>
                <w:rFonts w:hint="eastAsia"/>
                <w:iCs/>
                <w:szCs w:val="24"/>
                <w:lang w:val="en-US" w:eastAsia="zh-CN"/>
              </w:rPr>
              <w:t>业务和</w:t>
            </w:r>
            <w:r>
              <w:rPr>
                <w:iCs/>
                <w:szCs w:val="24"/>
                <w:lang w:eastAsia="zh-CN"/>
              </w:rPr>
              <w:t>空间研究</w:t>
            </w:r>
            <w:r>
              <w:rPr>
                <w:rFonts w:hint="eastAsia"/>
                <w:iCs/>
                <w:szCs w:val="24"/>
                <w:lang w:eastAsia="zh-CN"/>
              </w:rPr>
              <w:t>业务</w:t>
            </w:r>
            <w:r>
              <w:rPr>
                <w:iCs/>
                <w:szCs w:val="24"/>
                <w:lang w:eastAsia="zh-CN"/>
              </w:rPr>
              <w:t>。</w:t>
            </w:r>
          </w:p>
        </w:tc>
      </w:tr>
      <w:tr w:rsidR="00B1592E" w14:paraId="491F312C" w14:textId="77777777">
        <w:trPr>
          <w:trHeight w:val="300"/>
        </w:trPr>
        <w:tc>
          <w:tcPr>
            <w:tcW w:w="8931" w:type="dxa"/>
            <w:gridSpan w:val="2"/>
            <w:tcBorders>
              <w:top w:val="single" w:sz="6" w:space="0" w:color="auto"/>
              <w:left w:val="nil"/>
              <w:bottom w:val="single" w:sz="6" w:space="0" w:color="auto"/>
              <w:right w:val="nil"/>
            </w:tcBorders>
            <w:shd w:val="clear" w:color="auto" w:fill="auto"/>
          </w:tcPr>
          <w:p w14:paraId="175959EA" w14:textId="77777777" w:rsidR="00B1592E" w:rsidRDefault="00897AEF">
            <w:pPr>
              <w:tabs>
                <w:tab w:val="clear" w:pos="1134"/>
                <w:tab w:val="clear" w:pos="1871"/>
                <w:tab w:val="clear" w:pos="2268"/>
              </w:tabs>
              <w:overflowPunct/>
              <w:autoSpaceDE/>
              <w:autoSpaceDN/>
              <w:adjustRightInd/>
              <w:spacing w:before="0"/>
              <w:rPr>
                <w:rFonts w:ascii="Segoe UI" w:hAnsi="Segoe UI" w:cs="Segoe UI"/>
                <w:sz w:val="18"/>
                <w:szCs w:val="18"/>
                <w:lang w:eastAsia="zh-CN"/>
              </w:rPr>
            </w:pPr>
            <w:r>
              <w:rPr>
                <w:rFonts w:ascii="STKaiti" w:eastAsia="STKaiti" w:hAnsi="STKaiti" w:cs="STKaiti" w:hint="eastAsia"/>
                <w:b/>
                <w:bCs/>
                <w:szCs w:val="24"/>
                <w:lang w:eastAsia="zh-CN"/>
              </w:rPr>
              <w:t>对可能出现的困难的说明：</w:t>
            </w:r>
          </w:p>
          <w:p w14:paraId="59DB3222" w14:textId="77777777" w:rsidR="00B1592E" w:rsidRDefault="00897AEF">
            <w:pPr>
              <w:tabs>
                <w:tab w:val="clear" w:pos="1134"/>
                <w:tab w:val="clear" w:pos="1871"/>
                <w:tab w:val="clear" w:pos="2268"/>
              </w:tabs>
              <w:spacing w:after="120"/>
              <w:rPr>
                <w:rFonts w:ascii="Segoe UI" w:hAnsi="Segoe UI" w:cs="Segoe UI"/>
                <w:sz w:val="18"/>
                <w:szCs w:val="18"/>
                <w:lang w:val="en-US" w:eastAsia="zh-CN"/>
              </w:rPr>
            </w:pPr>
            <w:r>
              <w:rPr>
                <w:rFonts w:hint="eastAsia"/>
                <w:szCs w:val="24"/>
                <w:lang w:val="en-US" w:eastAsia="zh-CN"/>
              </w:rPr>
              <w:t>尚未</w:t>
            </w:r>
            <w:proofErr w:type="spellStart"/>
            <w:r>
              <w:rPr>
                <w:szCs w:val="24"/>
                <w:lang w:eastAsia="en-GB"/>
              </w:rPr>
              <w:t>预见</w:t>
            </w:r>
            <w:proofErr w:type="spellEnd"/>
          </w:p>
        </w:tc>
      </w:tr>
      <w:tr w:rsidR="00B1592E" w14:paraId="35A9C955" w14:textId="77777777">
        <w:trPr>
          <w:trHeight w:val="300"/>
        </w:trPr>
        <w:tc>
          <w:tcPr>
            <w:tcW w:w="8931" w:type="dxa"/>
            <w:gridSpan w:val="2"/>
            <w:tcBorders>
              <w:top w:val="single" w:sz="6" w:space="0" w:color="auto"/>
              <w:left w:val="nil"/>
              <w:bottom w:val="single" w:sz="6" w:space="0" w:color="auto"/>
              <w:right w:val="nil"/>
            </w:tcBorders>
            <w:shd w:val="clear" w:color="auto" w:fill="auto"/>
          </w:tcPr>
          <w:p w14:paraId="4CAE3143" w14:textId="77777777" w:rsidR="00B1592E" w:rsidRDefault="00897AEF">
            <w:pPr>
              <w:tabs>
                <w:tab w:val="clear" w:pos="1134"/>
                <w:tab w:val="clear" w:pos="1871"/>
                <w:tab w:val="clear" w:pos="2268"/>
              </w:tabs>
              <w:overflowPunct/>
              <w:autoSpaceDE/>
              <w:autoSpaceDN/>
              <w:adjustRightInd/>
              <w:spacing w:before="0"/>
              <w:rPr>
                <w:rFonts w:ascii="Segoe UI" w:hAnsi="Segoe UI" w:cs="Segoe UI"/>
                <w:sz w:val="18"/>
                <w:szCs w:val="18"/>
                <w:lang w:eastAsia="zh-CN"/>
              </w:rPr>
            </w:pPr>
            <w:r>
              <w:rPr>
                <w:rFonts w:ascii="STKaiti" w:eastAsia="STKaiti" w:hAnsi="STKaiti" w:cs="STKaiti" w:hint="eastAsia"/>
                <w:b/>
                <w:bCs/>
                <w:szCs w:val="24"/>
                <w:lang w:eastAsia="zh-CN"/>
              </w:rPr>
              <w:t>此前/正在进行的对该问题的研究：</w:t>
            </w:r>
          </w:p>
          <w:p w14:paraId="51A4ADBB" w14:textId="67000FF0" w:rsidR="00B1592E" w:rsidRDefault="00897AEF">
            <w:pPr>
              <w:tabs>
                <w:tab w:val="clear" w:pos="1134"/>
                <w:tab w:val="clear" w:pos="1871"/>
                <w:tab w:val="clear" w:pos="2268"/>
              </w:tabs>
              <w:spacing w:after="120"/>
              <w:rPr>
                <w:rFonts w:ascii="Segoe UI" w:hAnsi="Segoe UI" w:cs="Segoe UI"/>
                <w:sz w:val="18"/>
                <w:szCs w:val="18"/>
                <w:lang w:eastAsia="en-GB"/>
              </w:rPr>
            </w:pPr>
            <w:r>
              <w:rPr>
                <w:rFonts w:hint="eastAsia"/>
                <w:szCs w:val="24"/>
                <w:lang w:val="en-US" w:eastAsia="zh-CN"/>
              </w:rPr>
              <w:t>无</w:t>
            </w:r>
          </w:p>
        </w:tc>
      </w:tr>
      <w:tr w:rsidR="00B1592E" w14:paraId="0C092EA3" w14:textId="77777777">
        <w:trPr>
          <w:trHeight w:val="300"/>
        </w:trPr>
        <w:tc>
          <w:tcPr>
            <w:tcW w:w="4110" w:type="dxa"/>
            <w:tcBorders>
              <w:top w:val="single" w:sz="6" w:space="0" w:color="auto"/>
              <w:left w:val="nil"/>
              <w:bottom w:val="single" w:sz="6" w:space="0" w:color="auto"/>
              <w:right w:val="single" w:sz="6" w:space="0" w:color="auto"/>
            </w:tcBorders>
            <w:shd w:val="clear" w:color="auto" w:fill="auto"/>
          </w:tcPr>
          <w:p w14:paraId="4D9D9905"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proofErr w:type="spellStart"/>
            <w:r>
              <w:rPr>
                <w:rFonts w:ascii="STKaiti" w:eastAsia="STKaiti" w:hAnsi="STKaiti" w:cs="STKaiti" w:hint="eastAsia"/>
                <w:b/>
                <w:bCs/>
                <w:color w:val="000000"/>
                <w:szCs w:val="24"/>
                <w:lang w:eastAsia="en-GB"/>
              </w:rPr>
              <w:t>开展研究的机构</w:t>
            </w:r>
            <w:proofErr w:type="spellEnd"/>
            <w:r>
              <w:rPr>
                <w:rFonts w:ascii="STKaiti" w:eastAsia="STKaiti" w:hAnsi="STKaiti" w:cs="STKaiti" w:hint="eastAsia"/>
                <w:b/>
                <w:bCs/>
                <w:color w:val="000000"/>
                <w:szCs w:val="24"/>
                <w:lang w:eastAsia="en-GB"/>
              </w:rPr>
              <w:t>：</w:t>
            </w:r>
          </w:p>
          <w:p w14:paraId="3204382C"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Pr>
                <w:szCs w:val="24"/>
                <w:lang w:eastAsia="en-GB"/>
              </w:rPr>
              <w:t>ITU-R 7B</w:t>
            </w:r>
            <w:r>
              <w:rPr>
                <w:rFonts w:hint="eastAsia"/>
                <w:szCs w:val="24"/>
                <w:lang w:val="en-US" w:eastAsia="zh-CN"/>
              </w:rPr>
              <w:t>工作组</w:t>
            </w:r>
            <w:r>
              <w:rPr>
                <w:szCs w:val="24"/>
                <w:lang w:eastAsia="en-GB"/>
              </w:rPr>
              <w:t> </w:t>
            </w:r>
          </w:p>
        </w:tc>
        <w:tc>
          <w:tcPr>
            <w:tcW w:w="4821" w:type="dxa"/>
            <w:tcBorders>
              <w:top w:val="single" w:sz="6" w:space="0" w:color="auto"/>
              <w:left w:val="single" w:sz="6" w:space="0" w:color="auto"/>
              <w:bottom w:val="single" w:sz="6" w:space="0" w:color="auto"/>
              <w:right w:val="nil"/>
            </w:tcBorders>
            <w:shd w:val="clear" w:color="auto" w:fill="auto"/>
          </w:tcPr>
          <w:p w14:paraId="66EBC447"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val="en-US" w:eastAsia="zh-CN"/>
              </w:rPr>
            </w:pPr>
            <w:r>
              <w:rPr>
                <w:rFonts w:ascii="STKaiti" w:eastAsia="STKaiti" w:hAnsi="STKaiti" w:cs="STKaiti" w:hint="eastAsia"/>
                <w:b/>
                <w:bCs/>
                <w:szCs w:val="24"/>
                <w:lang w:val="en-US" w:eastAsia="zh-CN"/>
              </w:rPr>
              <w:t>参与机构：</w:t>
            </w:r>
          </w:p>
          <w:p w14:paraId="7DD5BEE4"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val="en-US" w:eastAsia="zh-CN"/>
              </w:rPr>
            </w:pPr>
            <w:r>
              <w:rPr>
                <w:color w:val="000000" w:themeColor="text1"/>
              </w:rPr>
              <w:t>4A</w:t>
            </w:r>
            <w:r>
              <w:rPr>
                <w:rFonts w:hint="eastAsia"/>
                <w:color w:val="000000" w:themeColor="text1"/>
                <w:lang w:eastAsia="zh-CN"/>
              </w:rPr>
              <w:t>、</w:t>
            </w:r>
            <w:r>
              <w:rPr>
                <w:color w:val="000000" w:themeColor="text1"/>
              </w:rPr>
              <w:t>4C</w:t>
            </w:r>
            <w:r>
              <w:rPr>
                <w:rFonts w:hint="eastAsia"/>
                <w:color w:val="000000" w:themeColor="text1"/>
                <w:lang w:eastAsia="zh-CN"/>
              </w:rPr>
              <w:t>、</w:t>
            </w:r>
            <w:r>
              <w:rPr>
                <w:color w:val="000000" w:themeColor="text1"/>
              </w:rPr>
              <w:t>5A</w:t>
            </w:r>
            <w:r>
              <w:rPr>
                <w:rFonts w:hint="eastAsia"/>
                <w:color w:val="000000" w:themeColor="text1"/>
                <w:lang w:eastAsia="zh-CN"/>
              </w:rPr>
              <w:t>、</w:t>
            </w:r>
            <w:r>
              <w:rPr>
                <w:color w:val="000000" w:themeColor="text1"/>
              </w:rPr>
              <w:t>5B</w:t>
            </w:r>
            <w:r>
              <w:rPr>
                <w:rFonts w:hint="eastAsia"/>
                <w:color w:val="000000" w:themeColor="text1"/>
                <w:lang w:eastAsia="zh-CN"/>
              </w:rPr>
              <w:t>、</w:t>
            </w:r>
            <w:r>
              <w:rPr>
                <w:color w:val="000000" w:themeColor="text1"/>
              </w:rPr>
              <w:t>5C</w:t>
            </w:r>
            <w:r>
              <w:rPr>
                <w:rFonts w:hint="eastAsia"/>
                <w:color w:val="000000" w:themeColor="text1"/>
                <w:lang w:eastAsia="zh-CN"/>
              </w:rPr>
              <w:t>、</w:t>
            </w:r>
            <w:r>
              <w:rPr>
                <w:color w:val="000000" w:themeColor="text1"/>
              </w:rPr>
              <w:t>5D</w:t>
            </w:r>
            <w:r>
              <w:rPr>
                <w:rFonts w:hint="eastAsia"/>
                <w:color w:val="000000" w:themeColor="text1"/>
                <w:lang w:eastAsia="zh-CN"/>
              </w:rPr>
              <w:t>、</w:t>
            </w:r>
            <w:r>
              <w:rPr>
                <w:color w:val="000000" w:themeColor="text1"/>
              </w:rPr>
              <w:t>7C</w:t>
            </w:r>
            <w:r>
              <w:rPr>
                <w:rFonts w:hint="eastAsia"/>
                <w:color w:val="000000" w:themeColor="text1"/>
                <w:lang w:eastAsia="zh-CN"/>
              </w:rPr>
              <w:t>、</w:t>
            </w:r>
            <w:r>
              <w:rPr>
                <w:color w:val="000000" w:themeColor="text1"/>
              </w:rPr>
              <w:t>7D</w:t>
            </w:r>
            <w:r>
              <w:rPr>
                <w:rFonts w:hint="eastAsia"/>
                <w:color w:val="000000"/>
                <w:szCs w:val="24"/>
                <w:lang w:val="en-US" w:eastAsia="zh-CN"/>
              </w:rPr>
              <w:t>工作组</w:t>
            </w:r>
          </w:p>
        </w:tc>
      </w:tr>
      <w:tr w:rsidR="00B1592E" w14:paraId="0EFDD429" w14:textId="77777777">
        <w:trPr>
          <w:trHeight w:val="300"/>
        </w:trPr>
        <w:tc>
          <w:tcPr>
            <w:tcW w:w="8931" w:type="dxa"/>
            <w:gridSpan w:val="2"/>
            <w:tcBorders>
              <w:top w:val="single" w:sz="6" w:space="0" w:color="auto"/>
              <w:left w:val="nil"/>
              <w:bottom w:val="single" w:sz="6" w:space="0" w:color="auto"/>
              <w:right w:val="nil"/>
            </w:tcBorders>
            <w:shd w:val="clear" w:color="auto" w:fill="auto"/>
          </w:tcPr>
          <w:p w14:paraId="574ED5CA" w14:textId="77777777" w:rsidR="00B1592E" w:rsidRDefault="00897AEF" w:rsidP="00DE2FA8">
            <w:pPr>
              <w:keepNext/>
              <w:keepLines/>
              <w:tabs>
                <w:tab w:val="clear" w:pos="1134"/>
                <w:tab w:val="clear" w:pos="1871"/>
                <w:tab w:val="clear" w:pos="2268"/>
              </w:tabs>
              <w:overflowPunct/>
              <w:autoSpaceDE/>
              <w:autoSpaceDN/>
              <w:adjustRightInd/>
              <w:spacing w:before="0" w:after="120"/>
              <w:rPr>
                <w:rFonts w:ascii="Segoe UI" w:hAnsi="Segoe UI" w:cs="Segoe UI"/>
                <w:sz w:val="18"/>
                <w:szCs w:val="18"/>
                <w:lang w:eastAsia="zh-CN"/>
              </w:rPr>
            </w:pPr>
            <w:r>
              <w:rPr>
                <w:rFonts w:ascii="STKaiti" w:eastAsia="STKaiti" w:hAnsi="STKaiti" w:cs="STKaiti" w:hint="eastAsia"/>
                <w:b/>
                <w:bCs/>
                <w:color w:val="000000"/>
                <w:szCs w:val="24"/>
                <w:lang w:val="en-US" w:eastAsia="zh-CN"/>
              </w:rPr>
              <w:lastRenderedPageBreak/>
              <w:t>相关</w:t>
            </w:r>
            <w:r>
              <w:rPr>
                <w:rFonts w:ascii="STKaiti" w:eastAsia="STKaiti" w:hAnsi="STKaiti" w:cs="STKaiti" w:hint="eastAsia"/>
                <w:b/>
                <w:bCs/>
                <w:color w:val="000000"/>
                <w:szCs w:val="24"/>
                <w:lang w:eastAsia="zh-CN"/>
              </w:rPr>
              <w:t>ITU-R</w:t>
            </w:r>
            <w:r>
              <w:rPr>
                <w:rFonts w:ascii="STKaiti" w:eastAsia="STKaiti" w:hAnsi="STKaiti" w:cs="STKaiti" w:hint="eastAsia"/>
                <w:b/>
                <w:bCs/>
                <w:color w:val="000000"/>
                <w:szCs w:val="24"/>
                <w:lang w:val="en-US" w:eastAsia="zh-CN"/>
              </w:rPr>
              <w:t>研究组：</w:t>
            </w:r>
            <w:r>
              <w:rPr>
                <w:color w:val="000000"/>
                <w:szCs w:val="24"/>
                <w:lang w:eastAsia="zh-CN"/>
              </w:rPr>
              <w:t> </w:t>
            </w:r>
          </w:p>
          <w:p w14:paraId="066C9787" w14:textId="77777777" w:rsidR="00B1592E" w:rsidRDefault="00897AEF" w:rsidP="00DE2FA8">
            <w:pPr>
              <w:keepNext/>
              <w:keepLines/>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Pr>
                <w:szCs w:val="24"/>
                <w:lang w:eastAsia="en-GB"/>
              </w:rPr>
              <w:t>ITU-R</w:t>
            </w:r>
            <w:r>
              <w:rPr>
                <w:rFonts w:hint="eastAsia"/>
                <w:szCs w:val="24"/>
                <w:lang w:val="en-US" w:eastAsia="zh-CN"/>
              </w:rPr>
              <w:t>第</w:t>
            </w:r>
            <w:r>
              <w:rPr>
                <w:szCs w:val="24"/>
                <w:lang w:eastAsia="en-GB"/>
              </w:rPr>
              <w:t>7</w:t>
            </w:r>
            <w:r>
              <w:rPr>
                <w:rFonts w:hint="eastAsia"/>
                <w:szCs w:val="24"/>
                <w:lang w:val="en-US" w:eastAsia="zh-CN"/>
              </w:rPr>
              <w:t>研究组</w:t>
            </w:r>
            <w:r>
              <w:rPr>
                <w:szCs w:val="24"/>
                <w:lang w:eastAsia="en-GB"/>
              </w:rPr>
              <w:t> </w:t>
            </w:r>
          </w:p>
        </w:tc>
      </w:tr>
      <w:tr w:rsidR="00B1592E" w14:paraId="0F858FFE" w14:textId="77777777">
        <w:trPr>
          <w:trHeight w:val="300"/>
        </w:trPr>
        <w:tc>
          <w:tcPr>
            <w:tcW w:w="8931" w:type="dxa"/>
            <w:gridSpan w:val="2"/>
            <w:tcBorders>
              <w:top w:val="single" w:sz="6" w:space="0" w:color="auto"/>
              <w:left w:val="nil"/>
              <w:bottom w:val="single" w:sz="6" w:space="0" w:color="auto"/>
              <w:right w:val="nil"/>
            </w:tcBorders>
            <w:shd w:val="clear" w:color="auto" w:fill="auto"/>
          </w:tcPr>
          <w:p w14:paraId="3AC0F2A0"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eastAsia="zh-CN"/>
              </w:rPr>
            </w:pPr>
            <w:r>
              <w:rPr>
                <w:rFonts w:eastAsia="STKaiti"/>
                <w:b/>
                <w:bCs/>
                <w:szCs w:val="24"/>
                <w:lang w:eastAsia="zh-CN"/>
              </w:rPr>
              <w:t>对国际电</w:t>
            </w:r>
            <w:proofErr w:type="gramStart"/>
            <w:r>
              <w:rPr>
                <w:rFonts w:eastAsia="STKaiti"/>
                <w:b/>
                <w:bCs/>
                <w:szCs w:val="24"/>
                <w:lang w:eastAsia="zh-CN"/>
              </w:rPr>
              <w:t>联资源</w:t>
            </w:r>
            <w:proofErr w:type="gramEnd"/>
            <w:r>
              <w:rPr>
                <w:rFonts w:eastAsia="STKaiti"/>
                <w:b/>
                <w:bCs/>
                <w:szCs w:val="24"/>
                <w:lang w:eastAsia="zh-CN"/>
              </w:rPr>
              <w:t>的影响，包括财务影响（参见《公约》第</w:t>
            </w:r>
            <w:r>
              <w:rPr>
                <w:rFonts w:eastAsia="STKaiti"/>
                <w:b/>
                <w:bCs/>
                <w:szCs w:val="24"/>
                <w:lang w:eastAsia="zh-CN"/>
              </w:rPr>
              <w:t>126</w:t>
            </w:r>
            <w:r>
              <w:rPr>
                <w:rFonts w:eastAsia="STKaiti"/>
                <w:b/>
                <w:bCs/>
                <w:szCs w:val="24"/>
                <w:lang w:eastAsia="zh-CN"/>
              </w:rPr>
              <w:t>款）：</w:t>
            </w:r>
          </w:p>
          <w:p w14:paraId="1728B3C7"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Pr>
                <w:rFonts w:hint="eastAsia"/>
                <w:szCs w:val="24"/>
                <w:lang w:val="en-US" w:eastAsia="zh-CN"/>
              </w:rPr>
              <w:t>极小</w:t>
            </w:r>
            <w:r>
              <w:rPr>
                <w:szCs w:val="24"/>
                <w:lang w:eastAsia="en-GB"/>
              </w:rPr>
              <w:t> </w:t>
            </w:r>
          </w:p>
        </w:tc>
      </w:tr>
      <w:tr w:rsidR="00B1592E" w14:paraId="1823AB66" w14:textId="77777777">
        <w:trPr>
          <w:trHeight w:val="300"/>
        </w:trPr>
        <w:tc>
          <w:tcPr>
            <w:tcW w:w="4110" w:type="dxa"/>
            <w:tcBorders>
              <w:top w:val="single" w:sz="6" w:space="0" w:color="auto"/>
              <w:left w:val="nil"/>
              <w:bottom w:val="single" w:sz="6" w:space="0" w:color="auto"/>
              <w:right w:val="nil"/>
            </w:tcBorders>
            <w:shd w:val="clear" w:color="auto" w:fill="auto"/>
          </w:tcPr>
          <w:p w14:paraId="11F1CDAE" w14:textId="77777777" w:rsidR="00B1592E" w:rsidRDefault="00897AEF">
            <w:pPr>
              <w:tabs>
                <w:tab w:val="clear" w:pos="1134"/>
                <w:tab w:val="clear" w:pos="1871"/>
                <w:tab w:val="clear" w:pos="2268"/>
              </w:tabs>
              <w:overflowPunct/>
              <w:autoSpaceDE/>
              <w:autoSpaceDN/>
              <w:adjustRightInd/>
              <w:spacing w:before="0"/>
              <w:rPr>
                <w:rFonts w:ascii="Segoe UI" w:hAnsi="Segoe UI" w:cs="Segoe UI"/>
                <w:sz w:val="18"/>
                <w:szCs w:val="18"/>
                <w:lang w:val="en-US" w:eastAsia="zh-CN"/>
              </w:rPr>
            </w:pPr>
            <w:proofErr w:type="spellStart"/>
            <w:r>
              <w:rPr>
                <w:rFonts w:eastAsia="STKaiti" w:hint="eastAsia"/>
                <w:b/>
                <w:bCs/>
                <w:szCs w:val="24"/>
                <w:lang w:eastAsia="en-GB"/>
              </w:rPr>
              <w:t>区域共同提案</w:t>
            </w:r>
            <w:proofErr w:type="spellEnd"/>
            <w:r>
              <w:rPr>
                <w:rFonts w:eastAsia="STKaiti" w:hint="eastAsia"/>
                <w:b/>
                <w:bCs/>
                <w:szCs w:val="24"/>
                <w:lang w:eastAsia="en-GB"/>
              </w:rPr>
              <w:t>：</w:t>
            </w:r>
            <w:r>
              <w:rPr>
                <w:rFonts w:hint="eastAsia"/>
                <w:szCs w:val="24"/>
                <w:lang w:val="en-US" w:eastAsia="zh-CN"/>
              </w:rPr>
              <w:t>待定</w:t>
            </w:r>
          </w:p>
        </w:tc>
        <w:tc>
          <w:tcPr>
            <w:tcW w:w="4821" w:type="dxa"/>
            <w:tcBorders>
              <w:top w:val="single" w:sz="6" w:space="0" w:color="auto"/>
              <w:left w:val="nil"/>
              <w:bottom w:val="single" w:sz="6" w:space="0" w:color="auto"/>
              <w:right w:val="nil"/>
            </w:tcBorders>
            <w:shd w:val="clear" w:color="auto" w:fill="auto"/>
          </w:tcPr>
          <w:p w14:paraId="046C4DDA"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val="en-US" w:eastAsia="zh-CN"/>
              </w:rPr>
            </w:pPr>
            <w:r>
              <w:rPr>
                <w:rFonts w:ascii="STKaiti" w:eastAsia="STKaiti" w:hAnsi="STKaiti" w:cs="STKaiti" w:hint="eastAsia"/>
                <w:b/>
                <w:bCs/>
                <w:szCs w:val="24"/>
                <w:lang w:eastAsia="zh-CN"/>
              </w:rPr>
              <w:t>多国提案：</w:t>
            </w:r>
            <w:proofErr w:type="gramStart"/>
            <w:r>
              <w:rPr>
                <w:rFonts w:hint="eastAsia"/>
                <w:szCs w:val="24"/>
                <w:lang w:val="en-US" w:eastAsia="zh-CN"/>
              </w:rPr>
              <w:t>否</w:t>
            </w:r>
            <w:proofErr w:type="gramEnd"/>
          </w:p>
          <w:p w14:paraId="49F35C2B" w14:textId="77777777" w:rsidR="00B1592E" w:rsidRDefault="00897AEF">
            <w:pPr>
              <w:tabs>
                <w:tab w:val="clear" w:pos="1134"/>
                <w:tab w:val="clear" w:pos="1871"/>
                <w:tab w:val="clear" w:pos="2268"/>
              </w:tabs>
              <w:overflowPunct/>
              <w:autoSpaceDE/>
              <w:autoSpaceDN/>
              <w:adjustRightInd/>
              <w:spacing w:before="0" w:after="120"/>
              <w:rPr>
                <w:rFonts w:ascii="Segoe UI" w:hAnsi="Segoe UI" w:cs="Segoe UI"/>
                <w:sz w:val="18"/>
                <w:szCs w:val="18"/>
                <w:lang w:eastAsia="zh-CN"/>
              </w:rPr>
            </w:pPr>
            <w:r>
              <w:rPr>
                <w:rFonts w:ascii="STKaiti" w:eastAsia="STKaiti" w:hAnsi="STKaiti" w:cs="STKaiti" w:hint="eastAsia"/>
                <w:b/>
                <w:bCs/>
                <w:szCs w:val="24"/>
                <w:lang w:eastAsia="zh-CN"/>
              </w:rPr>
              <w:t>国家数</w:t>
            </w:r>
            <w:r>
              <w:rPr>
                <w:rFonts w:ascii="STKaiti" w:eastAsia="STKaiti" w:hAnsi="STKaiti" w:cs="STKaiti" w:hint="eastAsia"/>
                <w:b/>
                <w:bCs/>
                <w:szCs w:val="24"/>
                <w:lang w:val="en-US" w:eastAsia="zh-CN"/>
              </w:rPr>
              <w:t>量</w:t>
            </w:r>
            <w:r>
              <w:rPr>
                <w:rFonts w:ascii="STKaiti" w:eastAsia="STKaiti" w:hAnsi="STKaiti" w:cs="STKaiti" w:hint="eastAsia"/>
                <w:b/>
                <w:bCs/>
                <w:szCs w:val="24"/>
                <w:lang w:eastAsia="zh-CN"/>
              </w:rPr>
              <w:t>：</w:t>
            </w:r>
          </w:p>
        </w:tc>
      </w:tr>
      <w:tr w:rsidR="00B1592E" w14:paraId="61779042" w14:textId="77777777">
        <w:trPr>
          <w:trHeight w:val="300"/>
        </w:trPr>
        <w:tc>
          <w:tcPr>
            <w:tcW w:w="8931" w:type="dxa"/>
            <w:gridSpan w:val="2"/>
            <w:tcBorders>
              <w:top w:val="single" w:sz="6" w:space="0" w:color="auto"/>
              <w:left w:val="nil"/>
              <w:bottom w:val="nil"/>
              <w:right w:val="nil"/>
            </w:tcBorders>
            <w:shd w:val="clear" w:color="auto" w:fill="auto"/>
          </w:tcPr>
          <w:p w14:paraId="2B73305D" w14:textId="77777777" w:rsidR="00B1592E" w:rsidRDefault="00897AEF">
            <w:pPr>
              <w:tabs>
                <w:tab w:val="clear" w:pos="1134"/>
                <w:tab w:val="clear" w:pos="1871"/>
                <w:tab w:val="clear" w:pos="2268"/>
              </w:tabs>
              <w:overflowPunct/>
              <w:autoSpaceDE/>
              <w:autoSpaceDN/>
              <w:adjustRightInd/>
              <w:spacing w:before="0"/>
              <w:rPr>
                <w:rFonts w:eastAsia="STKaiti"/>
                <w:b/>
                <w:bCs/>
                <w:szCs w:val="24"/>
                <w:lang w:eastAsia="en-GB"/>
              </w:rPr>
            </w:pPr>
            <w:r>
              <w:rPr>
                <w:rFonts w:eastAsia="STKaiti" w:hint="eastAsia"/>
                <w:b/>
                <w:bCs/>
                <w:szCs w:val="24"/>
                <w:lang w:val="en-US" w:eastAsia="zh-CN"/>
              </w:rPr>
              <w:t>备注</w:t>
            </w:r>
            <w:r>
              <w:rPr>
                <w:rFonts w:eastAsia="STKaiti" w:hint="eastAsia"/>
                <w:b/>
                <w:bCs/>
                <w:szCs w:val="24"/>
                <w:lang w:eastAsia="en-GB"/>
              </w:rPr>
              <w:t> </w:t>
            </w:r>
          </w:p>
          <w:p w14:paraId="7D131E1F" w14:textId="77777777" w:rsidR="00B1592E" w:rsidRDefault="00897AEF">
            <w:pPr>
              <w:tabs>
                <w:tab w:val="clear" w:pos="1134"/>
                <w:tab w:val="clear" w:pos="1871"/>
                <w:tab w:val="clear" w:pos="2268"/>
              </w:tabs>
              <w:overflowPunct/>
              <w:autoSpaceDE/>
              <w:autoSpaceDN/>
              <w:adjustRightInd/>
              <w:spacing w:before="0"/>
              <w:rPr>
                <w:rFonts w:ascii="Segoe UI" w:hAnsi="Segoe UI" w:cs="Segoe UI"/>
                <w:sz w:val="18"/>
                <w:szCs w:val="18"/>
                <w:lang w:eastAsia="en-GB"/>
              </w:rPr>
            </w:pPr>
            <w:r>
              <w:rPr>
                <w:szCs w:val="24"/>
                <w:lang w:eastAsia="en-GB"/>
              </w:rPr>
              <w:t> </w:t>
            </w:r>
          </w:p>
        </w:tc>
      </w:tr>
    </w:tbl>
    <w:p w14:paraId="42E61DB3" w14:textId="77777777" w:rsidR="00B1592E" w:rsidRDefault="00897AEF">
      <w:pPr>
        <w:jc w:val="center"/>
      </w:pPr>
      <w:r>
        <w:rPr>
          <w:b/>
          <w:szCs w:val="24"/>
        </w:rPr>
        <w:t>_____________</w:t>
      </w:r>
    </w:p>
    <w:sectPr w:rsidR="00B1592E">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8084" w14:textId="77777777" w:rsidR="00897AEF" w:rsidRDefault="00897AEF">
      <w:pPr>
        <w:spacing w:before="0"/>
      </w:pPr>
      <w:r>
        <w:separator/>
      </w:r>
    </w:p>
  </w:endnote>
  <w:endnote w:type="continuationSeparator" w:id="0">
    <w:p w14:paraId="25B29CD2" w14:textId="77777777" w:rsidR="00897AEF" w:rsidRDefault="00897A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BFC" w14:textId="5974853F" w:rsidR="00B1592E" w:rsidRPr="00DE2FA8" w:rsidRDefault="00897AEF">
    <w:pPr>
      <w:pStyle w:val="Footer"/>
      <w:rPr>
        <w:lang w:val="pt-BR"/>
      </w:rPr>
    </w:pPr>
    <w:r>
      <w:fldChar w:fldCharType="begin"/>
    </w:r>
    <w:r w:rsidRPr="00DE2FA8">
      <w:rPr>
        <w:lang w:val="pt-BR"/>
      </w:rPr>
      <w:instrText xml:space="preserve"> FILENAME \p \* MERGEFORMAT </w:instrText>
    </w:r>
    <w:r>
      <w:fldChar w:fldCharType="separate"/>
    </w:r>
    <w:r w:rsidR="00DE2FA8" w:rsidRPr="00DE2FA8">
      <w:rPr>
        <w:noProof/>
        <w:lang w:val="pt-BR"/>
      </w:rPr>
      <w:t>P:\CHI\ITU-R\CONF-R\CMR23\000\044ADD27ADD03C.docx</w:t>
    </w:r>
    <w:r>
      <w:fldChar w:fldCharType="end"/>
    </w:r>
    <w:r w:rsidRPr="00DE2FA8">
      <w:rPr>
        <w:lang w:val="pt-BR"/>
      </w:rPr>
      <w:t xml:space="preserve"> </w:t>
    </w:r>
    <w:r w:rsidRPr="00DE2FA8">
      <w:rPr>
        <w:lang w:val="pt-BR"/>
      </w:rPr>
      <w:t>(529474)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66BD" w14:textId="74B0DF7F" w:rsidR="00B1592E" w:rsidRPr="00DE2FA8" w:rsidRDefault="00897AEF">
    <w:pPr>
      <w:pStyle w:val="Footer"/>
      <w:rPr>
        <w:lang w:val="pt-BR"/>
      </w:rPr>
    </w:pPr>
    <w:r>
      <w:fldChar w:fldCharType="begin"/>
    </w:r>
    <w:r w:rsidRPr="00DE2FA8">
      <w:rPr>
        <w:lang w:val="pt-BR"/>
      </w:rPr>
      <w:instrText xml:space="preserve"> FILENAME \p \* MERGEFORMAT </w:instrText>
    </w:r>
    <w:r>
      <w:fldChar w:fldCharType="separate"/>
    </w:r>
    <w:r w:rsidR="00DE2FA8" w:rsidRPr="00DE2FA8">
      <w:rPr>
        <w:noProof/>
        <w:lang w:val="pt-BR"/>
      </w:rPr>
      <w:t>P:\CHI\ITU-R\CONF-R\CMR23\000\044ADD27ADD03C.docx</w:t>
    </w:r>
    <w:r>
      <w:fldChar w:fldCharType="end"/>
    </w:r>
    <w:r w:rsidRPr="00DE2FA8">
      <w:rPr>
        <w:lang w:val="pt-BR"/>
      </w:rPr>
      <w:t xml:space="preserve"> (529474)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A3A9" w14:textId="77777777" w:rsidR="00B1592E" w:rsidRDefault="00897AEF">
      <w:pPr>
        <w:spacing w:before="0"/>
      </w:pPr>
      <w:r>
        <w:separator/>
      </w:r>
    </w:p>
  </w:footnote>
  <w:footnote w:type="continuationSeparator" w:id="0">
    <w:p w14:paraId="5F8E023F" w14:textId="77777777" w:rsidR="00B1592E" w:rsidRDefault="00897AEF">
      <w:pPr>
        <w:spacing w:before="0"/>
      </w:pPr>
      <w:r>
        <w:continuationSeparator/>
      </w:r>
    </w:p>
  </w:footnote>
  <w:footnote w:id="1">
    <w:p w14:paraId="0354EFAC" w14:textId="77777777" w:rsidR="00B1592E" w:rsidRDefault="00897AEF">
      <w:pPr>
        <w:pStyle w:val="FootnoteText"/>
        <w:rPr>
          <w:lang w:val="en-US" w:eastAsia="zh-CN"/>
        </w:rPr>
      </w:pPr>
      <w:r>
        <w:rPr>
          <w:rStyle w:val="FootnoteReference"/>
        </w:rPr>
        <w:footnoteRef/>
      </w:r>
      <w:r>
        <w:rPr>
          <w:lang w:eastAsia="zh-CN"/>
        </w:rPr>
        <w:tab/>
      </w:r>
      <w:r>
        <w:rPr>
          <w:szCs w:val="22"/>
          <w:lang w:val="en-US" w:eastAsia="zh-CN"/>
        </w:rPr>
        <w:t>截至</w:t>
      </w:r>
      <w:r>
        <w:rPr>
          <w:szCs w:val="22"/>
          <w:lang w:val="en-US" w:eastAsia="zh-CN"/>
        </w:rPr>
        <w:t>2023</w:t>
      </w:r>
      <w:r>
        <w:rPr>
          <w:szCs w:val="22"/>
          <w:lang w:val="en-US" w:eastAsia="zh-CN"/>
        </w:rPr>
        <w:t>年</w:t>
      </w:r>
      <w:r>
        <w:rPr>
          <w:szCs w:val="22"/>
          <w:lang w:val="en-US" w:eastAsia="zh-CN"/>
        </w:rPr>
        <w:t>7</w:t>
      </w:r>
      <w:r>
        <w:rPr>
          <w:szCs w:val="22"/>
          <w:lang w:val="en-US" w:eastAsia="zh-CN"/>
        </w:rPr>
        <w:t>月，签署《</w:t>
      </w:r>
      <w:r>
        <w:rPr>
          <w:rFonts w:hint="eastAsia"/>
          <w:szCs w:val="22"/>
          <w:lang w:val="en-US" w:eastAsia="zh-CN"/>
        </w:rPr>
        <w:t>阿尔忒弥斯</w:t>
      </w:r>
      <w:r>
        <w:rPr>
          <w:szCs w:val="22"/>
          <w:lang w:val="en-US" w:eastAsia="zh-CN"/>
        </w:rPr>
        <w:t>协定》的政府有</w:t>
      </w:r>
      <w:r>
        <w:rPr>
          <w:rFonts w:hint="eastAsia"/>
          <w:szCs w:val="22"/>
          <w:lang w:val="en-US" w:eastAsia="zh-CN"/>
        </w:rPr>
        <w:t>：</w:t>
      </w:r>
      <w:r>
        <w:rPr>
          <w:szCs w:val="22"/>
          <w:lang w:val="en-US" w:eastAsia="zh-CN"/>
        </w:rPr>
        <w:t>阿根廷、澳大利亚、巴林、巴西、加拿大、哥伦比亚、捷克共和国、厄瓜多尔、法国、印度、以色列、意大利、日本、大韩民国、卢森堡、墨西哥、新西兰、尼日利亚、波兰、罗马尼亚、卢旺达、沙特阿拉伯、新加坡、西班牙、乌克兰、阿拉伯联合酋长国、联合王国和美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26A1" w14:textId="77777777" w:rsidR="00B1592E" w:rsidRDefault="00897AE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CA2CA47" w14:textId="77777777" w:rsidR="00B1592E" w:rsidRDefault="00897AEF">
    <w:pPr>
      <w:pStyle w:val="Header"/>
      <w:rPr>
        <w:lang w:val="en-US"/>
      </w:rPr>
    </w:pPr>
    <w:r>
      <w:rPr>
        <w:rStyle w:val="PageNumber"/>
      </w:rPr>
      <w:t>WRC23/</w:t>
    </w:r>
    <w:r>
      <w:t>44(Add.</w:t>
    </w:r>
    <w:proofErr w:type="gramStart"/>
    <w:r>
      <w:t>27)(</w:t>
    </w:r>
    <w:proofErr w:type="gramEnd"/>
    <w:r>
      <w:t>Add.3)-C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622560"/>
    <w:rsid w:val="000264C2"/>
    <w:rsid w:val="000273B7"/>
    <w:rsid w:val="00037C90"/>
    <w:rsid w:val="00060B2F"/>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92C89"/>
    <w:rsid w:val="002A4C9C"/>
    <w:rsid w:val="002B509B"/>
    <w:rsid w:val="002E2A59"/>
    <w:rsid w:val="002E4507"/>
    <w:rsid w:val="002E653A"/>
    <w:rsid w:val="00305254"/>
    <w:rsid w:val="003169D2"/>
    <w:rsid w:val="00330EEF"/>
    <w:rsid w:val="003B4BEF"/>
    <w:rsid w:val="003B6399"/>
    <w:rsid w:val="003C672F"/>
    <w:rsid w:val="003C6B45"/>
    <w:rsid w:val="003E48E2"/>
    <w:rsid w:val="003E5931"/>
    <w:rsid w:val="0041282E"/>
    <w:rsid w:val="00437869"/>
    <w:rsid w:val="00465A34"/>
    <w:rsid w:val="004B4C76"/>
    <w:rsid w:val="004C4554"/>
    <w:rsid w:val="004D2DEC"/>
    <w:rsid w:val="004F2BE6"/>
    <w:rsid w:val="00527E8A"/>
    <w:rsid w:val="00532EA3"/>
    <w:rsid w:val="00542E85"/>
    <w:rsid w:val="00562479"/>
    <w:rsid w:val="00576849"/>
    <w:rsid w:val="005A0ACB"/>
    <w:rsid w:val="005C6884"/>
    <w:rsid w:val="005E08D2"/>
    <w:rsid w:val="005E7FD8"/>
    <w:rsid w:val="00622560"/>
    <w:rsid w:val="00644391"/>
    <w:rsid w:val="00647712"/>
    <w:rsid w:val="00662E12"/>
    <w:rsid w:val="00691142"/>
    <w:rsid w:val="006B67CE"/>
    <w:rsid w:val="006C38ED"/>
    <w:rsid w:val="006E6182"/>
    <w:rsid w:val="006E6997"/>
    <w:rsid w:val="006F3C60"/>
    <w:rsid w:val="00707B56"/>
    <w:rsid w:val="007160E6"/>
    <w:rsid w:val="00736415"/>
    <w:rsid w:val="0075670D"/>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97AEF"/>
    <w:rsid w:val="008A5D11"/>
    <w:rsid w:val="008A7416"/>
    <w:rsid w:val="008B6852"/>
    <w:rsid w:val="008C26FF"/>
    <w:rsid w:val="008D1D14"/>
    <w:rsid w:val="008D6D9C"/>
    <w:rsid w:val="008E1785"/>
    <w:rsid w:val="008E7127"/>
    <w:rsid w:val="008E7C8E"/>
    <w:rsid w:val="00912959"/>
    <w:rsid w:val="009657F9"/>
    <w:rsid w:val="00982F93"/>
    <w:rsid w:val="0099525B"/>
    <w:rsid w:val="009C72B7"/>
    <w:rsid w:val="00A0052C"/>
    <w:rsid w:val="00A31B14"/>
    <w:rsid w:val="00A323DC"/>
    <w:rsid w:val="00A466E6"/>
    <w:rsid w:val="00A815BE"/>
    <w:rsid w:val="00A93295"/>
    <w:rsid w:val="00AA5DA1"/>
    <w:rsid w:val="00AC2C94"/>
    <w:rsid w:val="00AE369F"/>
    <w:rsid w:val="00B026CB"/>
    <w:rsid w:val="00B1592E"/>
    <w:rsid w:val="00B33617"/>
    <w:rsid w:val="00B50377"/>
    <w:rsid w:val="00B6115E"/>
    <w:rsid w:val="00B711CC"/>
    <w:rsid w:val="00B851D4"/>
    <w:rsid w:val="00B868FC"/>
    <w:rsid w:val="00B95072"/>
    <w:rsid w:val="00BB26CD"/>
    <w:rsid w:val="00BE464F"/>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77403"/>
    <w:rsid w:val="00DA0469"/>
    <w:rsid w:val="00DD13B7"/>
    <w:rsid w:val="00DE2FA8"/>
    <w:rsid w:val="00DF0809"/>
    <w:rsid w:val="00DF3B0C"/>
    <w:rsid w:val="00E14984"/>
    <w:rsid w:val="00E22A25"/>
    <w:rsid w:val="00E560F1"/>
    <w:rsid w:val="00E76F1B"/>
    <w:rsid w:val="00E8717D"/>
    <w:rsid w:val="00E92319"/>
    <w:rsid w:val="00F467B6"/>
    <w:rsid w:val="00F837F4"/>
    <w:rsid w:val="00FC59C4"/>
    <w:rsid w:val="08824EE7"/>
    <w:rsid w:val="09776422"/>
    <w:rsid w:val="0D2E5C8B"/>
    <w:rsid w:val="10201A0D"/>
    <w:rsid w:val="11B45754"/>
    <w:rsid w:val="12D129F1"/>
    <w:rsid w:val="20C242E2"/>
    <w:rsid w:val="258F430E"/>
    <w:rsid w:val="2D246943"/>
    <w:rsid w:val="3103126C"/>
    <w:rsid w:val="32272ACB"/>
    <w:rsid w:val="35BE7316"/>
    <w:rsid w:val="3951646F"/>
    <w:rsid w:val="3D5F78BB"/>
    <w:rsid w:val="3FDD3F2F"/>
    <w:rsid w:val="44A60DA1"/>
    <w:rsid w:val="456E1A80"/>
    <w:rsid w:val="45A1630C"/>
    <w:rsid w:val="49463453"/>
    <w:rsid w:val="4DF13B7C"/>
    <w:rsid w:val="4F6F0AB5"/>
    <w:rsid w:val="52512C74"/>
    <w:rsid w:val="55B45CED"/>
    <w:rsid w:val="5C457B94"/>
    <w:rsid w:val="5D616F47"/>
    <w:rsid w:val="5FE35CAD"/>
    <w:rsid w:val="62975618"/>
    <w:rsid w:val="63D47950"/>
    <w:rsid w:val="6C467E96"/>
    <w:rsid w:val="70B1539E"/>
    <w:rsid w:val="73B65054"/>
    <w:rsid w:val="744F0B5E"/>
    <w:rsid w:val="793153C8"/>
    <w:rsid w:val="7E216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B48B8"/>
  <w15:docId w15:val="{EF2824BA-CF96-4DD7-A4B5-F256BCA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unhideWhenUsed="1"/>
    <w:lsdException w:name="index 9" w:semiHidden="1" w:unhideWhenUsed="1"/>
    <w:lsdException w:name="toc 6" w:semiHidden="1"/>
    <w:lsdException w:name="toc 7" w:semiHidden="1"/>
    <w:lsdException w:name="toc 8" w:semiHidden="1"/>
    <w:lsdException w:name="toc 9" w:semiHidden="1" w:unhideWhenUsed="1"/>
    <w:lsdException w:name="annotation text"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semiHidden/>
  </w:style>
  <w:style w:type="paragraph" w:styleId="TOC4">
    <w:name w:val="toc 4"/>
    <w:basedOn w:val="TOC3"/>
  </w:style>
  <w:style w:type="paragraph" w:styleId="TOC3">
    <w:name w:val="toc 3"/>
    <w:basedOn w:val="TOC2"/>
  </w:style>
  <w:style w:type="paragraph" w:styleId="TOC2">
    <w:name w:val="toc 2"/>
    <w:basedOn w:val="TOC1"/>
    <w:pPr>
      <w:spacing w:before="120"/>
    </w:p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NormalIndent">
    <w:name w:val="Normal Indent"/>
    <w:basedOn w:val="Normal"/>
    <w:pPr>
      <w:ind w:left="1134"/>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4">
    <w:name w:val="index 4"/>
    <w:basedOn w:val="Normal"/>
    <w:next w:val="Normal"/>
    <w:semiHidden/>
    <w:pPr>
      <w:ind w:left="849"/>
    </w:pPr>
  </w:style>
  <w:style w:type="paragraph" w:styleId="TOC5">
    <w:name w:val="toc 5"/>
    <w:basedOn w:val="TOC4"/>
  </w:style>
  <w:style w:type="paragraph" w:styleId="TOC8">
    <w:name w:val="toc 8"/>
    <w:basedOn w:val="TOC4"/>
    <w:semiHidden/>
  </w:style>
  <w:style w:type="paragraph" w:styleId="Index3">
    <w:name w:val="index 3"/>
    <w:basedOn w:val="Normal"/>
    <w:next w:val="Normal"/>
    <w:semiHidden/>
    <w:pPr>
      <w:ind w:left="566"/>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lear" w:pos="1134"/>
        <w:tab w:val="clear" w:pos="1871"/>
        <w:tab w:val="clear" w:pos="2268"/>
        <w:tab w:val="left" w:pos="5954"/>
        <w:tab w:val="right" w:pos="9639"/>
      </w:tabs>
      <w:spacing w:before="0"/>
    </w:pPr>
    <w:rPr>
      <w:caps/>
      <w:sz w:val="16"/>
    </w:rPr>
  </w:style>
  <w:style w:type="paragraph" w:styleId="Header">
    <w:name w:val="header"/>
    <w:basedOn w:val="Normal"/>
    <w:pPr>
      <w:spacing w:before="0"/>
      <w:jc w:val="center"/>
    </w:pPr>
    <w:rPr>
      <w:sz w:val="18"/>
    </w:rPr>
  </w:style>
  <w:style w:type="paragraph" w:styleId="IndexHeading">
    <w:name w:val="index heading"/>
    <w:basedOn w:val="Normal"/>
    <w:next w:val="Index1"/>
    <w:semiHidden/>
  </w:style>
  <w:style w:type="paragraph" w:styleId="Index1">
    <w:name w:val="index 1"/>
    <w:basedOn w:val="Normal"/>
    <w:next w:val="Normal"/>
    <w:semiHidden/>
  </w:style>
  <w:style w:type="paragraph" w:styleId="FootnoteText">
    <w:name w:val="footnote text"/>
    <w:basedOn w:val="Normal"/>
    <w:link w:val="FootnoteTextChar"/>
    <w:pPr>
      <w:keepLines/>
      <w:tabs>
        <w:tab w:val="left" w:pos="255"/>
      </w:tabs>
    </w:pPr>
    <w:rPr>
      <w:sz w:val="22"/>
    </w:rPr>
  </w:style>
  <w:style w:type="paragraph" w:styleId="TOC6">
    <w:name w:val="toc 6"/>
    <w:basedOn w:val="TOC4"/>
    <w:semiHidden/>
  </w:style>
  <w:style w:type="paragraph" w:styleId="Index7">
    <w:name w:val="index 7"/>
    <w:basedOn w:val="Normal"/>
    <w:next w:val="Normal"/>
    <w:semiHidden/>
    <w:pPr>
      <w:ind w:left="1698"/>
    </w:pPr>
  </w:style>
  <w:style w:type="paragraph" w:styleId="Index2">
    <w:name w:val="index 2"/>
    <w:basedOn w:val="Normal"/>
    <w:next w:val="Normal"/>
    <w:semiHidden/>
    <w:pPr>
      <w:ind w:left="283"/>
    </w:pPr>
  </w:style>
  <w:style w:type="character" w:styleId="Strong">
    <w:name w:val="Strong"/>
    <w:basedOn w:val="DefaultParagraphFont"/>
    <w:qFormat/>
    <w:rPr>
      <w:b/>
      <w:bCs/>
    </w:rPr>
  </w:style>
  <w:style w:type="character" w:styleId="EndnoteReference">
    <w:name w:val="endnote reference"/>
    <w:basedOn w:val="DefaultParagraphFont"/>
    <w:semiHidden/>
    <w:rPr>
      <w:vertAlign w:val="superscript"/>
    </w:rPr>
  </w:style>
  <w:style w:type="character" w:styleId="PageNumber">
    <w:name w:val="page number"/>
    <w:basedOn w:val="DefaultParagraphFont"/>
  </w:style>
  <w:style w:type="character" w:styleId="LineNumber">
    <w:name w:val="line number"/>
    <w:basedOn w:val="DefaultParagraphFont"/>
  </w:style>
  <w:style w:type="character" w:styleId="Hyperlink">
    <w:name w:val="Hyperlink"/>
    <w:basedOn w:val="DefaultParagraphFont"/>
    <w:uiPriority w:val="99"/>
    <w:semiHidden/>
    <w:unhideWhenUsed/>
    <w:rPr>
      <w:color w:val="0000FF" w:themeColor="hyperlink"/>
      <w:u w:val="single"/>
    </w:rPr>
  </w:style>
  <w:style w:type="character" w:styleId="FootnoteReference">
    <w:name w:val="footnote reference"/>
    <w:basedOn w:val="DefaultParagraphFont"/>
    <w:rPr>
      <w:position w:val="6"/>
      <w:sz w:val="18"/>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rFonts w:ascii="STKaiti" w:eastAsia="STKaiti" w:hAnsi="STKait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QuestionNo">
    <w:name w:val="Question_No"/>
    <w:basedOn w:val="RecNo"/>
    <w:next w:val="Question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Normalaftertitle0">
    <w:name w:val="Normal after title"/>
    <w:basedOn w:val="Normal"/>
    <w:next w:val="Normal"/>
    <w:link w:val="NormalaftertitleChar0"/>
    <w:qFormat/>
    <w:pPr>
      <w:spacing w:before="280"/>
    </w:p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Questiondate">
    <w:name w:val="Question_date"/>
    <w:basedOn w:val="Recdate"/>
    <w:next w:val="Normalaftertitle0"/>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Tabletitle"/>
    <w:next w:val="Normal"/>
    <w:pPr>
      <w:spacing w:after="480"/>
    </w:p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pPr>
      <w:tabs>
        <w:tab w:val="left" w:pos="284"/>
      </w:tabs>
      <w:spacing w:before="80"/>
    </w:pPr>
  </w:style>
  <w:style w:type="paragraph" w:customStyle="1" w:styleId="PartNo">
    <w:name w:val="Part_No"/>
    <w:basedOn w:val="AnnexNo"/>
    <w:next w:val="Partref"/>
  </w:style>
  <w:style w:type="paragraph" w:customStyle="1" w:styleId="AnnexNo">
    <w:name w:val="Annex_No"/>
    <w:basedOn w:val="Normal"/>
    <w:next w:val="Normal"/>
    <w:pPr>
      <w:keepNext/>
      <w:keepLines/>
      <w:spacing w:before="480" w:after="80"/>
      <w:jc w:val="center"/>
    </w:pPr>
    <w:rPr>
      <w:caps/>
      <w:sz w:val="28"/>
    </w:rPr>
  </w:style>
  <w:style w:type="paragraph" w:customStyle="1" w:styleId="Partref">
    <w:name w:val="Part_ref"/>
    <w:basedOn w:val="Annexref"/>
    <w:next w:val="Parttitle"/>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Parttitle">
    <w:name w:val="Part_title"/>
    <w:basedOn w:val="Annextitle"/>
    <w:next w:val="Normalaftertitle0"/>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pPr>
      <w:keepNext/>
      <w:spacing w:before="80" w:after="80"/>
      <w:jc w:val="center"/>
    </w:pPr>
    <w:rPr>
      <w:rFonts w:ascii="Times New Roman Bold" w:hAnsi="Times New Roman Bold"/>
      <w:b/>
    </w:rPr>
  </w:style>
  <w:style w:type="paragraph" w:customStyle="1" w:styleId="Tablelegend">
    <w:name w:val="Table_legend"/>
    <w:basedOn w:val="Tabletext"/>
    <w:pPr>
      <w:spacing w:before="120"/>
    </w:pPr>
  </w:style>
  <w:style w:type="paragraph" w:customStyle="1" w:styleId="TableNo">
    <w:name w:val="Table_No"/>
    <w:basedOn w:val="Normal"/>
    <w:next w:val="Tabletitle"/>
    <w:pPr>
      <w:keepNext/>
      <w:spacing w:before="560" w:after="120"/>
      <w:jc w:val="center"/>
    </w:pPr>
    <w:rPr>
      <w:caps/>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qFormat/>
    <w:rPr>
      <w:rFonts w:ascii="Times New Roman" w:hAnsi="Times New Roman"/>
      <w:b/>
    </w:rPr>
  </w:style>
  <w:style w:type="character" w:customStyle="1" w:styleId="Tablefreq">
    <w:name w:val="Table_freq"/>
    <w:basedOn w:val="DefaultParagraphFont"/>
    <w:rPr>
      <w:b/>
      <w:color w:val="auto"/>
      <w:sz w:val="20"/>
    </w:rPr>
  </w:style>
  <w:style w:type="paragraph" w:customStyle="1" w:styleId="Formal">
    <w:name w:val="Formal"/>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sz w:val="2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pPr>
      <w:keepNext/>
      <w:spacing w:before="160"/>
    </w:pPr>
    <w:rPr>
      <w:rFonts w:ascii="STKaiti" w:eastAsia="STKaiti" w:hAnsi="STKaiti"/>
    </w:rPr>
  </w:style>
  <w:style w:type="paragraph" w:customStyle="1" w:styleId="Headingb">
    <w:name w:val="Heading_b"/>
    <w:basedOn w:val="Normal"/>
    <w:next w:val="Normal"/>
    <w:link w:val="HeadingbChar"/>
    <w:uiPriority w:val="99"/>
    <w:qFormat/>
    <w:pPr>
      <w:keepNext/>
      <w:spacing w:before="160"/>
    </w:pPr>
    <w:rPr>
      <w:rFonts w:ascii="Times" w:hAnsi="Times"/>
      <w:b/>
    </w:rPr>
  </w:style>
  <w:style w:type="paragraph" w:customStyle="1" w:styleId="Figure">
    <w:name w:val="Figure"/>
    <w:basedOn w:val="Normal"/>
    <w:next w:val="Figuretitle"/>
    <w:pPr>
      <w:keepNext/>
      <w:keepLines/>
      <w:jc w:val="center"/>
    </w:pPr>
  </w:style>
  <w:style w:type="paragraph" w:customStyle="1" w:styleId="FooterQP">
    <w:name w:val="Footer_QP"/>
    <w:basedOn w:val="Normal"/>
    <w:pPr>
      <w:tabs>
        <w:tab w:val="left" w:pos="907"/>
        <w:tab w:val="right" w:pos="8789"/>
        <w:tab w:val="right" w:pos="9639"/>
      </w:tabs>
      <w:spacing w:before="0"/>
    </w:pPr>
    <w:rPr>
      <w:b/>
      <w:sz w:val="22"/>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Appendixtitle">
    <w:name w:val="Appendix_title"/>
    <w:basedOn w:val="Annextitle"/>
    <w:next w:val="Normal"/>
  </w:style>
  <w:style w:type="paragraph" w:customStyle="1" w:styleId="AppendixNo">
    <w:name w:val="Appendix_No"/>
    <w:basedOn w:val="AnnexNo"/>
    <w:next w:val="Annexref"/>
  </w:style>
  <w:style w:type="paragraph" w:customStyle="1" w:styleId="Reasons">
    <w:name w:val="Reasons"/>
    <w:basedOn w:val="Normal"/>
    <w:pPr>
      <w:tabs>
        <w:tab w:val="clear" w:pos="1871"/>
        <w:tab w:val="clear" w:pos="2268"/>
        <w:tab w:val="left" w:pos="1588"/>
        <w:tab w:val="left" w:pos="1985"/>
      </w:tabs>
    </w:pPr>
  </w:style>
  <w:style w:type="paragraph" w:customStyle="1" w:styleId="TableTextS5">
    <w:name w:val="Table_TextS5"/>
    <w:basedOn w:val="Normal"/>
    <w:pPr>
      <w:tabs>
        <w:tab w:val="clear" w:pos="1134"/>
        <w:tab w:val="clear" w:pos="1871"/>
        <w:tab w:val="clear" w:pos="2268"/>
        <w:tab w:val="left" w:pos="431"/>
        <w:tab w:val="left" w:pos="3119"/>
      </w:tabs>
      <w:spacing w:before="40" w:after="40"/>
    </w:pPr>
    <w:rPr>
      <w:sz w:val="20"/>
    </w:rPr>
  </w:style>
  <w:style w:type="paragraph" w:customStyle="1" w:styleId="Proposal">
    <w:name w:val="Proposal"/>
    <w:basedOn w:val="Normal"/>
    <w:next w:val="Normal"/>
    <w:pPr>
      <w:keepNext/>
      <w:spacing w:before="240"/>
    </w:pPr>
    <w:rPr>
      <w:b/>
      <w:caps/>
    </w:rPr>
  </w:style>
  <w:style w:type="paragraph" w:customStyle="1" w:styleId="Appendixref">
    <w:name w:val="Appendix_ref"/>
    <w:basedOn w:val="Annexref"/>
    <w:next w:val="Annextitle"/>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rPr>
  </w:style>
  <w:style w:type="paragraph" w:customStyle="1" w:styleId="Section3">
    <w:name w:val="Section_3"/>
    <w:basedOn w:val="Section1"/>
    <w:rPr>
      <w:b w:val="0"/>
    </w:rPr>
  </w:style>
  <w:style w:type="paragraph" w:customStyle="1" w:styleId="TABLECAPS">
    <w:name w:val="TABLECAPS"/>
    <w:basedOn w:val="TableTextS5"/>
    <w:rPr>
      <w:rFonts w:ascii="Times New Roman Bold" w:eastAsia="SimHei" w:hAnsi="Times New Roman Bold" w:cs="Times New Roman Bold"/>
      <w:b/>
      <w:lang w:val="en-US"/>
    </w:rPr>
  </w:style>
  <w:style w:type="paragraph" w:customStyle="1" w:styleId="NormalCH">
    <w:name w:val="NormalCH"/>
    <w:basedOn w:val="Normal"/>
    <w:next w:val="Normal"/>
    <w:qFormat/>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pPr>
      <w:tabs>
        <w:tab w:val="clear" w:pos="1871"/>
        <w:tab w:val="clear" w:pos="2268"/>
        <w:tab w:val="left" w:pos="1418"/>
      </w:tabs>
      <w:ind w:left="1418" w:hanging="1418"/>
    </w:pPr>
  </w:style>
  <w:style w:type="paragraph" w:customStyle="1" w:styleId="Heading9a">
    <w:name w:val="Heading 9a"/>
    <w:basedOn w:val="Heading9"/>
    <w:next w:val="Normal"/>
    <w:pPr>
      <w:tabs>
        <w:tab w:val="clear" w:pos="1871"/>
        <w:tab w:val="clear" w:pos="2268"/>
        <w:tab w:val="left" w:pos="1559"/>
      </w:tabs>
      <w:ind w:left="1559" w:hanging="1559"/>
    </w:pPr>
  </w:style>
  <w:style w:type="paragraph" w:customStyle="1" w:styleId="Agendaitem">
    <w:name w:val="Agenda_item"/>
    <w:basedOn w:val="Title3"/>
    <w:next w:val="Normalaftertitle0"/>
    <w:qFormat/>
    <w:rPr>
      <w:lang w:val="en-US" w:eastAsia="zh-CN"/>
    </w:rPr>
  </w:style>
  <w:style w:type="paragraph" w:customStyle="1" w:styleId="Subsection1">
    <w:name w:val="Subsection_1"/>
    <w:basedOn w:val="Section1"/>
    <w:next w:val="Section1"/>
    <w:qFormat/>
  </w:style>
  <w:style w:type="paragraph" w:customStyle="1" w:styleId="Part1">
    <w:name w:val="Part_1"/>
    <w:basedOn w:val="Subsection1"/>
    <w:next w:val="Normalaftertitle0"/>
    <w:qFormat/>
  </w:style>
  <w:style w:type="paragraph" w:customStyle="1" w:styleId="Normalend">
    <w:name w:val="Normal_end"/>
    <w:basedOn w:val="Normal"/>
    <w:qFormat/>
  </w:style>
  <w:style w:type="paragraph" w:customStyle="1" w:styleId="ApptoAnnex">
    <w:name w:val="App_to_Annex"/>
    <w:basedOn w:val="AppendixNo"/>
    <w:qFormat/>
  </w:style>
  <w:style w:type="paragraph" w:customStyle="1" w:styleId="AppArtNo">
    <w:name w:val="App_Art_No"/>
    <w:basedOn w:val="ArtNo"/>
    <w:qFormat/>
  </w:style>
  <w:style w:type="paragraph" w:customStyle="1" w:styleId="AppArttitle">
    <w:name w:val="App_Art_title"/>
    <w:basedOn w:val="Arttitle"/>
    <w:qFormat/>
  </w:style>
  <w:style w:type="paragraph" w:customStyle="1" w:styleId="Volumetitle">
    <w:name w:val="Volume_title"/>
    <w:basedOn w:val="ArtNo"/>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pPr>
      <w:tabs>
        <w:tab w:val="clear" w:pos="2268"/>
      </w:tabs>
      <w:jc w:val="both"/>
    </w:pPr>
  </w:style>
  <w:style w:type="character" w:customStyle="1" w:styleId="Provsplit">
    <w:name w:val="Prov_split"/>
    <w:basedOn w:val="DefaultParagraphFont"/>
    <w:uiPriority w:val="1"/>
    <w:qFormat/>
    <w:rPr>
      <w:lang w:eastAsia="zh-CN"/>
    </w:rPr>
  </w:style>
  <w:style w:type="paragraph" w:customStyle="1" w:styleId="MethodHeadingb">
    <w:name w:val="Method_Headingb"/>
    <w:basedOn w:val="Headingb"/>
    <w:qFormat/>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character" w:customStyle="1" w:styleId="FootnoteTextChar">
    <w:name w:val="Footnote Text Char"/>
    <w:basedOn w:val="DefaultParagraphFont"/>
    <w:link w:val="FootnoteText"/>
    <w:rPr>
      <w:rFonts w:ascii="Times New Roman" w:hAnsi="Times New Roman"/>
      <w:sz w:val="22"/>
      <w:lang w:val="en-GB" w:eastAsia="en-US"/>
    </w:rPr>
  </w:style>
  <w:style w:type="character" w:customStyle="1" w:styleId="HeadingbChar">
    <w:name w:val="Heading_b Char"/>
    <w:link w:val="Headingb"/>
    <w:uiPriority w:val="99"/>
    <w:qFormat/>
    <w:locked/>
    <w:rPr>
      <w:rFonts w:ascii="Times" w:hAnsi="Times"/>
      <w:b/>
      <w:sz w:val="24"/>
      <w:lang w:val="en-GB" w:eastAsia="en-US"/>
    </w:rPr>
  </w:style>
  <w:style w:type="character" w:customStyle="1" w:styleId="CallChar">
    <w:name w:val="Call Char"/>
    <w:basedOn w:val="DefaultParagraphFont"/>
    <w:link w:val="Call"/>
    <w:qFormat/>
    <w:rPr>
      <w:rFonts w:ascii="STKaiti" w:eastAsia="STKaiti" w:hAnsi="STKaiti"/>
      <w:sz w:val="24"/>
      <w:lang w:val="en-GB" w:eastAsia="en-US"/>
    </w:rPr>
  </w:style>
  <w:style w:type="character" w:customStyle="1" w:styleId="NormalaftertitleChar">
    <w:name w:val="Normal_after_title Char"/>
    <w:basedOn w:val="DefaultParagraphFont"/>
    <w:link w:val="Normalaftertitle"/>
    <w:locked/>
    <w:rPr>
      <w:rFonts w:ascii="Times New Roman" w:hAnsi="Times New Roman"/>
      <w:sz w:val="24"/>
      <w:lang w:val="en-GB" w:eastAsia="en-US"/>
    </w:rPr>
  </w:style>
  <w:style w:type="paragraph" w:customStyle="1" w:styleId="ResTitle0">
    <w:name w:val="Res_Title"/>
    <w:basedOn w:val="Rectitle"/>
    <w:next w:val="Resref"/>
    <w:link w:val="ResTitleChar"/>
    <w:rPr>
      <w:rFonts w:ascii="Times New Roman" w:hAnsi="Times New Roman"/>
    </w:rPr>
  </w:style>
  <w:style w:type="character" w:customStyle="1" w:styleId="ResTitleChar">
    <w:name w:val="Res_Title Char"/>
    <w:basedOn w:val="DefaultParagraphFont"/>
    <w:link w:val="ResTitle0"/>
    <w:rPr>
      <w:rFonts w:ascii="Times New Roman" w:hAnsi="Times New Roman"/>
      <w:b/>
      <w:sz w:val="28"/>
      <w:lang w:val="en-GB" w:eastAsia="en-US"/>
    </w:rPr>
  </w:style>
  <w:style w:type="paragraph" w:customStyle="1" w:styleId="Revision1">
    <w:name w:val="Revision1"/>
    <w:hidden/>
    <w:uiPriority w:val="99"/>
    <w:semiHidden/>
    <w:rPr>
      <w:rFonts w:ascii="Times New Roman" w:hAnsi="Times New Roman"/>
      <w:sz w:val="24"/>
      <w:lang w:eastAsia="en-US"/>
    </w:rPr>
  </w:style>
  <w:style w:type="character" w:customStyle="1" w:styleId="NormalaftertitleChar0">
    <w:name w:val="Normal after title Char"/>
    <w:link w:val="Normalaftertitle0"/>
    <w:qFormat/>
    <w:locke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ab02c2a-5834-406b-a335-2067de373546" targetNamespace="http://schemas.microsoft.com/office/2006/metadata/properties" ma:root="true" ma:fieldsID="d41af5c836d734370eb92e7ee5f83852" ns2:_="" ns3:_="">
    <xsd:import namespace="996b2e75-67fd-4955-a3b0-5ab9934cb50b"/>
    <xsd:import namespace="4ab02c2a-5834-406b-a335-2067de37354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ab02c2a-5834-406b-a335-2067de37354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ab02c2a-5834-406b-a335-2067de373546">DPM</DPM_x0020_Author>
    <DPM_x0020_File_x0020_name xmlns="4ab02c2a-5834-406b-a335-2067de373546">R23-WRC23-C-0044!A27-A3!MSW-C</DPM_x0020_File_x0020_name>
    <DPM_x0020_Version xmlns="4ab02c2a-5834-406b-a335-2067de373546">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datastoreItem>
</file>

<file path=customXml/itemProps2.xml><?xml version="1.0" encoding="utf-8"?>
<ds:datastoreItem xmlns:ds="http://schemas.openxmlformats.org/officeDocument/2006/customXml" ds:itemID="{DF3D58E2-EC10-4DC5-9074-AF807B63C28A}">
  <ds:schemaRefs/>
</ds:datastoreItem>
</file>

<file path=customXml/itemProps3.xml><?xml version="1.0" encoding="utf-8"?>
<ds:datastoreItem xmlns:ds="http://schemas.openxmlformats.org/officeDocument/2006/customXml" ds:itemID="{2F0EFE08-A921-4788-A55E-85460929E2B2}">
  <ds:schemaRefs/>
</ds:datastoreItem>
</file>

<file path=customXml/itemProps4.xml><?xml version="1.0" encoding="utf-8"?>
<ds:datastoreItem xmlns:ds="http://schemas.openxmlformats.org/officeDocument/2006/customXml" ds:itemID="{953EE0A1-72A1-4B70-A747-679743F7085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3528</Words>
  <Characters>736</Characters>
  <Application>Microsoft Office Word</Application>
  <DocSecurity>0</DocSecurity>
  <Lines>6</Lines>
  <Paragraphs>8</Paragraphs>
  <ScaleCrop>false</ScaleCrop>
  <HeadingPairs>
    <vt:vector size="2" baseType="variant">
      <vt:variant>
        <vt:lpstr>Title</vt:lpstr>
      </vt:variant>
      <vt:variant>
        <vt:i4>1</vt:i4>
      </vt:variant>
    </vt:vector>
  </HeadingPairs>
  <TitlesOfParts>
    <vt:vector size="1" baseType="lpstr">
      <vt:lpstr>R23-WRC23-C-0044!A27-A3!MSW-C</vt:lpstr>
    </vt:vector>
  </TitlesOfParts>
  <Manager>General Secretariat - Pool</Manager>
  <Company>International Telecommunication Union (ITU)</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R23-WRC23-C-0044!A27-A3!MSW-C</dc:title>
  <dc:subject>World Radiocommunication Conference - 2019</dc:subject>
  <dc:creator>Documents Proposals Manager (DPM)</dc:creator>
  <cp:keywords>DPM_v2023.8.1.1_prod</cp:keywords>
  <cp:lastModifiedBy>Chinese</cp:lastModifiedBy>
  <cp:revision>5</cp:revision>
  <cp:lastPrinted>2006-07-03T06:56:00Z</cp:lastPrinted>
  <dcterms:created xsi:type="dcterms:W3CDTF">2023-10-20T12:30:00Z</dcterms:created>
  <dcterms:modified xsi:type="dcterms:W3CDTF">2023-10-20T14:33:00Z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y fmtid="{D5CDD505-2E9C-101B-9397-08002B2CF9AE}" pid="10" name="KSOProductBuildVer">
    <vt:lpwstr>2052-12.1.0.15066</vt:lpwstr>
  </property>
  <property fmtid="{D5CDD505-2E9C-101B-9397-08002B2CF9AE}" pid="11" name="ICV">
    <vt:lpwstr>66F2CD5E33BA4209AC2BEB6E5C91885D_12</vt:lpwstr>
  </property>
</Properties>
</file>