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d8521dbb824cb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92E" w:rsidRDefault="00897AEF" w14:paraId="518976D0" w14:textId="77777777">
      <w:pPr>
        <w:pStyle w:val="Proposal"/>
        <w:rPr>
          <w:lang w:eastAsia="zh-CN"/>
        </w:rPr>
      </w:pPr>
      <w:r>
        <w:rPr>
          <w:lang w:eastAsia="zh-CN"/>
        </w:rPr>
        <w:t>ADD</w:t>
      </w:r>
      <w:r>
        <w:rPr>
          <w:lang w:eastAsia="zh-CN"/>
        </w:rPr>
        <w:tab/>
        <w:t>IAP/44A27A3/</w:t>
      </w:r>
      <w:proofErr w:type="gramStart"/>
      <w:r>
        <w:rPr>
          <w:lang w:eastAsia="zh-CN"/>
        </w:rPr>
        <w:t>2</w:t>
      </w:r>
      <w:proofErr w:type="gramEnd"/>
    </w:p>
    <w:p w:rsidR="00B1592E" w:rsidRDefault="00897AEF" w14:paraId="219FF1CA" w14:textId="77777777">
      <w:pPr>
        <w:pStyle w:val="ResNo"/>
        <w:rPr>
          <w:lang w:eastAsia="zh-CN"/>
        </w:rPr>
      </w:pPr>
      <w:r>
        <w:rPr>
          <w:rFonts w:hint="eastAsia"/>
          <w:lang w:eastAsia="zh-CN"/>
        </w:rPr>
        <w:t>第</w:t>
      </w:r>
      <w:r>
        <w:rPr>
          <w:lang w:eastAsia="zh-CN"/>
        </w:rPr>
        <w:t>[AI-10-LUNAR]</w:t>
      </w:r>
      <w:r>
        <w:rPr>
          <w:rFonts w:hint="eastAsia"/>
          <w:lang w:eastAsia="zh-CN"/>
        </w:rPr>
        <w:t>号</w:t>
      </w:r>
      <w:r>
        <w:rPr>
          <w:lang w:eastAsia="zh-CN"/>
        </w:rPr>
        <w:t>新决议草案</w:t>
      </w:r>
      <w:r>
        <w:rPr>
          <w:rFonts w:hint="eastAsia"/>
          <w:lang w:eastAsia="zh-CN"/>
        </w:rPr>
        <w:t>（</w:t>
      </w:r>
      <w:r>
        <w:rPr>
          <w:lang w:eastAsia="zh-CN"/>
        </w:rPr>
        <w:t>WRC-23</w:t>
      </w:r>
      <w:r>
        <w:rPr>
          <w:rFonts w:hint="eastAsia"/>
          <w:lang w:eastAsia="zh-CN"/>
        </w:rPr>
        <w:t>）</w:t>
      </w:r>
    </w:p>
    <w:p w:rsidR="00B1592E" w:rsidRDefault="00897AEF" w14:paraId="100B9F43" w14:textId="77777777">
      <w:pPr>
        <w:pStyle w:val="Restitle"/>
        <w:rPr>
          <w:lang w:val="en-US" w:eastAsia="zh-CN"/>
        </w:rPr>
      </w:pPr>
      <w:r>
        <w:rPr>
          <w:rFonts w:hint="eastAsia" w:ascii="Times New Roman"/>
          <w:lang w:val="en-US" w:eastAsia="zh-CN"/>
        </w:rPr>
        <w:t>有关</w:t>
      </w:r>
      <w:r>
        <w:rPr>
          <w:rFonts w:hint="eastAsia" w:ascii="Times New Roman"/>
          <w:lang w:eastAsia="zh-CN"/>
        </w:rPr>
        <w:t>频率相关</w:t>
      </w:r>
      <w:r>
        <w:rPr>
          <w:rFonts w:hint="eastAsia" w:ascii="Times New Roman"/>
          <w:lang w:val="en-US" w:eastAsia="zh-CN"/>
        </w:rPr>
        <w:t>事宜</w:t>
      </w:r>
      <w:r>
        <w:rPr>
          <w:rFonts w:hint="eastAsia" w:ascii="Times New Roman"/>
          <w:lang w:eastAsia="zh-CN"/>
        </w:rPr>
        <w:t>的研究，</w:t>
      </w:r>
      <w:r>
        <w:rPr>
          <w:rFonts w:hint="eastAsia" w:ascii="Times New Roman"/>
          <w:lang w:val="en-US" w:eastAsia="zh-CN"/>
        </w:rPr>
        <w:t>其中</w:t>
      </w:r>
      <w:r>
        <w:rPr>
          <w:rFonts w:hint="eastAsia" w:ascii="Times New Roman"/>
          <w:lang w:eastAsia="zh-CN"/>
        </w:rPr>
        <w:t>包括为月球表面</w:t>
      </w:r>
      <w:r>
        <w:rPr>
          <w:rFonts w:hint="eastAsia" w:ascii="Times New Roman"/>
          <w:lang w:val="en-US" w:eastAsia="zh-CN"/>
        </w:rPr>
        <w:t>上的</w:t>
      </w:r>
      <w:r>
        <w:rPr>
          <w:rFonts w:hint="eastAsia" w:ascii="Times New Roman"/>
          <w:lang w:val="en-US" w:eastAsia="zh-CN"/>
        </w:rPr>
        <w:br/>
      </w:r>
      <w:r>
        <w:rPr>
          <w:rFonts w:hint="eastAsia" w:ascii="Times New Roman"/>
          <w:lang w:val="en-US" w:eastAsia="zh-CN"/>
        </w:rPr>
        <w:t>通信以及</w:t>
      </w:r>
      <w:r>
        <w:rPr>
          <w:rFonts w:hint="eastAsia" w:ascii="Times New Roman"/>
          <w:lang w:eastAsia="zh-CN"/>
        </w:rPr>
        <w:t>月球轨道与月球表面之间</w:t>
      </w:r>
      <w:r>
        <w:rPr>
          <w:rFonts w:hint="eastAsia" w:ascii="Times New Roman"/>
          <w:lang w:val="en-US" w:eastAsia="zh-CN"/>
        </w:rPr>
        <w:t>的</w:t>
      </w:r>
      <w:r>
        <w:rPr>
          <w:rFonts w:hint="eastAsia" w:ascii="Times New Roman"/>
          <w:lang w:eastAsia="zh-CN"/>
        </w:rPr>
        <w:t>通信的未来发展</w:t>
      </w:r>
      <w:r>
        <w:rPr>
          <w:rFonts w:hint="eastAsia" w:ascii="Times New Roman"/>
          <w:lang w:eastAsia="zh-CN"/>
        </w:rPr>
        <w:br/>
      </w:r>
      <w:r>
        <w:rPr>
          <w:rFonts w:hint="eastAsia" w:ascii="Times New Roman"/>
          <w:lang w:eastAsia="zh-CN"/>
        </w:rPr>
        <w:t>可能</w:t>
      </w:r>
      <w:r>
        <w:rPr>
          <w:rFonts w:hint="eastAsia" w:ascii="Times New Roman"/>
          <w:lang w:val="en-US" w:eastAsia="zh-CN"/>
        </w:rPr>
        <w:t>进行</w:t>
      </w:r>
      <w:r>
        <w:rPr>
          <w:rFonts w:hint="eastAsia" w:ascii="Times New Roman"/>
          <w:lang w:eastAsia="zh-CN"/>
        </w:rPr>
        <w:t>的额外划分和</w:t>
      </w:r>
      <w:r>
        <w:rPr>
          <w:rFonts w:hint="eastAsia" w:ascii="Times New Roman"/>
          <w:lang w:eastAsia="zh-CN"/>
        </w:rPr>
        <w:t>/</w:t>
      </w:r>
      <w:r>
        <w:rPr>
          <w:rFonts w:hint="eastAsia" w:ascii="Times New Roman"/>
          <w:lang w:eastAsia="zh-CN"/>
        </w:rPr>
        <w:t>或</w:t>
      </w:r>
      <w:r>
        <w:rPr>
          <w:rFonts w:hint="eastAsia" w:ascii="Times New Roman"/>
          <w:lang w:val="en-US" w:eastAsia="zh-CN"/>
        </w:rPr>
        <w:t>可能确定的额外频段</w:t>
      </w:r>
    </w:p>
    <w:p w:rsidR="00B1592E" w:rsidRDefault="00897AEF" w14:paraId="28E98EC1" w14:textId="77777777">
      <w:pPr>
        <w:pStyle w:val="Normalaftertitle"/>
        <w:jc w:val="both"/>
        <w:rPr>
          <w:lang w:eastAsia="zh-CN"/>
        </w:rPr>
      </w:pPr>
      <w:r>
        <w:rPr>
          <w:rFonts w:hint="eastAsia"/>
          <w:lang w:eastAsia="zh-CN"/>
        </w:rPr>
        <w:t>世界无线电通信大会（</w:t>
      </w:r>
      <w:r>
        <w:rPr>
          <w:rFonts w:hint="eastAsia"/>
          <w:lang w:eastAsia="zh-CN"/>
        </w:rPr>
        <w:t>2</w:t>
      </w:r>
      <w:r>
        <w:rPr>
          <w:lang w:eastAsia="zh-CN"/>
        </w:rPr>
        <w:t>023</w:t>
      </w:r>
      <w:r>
        <w:rPr>
          <w:rFonts w:hint="eastAsia"/>
          <w:lang w:eastAsia="zh-CN"/>
        </w:rPr>
        <w:t>年，迪拜），</w:t>
      </w:r>
    </w:p>
    <w:p w:rsidR="00B1592E" w:rsidRDefault="00897AEF" w14:paraId="23164B8C" w14:textId="77777777">
      <w:pPr>
        <w:pStyle w:val="Call"/>
        <w:jc w:val="both"/>
        <w:rPr>
          <w:lang w:eastAsia="zh-CN"/>
        </w:rPr>
      </w:pPr>
      <w:r>
        <w:rPr>
          <w:rFonts w:hint="eastAsia"/>
          <w:lang w:eastAsia="zh-CN"/>
        </w:rPr>
        <w:t>考虑到</w:t>
      </w:r>
    </w:p>
    <w:p w:rsidR="00B1592E" w:rsidRDefault="00897AEF" w14:paraId="295CEDA3" w14:textId="77777777">
      <w:pPr>
        <w:jc w:val="both"/>
        <w:rPr>
          <w:lang w:eastAsia="zh-CN"/>
        </w:rPr>
      </w:pPr>
      <w:r>
        <w:rPr>
          <w:i/>
          <w:iCs/>
          <w:lang w:eastAsia="zh-CN"/>
        </w:rPr>
        <w:t>a)</w:t>
      </w:r>
      <w:r>
        <w:rPr>
          <w:lang w:eastAsia="zh-CN"/>
        </w:rPr>
        <w:tab/>
      </w:r>
      <w:r>
        <w:rPr>
          <w:rFonts w:hint="eastAsia"/>
          <w:lang w:val="en-US" w:eastAsia="zh-CN"/>
        </w:rPr>
        <w:t>各方对</w:t>
      </w:r>
      <w:r>
        <w:rPr>
          <w:szCs w:val="24"/>
          <w:lang w:eastAsia="zh-CN"/>
        </w:rPr>
        <w:t>在月球附近</w:t>
      </w:r>
      <w:r>
        <w:rPr>
          <w:rFonts w:hint="eastAsia"/>
          <w:szCs w:val="24"/>
          <w:lang w:eastAsia="zh-CN"/>
        </w:rPr>
        <w:t>（</w:t>
      </w:r>
      <w:r>
        <w:rPr>
          <w:szCs w:val="24"/>
          <w:lang w:eastAsia="zh-CN"/>
        </w:rPr>
        <w:t>包括在月球表面</w:t>
      </w:r>
      <w:r>
        <w:rPr>
          <w:rFonts w:hint="eastAsia"/>
          <w:szCs w:val="24"/>
          <w:lang w:eastAsia="zh-CN"/>
        </w:rPr>
        <w:t>）</w:t>
      </w:r>
      <w:r>
        <w:rPr>
          <w:szCs w:val="24"/>
          <w:lang w:eastAsia="zh-CN"/>
        </w:rPr>
        <w:t>进行科学实验、</w:t>
      </w:r>
      <w:proofErr w:type="gramStart"/>
      <w:r>
        <w:rPr>
          <w:szCs w:val="24"/>
          <w:lang w:eastAsia="zh-CN"/>
        </w:rPr>
        <w:t>探索活动和</w:t>
      </w:r>
      <w:r>
        <w:rPr>
          <w:rFonts w:hint="eastAsia"/>
          <w:szCs w:val="24"/>
          <w:lang w:val="en-US" w:eastAsia="zh-CN"/>
        </w:rPr>
        <w:t>在</w:t>
      </w:r>
      <w:r>
        <w:rPr>
          <w:szCs w:val="24"/>
          <w:lang w:eastAsia="zh-CN"/>
        </w:rPr>
        <w:t>未来</w:t>
      </w:r>
      <w:r>
        <w:rPr>
          <w:rFonts w:hint="eastAsia"/>
          <w:szCs w:val="24"/>
          <w:lang w:val="en-US" w:eastAsia="zh-CN"/>
        </w:rPr>
        <w:t>开展可能的</w:t>
      </w:r>
      <w:r>
        <w:rPr>
          <w:szCs w:val="24"/>
          <w:lang w:eastAsia="zh-CN"/>
        </w:rPr>
        <w:t>空间商业的兴趣</w:t>
      </w:r>
      <w:r>
        <w:rPr>
          <w:rFonts w:hint="eastAsia"/>
          <w:szCs w:val="24"/>
          <w:lang w:val="en-US" w:eastAsia="zh-CN"/>
        </w:rPr>
        <w:t>日益浓厚</w:t>
      </w:r>
      <w:r>
        <w:rPr>
          <w:szCs w:val="24"/>
          <w:lang w:eastAsia="zh-CN"/>
        </w:rPr>
        <w:t>；</w:t>
      </w:r>
      <w:proofErr w:type="gramEnd"/>
    </w:p>
    <w:p w:rsidR="00B1592E" w:rsidRDefault="00897AEF" w14:paraId="6D154D65" w14:textId="77777777">
      <w:pPr>
        <w:jc w:val="both"/>
        <w:rPr>
          <w:szCs w:val="24"/>
          <w:lang w:eastAsia="zh-CN"/>
        </w:rPr>
      </w:pPr>
      <w:r>
        <w:rPr>
          <w:i/>
          <w:iCs/>
          <w:szCs w:val="24"/>
          <w:lang w:eastAsia="zh-CN"/>
        </w:rPr>
        <w:t>b)</w:t>
      </w:r>
      <w:r>
        <w:rPr>
          <w:szCs w:val="24"/>
          <w:lang w:eastAsia="zh-CN"/>
        </w:rPr>
        <w:tab/>
      </w:r>
      <w:r>
        <w:rPr>
          <w:szCs w:val="24"/>
          <w:lang w:eastAsia="zh-CN"/>
        </w:rPr>
        <w:t>通信技术</w:t>
      </w:r>
      <w:r>
        <w:rPr>
          <w:rFonts w:hint="eastAsia"/>
          <w:szCs w:val="24"/>
          <w:lang w:val="en-US" w:eastAsia="zh-CN"/>
        </w:rPr>
        <w:t>的</w:t>
      </w:r>
      <w:r>
        <w:rPr>
          <w:szCs w:val="24"/>
          <w:lang w:eastAsia="zh-CN"/>
        </w:rPr>
        <w:t>发展</w:t>
      </w:r>
      <w:r>
        <w:rPr>
          <w:rFonts w:hint="eastAsia"/>
          <w:szCs w:val="24"/>
          <w:lang w:val="en-US" w:eastAsia="zh-CN"/>
        </w:rPr>
        <w:t>已臻</w:t>
      </w:r>
      <w:r>
        <w:rPr>
          <w:szCs w:val="24"/>
          <w:lang w:eastAsia="zh-CN"/>
        </w:rPr>
        <w:t>完善，并广泛部署在地球上，</w:t>
      </w:r>
      <w:proofErr w:type="gramStart"/>
      <w:r>
        <w:rPr>
          <w:rFonts w:hint="eastAsia"/>
          <w:szCs w:val="24"/>
          <w:lang w:val="en-US" w:eastAsia="zh-CN"/>
        </w:rPr>
        <w:t>其</w:t>
      </w:r>
      <w:r>
        <w:rPr>
          <w:szCs w:val="24"/>
          <w:lang w:eastAsia="zh-CN"/>
        </w:rPr>
        <w:t>使用的行业标准可应用于月球通信；</w:t>
      </w:r>
      <w:proofErr w:type="gramEnd"/>
    </w:p>
    <w:p w:rsidR="00B1592E" w:rsidRDefault="00897AEF" w14:paraId="65470AF5" w14:textId="77777777">
      <w:pPr>
        <w:jc w:val="both"/>
        <w:rPr>
          <w:szCs w:val="24"/>
          <w:lang w:eastAsia="zh-CN"/>
        </w:rPr>
      </w:pPr>
      <w:r>
        <w:rPr>
          <w:i/>
          <w:szCs w:val="24"/>
          <w:lang w:eastAsia="zh-CN"/>
        </w:rPr>
        <w:t>c)</w:t>
      </w:r>
      <w:r>
        <w:rPr>
          <w:szCs w:val="24"/>
          <w:lang w:eastAsia="zh-CN"/>
        </w:rPr>
        <w:tab/>
      </w:r>
      <w:r>
        <w:rPr>
          <w:szCs w:val="24"/>
          <w:lang w:eastAsia="zh-CN"/>
        </w:rPr>
        <w:t>月球近侧表面上用于科学或技术研究目的的点对多点系统目前可以在空间研究</w:t>
      </w:r>
      <w:r>
        <w:rPr>
          <w:rFonts w:hint="eastAsia"/>
          <w:szCs w:val="24"/>
          <w:lang w:val="en-US" w:eastAsia="zh-CN"/>
        </w:rPr>
        <w:t>业务</w:t>
      </w:r>
      <w:r>
        <w:rPr>
          <w:rFonts w:hint="eastAsia"/>
          <w:szCs w:val="24"/>
          <w:lang w:eastAsia="zh-CN"/>
        </w:rPr>
        <w:t>（</w:t>
      </w:r>
      <w:r>
        <w:rPr>
          <w:szCs w:val="24"/>
          <w:lang w:eastAsia="zh-CN"/>
        </w:rPr>
        <w:t>空</w:t>
      </w:r>
      <w:r>
        <w:rPr>
          <w:rFonts w:hint="eastAsia"/>
          <w:szCs w:val="24"/>
          <w:lang w:val="en-US" w:eastAsia="zh-CN"/>
        </w:rPr>
        <w:t>对</w:t>
      </w:r>
      <w:r>
        <w:rPr>
          <w:szCs w:val="24"/>
          <w:lang w:eastAsia="zh-CN"/>
        </w:rPr>
        <w:t>空</w:t>
      </w:r>
      <w:r>
        <w:rPr>
          <w:rFonts w:hint="eastAsia"/>
          <w:szCs w:val="24"/>
          <w:lang w:eastAsia="zh-CN"/>
        </w:rPr>
        <w:t>）</w:t>
      </w:r>
      <w:proofErr w:type="gramStart"/>
      <w:r>
        <w:rPr>
          <w:szCs w:val="24"/>
          <w:lang w:eastAsia="zh-CN"/>
        </w:rPr>
        <w:t>中</w:t>
      </w:r>
      <w:r>
        <w:rPr>
          <w:rFonts w:hint="eastAsia"/>
          <w:szCs w:val="24"/>
          <w:lang w:eastAsia="zh-CN"/>
        </w:rPr>
        <w:t>操作</w:t>
      </w:r>
      <w:r>
        <w:rPr>
          <w:szCs w:val="24"/>
          <w:lang w:eastAsia="zh-CN"/>
        </w:rPr>
        <w:t>；</w:t>
      </w:r>
      <w:proofErr w:type="gramEnd"/>
    </w:p>
    <w:p w:rsidR="00B1592E" w:rsidRDefault="00897AEF" w14:paraId="717C4F2A" w14:textId="77777777">
      <w:pPr>
        <w:jc w:val="both"/>
        <w:rPr>
          <w:szCs w:val="24"/>
          <w:lang w:eastAsia="zh-CN"/>
        </w:rPr>
      </w:pPr>
      <w:r>
        <w:rPr>
          <w:i/>
          <w:iCs/>
          <w:szCs w:val="24"/>
          <w:lang w:eastAsia="zh-CN"/>
        </w:rPr>
        <w:t>d)</w:t>
      </w:r>
      <w:r>
        <w:rPr>
          <w:szCs w:val="24"/>
          <w:lang w:eastAsia="zh-CN"/>
        </w:rPr>
        <w:tab/>
      </w:r>
      <w:r>
        <w:rPr>
          <w:szCs w:val="24"/>
          <w:lang w:eastAsia="zh-CN"/>
        </w:rPr>
        <w:t>月球表面具有独特的大气、</w:t>
      </w:r>
      <w:proofErr w:type="gramStart"/>
      <w:r>
        <w:rPr>
          <w:szCs w:val="24"/>
          <w:lang w:eastAsia="zh-CN"/>
        </w:rPr>
        <w:t>土壤和地形条件；</w:t>
      </w:r>
      <w:proofErr w:type="gramEnd"/>
    </w:p>
    <w:p w:rsidR="00B1592E" w:rsidRDefault="00897AEF" w14:paraId="48F5E941" w14:textId="77777777">
      <w:pPr>
        <w:jc w:val="both"/>
        <w:rPr>
          <w:szCs w:val="24"/>
          <w:lang w:eastAsia="zh-CN"/>
        </w:rPr>
      </w:pPr>
      <w:r>
        <w:rPr>
          <w:i/>
          <w:iCs/>
          <w:szCs w:val="24"/>
          <w:lang w:eastAsia="zh-CN"/>
        </w:rPr>
        <w:t>e)</w:t>
      </w:r>
      <w:r>
        <w:rPr>
          <w:szCs w:val="24"/>
          <w:lang w:eastAsia="zh-CN"/>
        </w:rPr>
        <w:tab/>
      </w:r>
      <w:r>
        <w:rPr>
          <w:szCs w:val="24"/>
          <w:lang w:eastAsia="zh-CN"/>
        </w:rPr>
        <w:t>科学发现、空间探索和空间商业的利益</w:t>
      </w:r>
      <w:r>
        <w:rPr>
          <w:rFonts w:hint="eastAsia"/>
          <w:szCs w:val="24"/>
          <w:lang w:val="en-US" w:eastAsia="zh-CN"/>
        </w:rPr>
        <w:t>具有</w:t>
      </w:r>
      <w:r>
        <w:rPr>
          <w:szCs w:val="24"/>
          <w:lang w:eastAsia="zh-CN"/>
        </w:rPr>
        <w:t>全球性，</w:t>
      </w:r>
    </w:p>
    <w:p w:rsidR="00B1592E" w:rsidRDefault="00897AEF" w14:paraId="1D024B24" w14:textId="77777777">
      <w:pPr>
        <w:pStyle w:val="Call"/>
        <w:jc w:val="both"/>
        <w:rPr>
          <w:szCs w:val="24"/>
          <w:lang w:eastAsia="zh-CN"/>
        </w:rPr>
      </w:pPr>
      <w:r>
        <w:rPr>
          <w:rFonts w:hint="eastAsia"/>
          <w:szCs w:val="24"/>
          <w:lang w:eastAsia="zh-CN"/>
        </w:rPr>
        <w:t>注意到</w:t>
      </w:r>
    </w:p>
    <w:p w:rsidR="00B1592E" w:rsidP="00897AEF" w:rsidRDefault="00897AEF" w14:paraId="7C096676" w14:textId="77777777">
      <w:pPr>
        <w:ind w:firstLine="480" w:firstLineChars="200"/>
        <w:jc w:val="both"/>
        <w:rPr>
          <w:szCs w:val="24"/>
          <w:lang w:eastAsia="zh-CN"/>
        </w:rPr>
      </w:pPr>
      <w:r>
        <w:rPr>
          <w:szCs w:val="24"/>
          <w:lang w:eastAsia="zh-CN"/>
        </w:rPr>
        <w:t>第</w:t>
      </w:r>
      <w:r>
        <w:rPr>
          <w:b/>
          <w:bCs/>
          <w:szCs w:val="24"/>
          <w:lang w:eastAsia="zh-CN"/>
        </w:rPr>
        <w:t>22</w:t>
      </w:r>
      <w:r>
        <w:rPr>
          <w:szCs w:val="24"/>
          <w:lang w:eastAsia="zh-CN"/>
        </w:rPr>
        <w:t>条第五节涉及保护月球</w:t>
      </w:r>
      <w:proofErr w:type="gramStart"/>
      <w:r>
        <w:rPr>
          <w:szCs w:val="24"/>
          <w:lang w:eastAsia="zh-CN"/>
        </w:rPr>
        <w:t>屏蔽区</w:t>
      </w:r>
      <w:proofErr w:type="gramEnd"/>
      <w:r>
        <w:rPr>
          <w:szCs w:val="24"/>
          <w:lang w:eastAsia="zh-CN"/>
        </w:rPr>
        <w:t>的射电天文</w:t>
      </w:r>
      <w:r>
        <w:rPr>
          <w:rFonts w:hint="eastAsia"/>
          <w:szCs w:val="24"/>
          <w:lang w:val="en-US" w:eastAsia="zh-CN"/>
        </w:rPr>
        <w:t>业务</w:t>
      </w:r>
      <w:r>
        <w:rPr>
          <w:szCs w:val="24"/>
          <w:lang w:eastAsia="zh-CN"/>
        </w:rPr>
        <w:t>，</w:t>
      </w:r>
    </w:p>
    <w:p w:rsidR="00B1592E" w:rsidRDefault="00897AEF" w14:paraId="0FACBA86" w14:textId="77777777">
      <w:pPr>
        <w:pStyle w:val="Call"/>
        <w:jc w:val="both"/>
        <w:rPr>
          <w:lang w:eastAsia="zh-CN"/>
        </w:rPr>
      </w:pPr>
      <w:r>
        <w:rPr>
          <w:rFonts w:hint="eastAsia"/>
          <w:lang w:eastAsia="zh-CN"/>
        </w:rPr>
        <w:t>进一步注意到</w:t>
      </w:r>
    </w:p>
    <w:p w:rsidR="00B1592E" w:rsidP="00897AEF" w:rsidRDefault="00897AEF" w14:paraId="707C71AE" w14:textId="77777777">
      <w:pPr>
        <w:ind w:firstLine="480" w:firstLineChars="200"/>
        <w:jc w:val="both"/>
        <w:rPr>
          <w:szCs w:val="24"/>
          <w:lang w:eastAsia="zh-CN"/>
        </w:rPr>
      </w:pPr>
      <w:r>
        <w:rPr>
          <w:szCs w:val="24"/>
          <w:lang w:eastAsia="zh-CN"/>
        </w:rPr>
        <w:t>国际电</w:t>
      </w:r>
      <w:proofErr w:type="gramStart"/>
      <w:r>
        <w:rPr>
          <w:szCs w:val="24"/>
          <w:lang w:eastAsia="zh-CN"/>
        </w:rPr>
        <w:t>联所有</w:t>
      </w:r>
      <w:proofErr w:type="gramEnd"/>
      <w:r>
        <w:rPr>
          <w:szCs w:val="24"/>
          <w:lang w:eastAsia="zh-CN"/>
        </w:rPr>
        <w:t>三个区的成员国</w:t>
      </w:r>
      <w:proofErr w:type="gramStart"/>
      <w:r>
        <w:rPr>
          <w:rFonts w:hint="eastAsia"/>
          <w:szCs w:val="24"/>
          <w:lang w:val="en-US" w:eastAsia="zh-CN"/>
        </w:rPr>
        <w:t>均</w:t>
      </w:r>
      <w:r>
        <w:rPr>
          <w:szCs w:val="24"/>
          <w:lang w:eastAsia="zh-CN"/>
        </w:rPr>
        <w:t>签署</w:t>
      </w:r>
      <w:proofErr w:type="gramEnd"/>
      <w:r>
        <w:rPr>
          <w:szCs w:val="24"/>
          <w:lang w:eastAsia="zh-CN"/>
        </w:rPr>
        <w:t>了促进安全、可持续和负责任的空间探索的</w:t>
      </w:r>
      <w:r>
        <w:rPr>
          <w:bCs/>
          <w:szCs w:val="24"/>
          <w:lang w:eastAsia="zh-CN"/>
        </w:rPr>
        <w:t>《</w:t>
      </w:r>
      <w:r>
        <w:rPr>
          <w:rFonts w:hint="eastAsia"/>
          <w:bCs/>
          <w:szCs w:val="24"/>
          <w:lang w:eastAsia="zh-CN"/>
        </w:rPr>
        <w:t>阿尔忒弥斯</w:t>
      </w:r>
      <w:r>
        <w:rPr>
          <w:bCs/>
          <w:szCs w:val="24"/>
          <w:lang w:eastAsia="zh-CN"/>
        </w:rPr>
        <w:t>协定》</w:t>
      </w:r>
      <w:r>
        <w:rPr>
          <w:szCs w:val="24"/>
          <w:lang w:eastAsia="zh-CN"/>
        </w:rPr>
        <w:t>，</w:t>
      </w:r>
    </w:p>
    <w:p w:rsidR="00B1592E" w:rsidRDefault="00897AEF" w14:paraId="71221998" w14:textId="77777777">
      <w:pPr>
        <w:pStyle w:val="Call"/>
        <w:jc w:val="both"/>
        <w:rPr>
          <w:szCs w:val="24"/>
          <w:lang w:eastAsia="zh-CN"/>
        </w:rPr>
      </w:pPr>
      <w:r>
        <w:rPr>
          <w:rFonts w:hint="eastAsia"/>
          <w:szCs w:val="24"/>
          <w:lang w:eastAsia="zh-CN"/>
        </w:rPr>
        <w:t>认识到</w:t>
      </w:r>
    </w:p>
    <w:p w:rsidR="00B1592E" w:rsidRDefault="00897AEF" w14:paraId="443CBFF3" w14:textId="77777777">
      <w:pPr>
        <w:jc w:val="both"/>
        <w:rPr>
          <w:szCs w:val="24"/>
          <w:lang w:eastAsia="zh-CN"/>
        </w:rPr>
      </w:pPr>
      <w:r>
        <w:rPr>
          <w:i/>
          <w:iCs/>
          <w:szCs w:val="24"/>
          <w:lang w:eastAsia="zh-CN"/>
        </w:rPr>
        <w:t>a)</w:t>
      </w:r>
      <w:r>
        <w:rPr>
          <w:szCs w:val="24"/>
          <w:lang w:eastAsia="zh-CN"/>
        </w:rPr>
        <w:tab/>
      </w:r>
      <w:r>
        <w:rPr>
          <w:szCs w:val="24"/>
          <w:lang w:eastAsia="zh-CN"/>
        </w:rPr>
        <w:t>鉴于月球作为天体卫星的独特情况，</w:t>
      </w:r>
      <w:proofErr w:type="gramStart"/>
      <w:r>
        <w:rPr>
          <w:szCs w:val="24"/>
          <w:lang w:eastAsia="zh-CN"/>
        </w:rPr>
        <w:t>可能需要一个月球通信</w:t>
      </w:r>
      <w:r>
        <w:rPr>
          <w:rFonts w:hint="eastAsia"/>
          <w:szCs w:val="24"/>
          <w:lang w:eastAsia="zh-CN"/>
        </w:rPr>
        <w:t>规则</w:t>
      </w:r>
      <w:r>
        <w:rPr>
          <w:szCs w:val="24"/>
          <w:lang w:eastAsia="zh-CN"/>
        </w:rPr>
        <w:t>框架；</w:t>
      </w:r>
      <w:proofErr w:type="gramEnd"/>
    </w:p>
    <w:p w:rsidR="00B1592E" w:rsidRDefault="00897AEF" w14:paraId="699C9E1F" w14:textId="77777777">
      <w:pPr>
        <w:jc w:val="both"/>
        <w:rPr>
          <w:szCs w:val="24"/>
          <w:lang w:eastAsia="zh-CN"/>
        </w:rPr>
      </w:pPr>
      <w:r>
        <w:rPr>
          <w:i/>
          <w:iCs/>
          <w:szCs w:val="24"/>
          <w:lang w:eastAsia="zh-CN"/>
        </w:rPr>
        <w:t>b)</w:t>
      </w:r>
      <w:r>
        <w:rPr>
          <w:szCs w:val="24"/>
          <w:lang w:eastAsia="zh-CN"/>
        </w:rPr>
        <w:t xml:space="preserve"> </w:t>
      </w:r>
      <w:r>
        <w:rPr>
          <w:szCs w:val="24"/>
          <w:lang w:eastAsia="zh-CN"/>
        </w:rPr>
        <w:tab/>
      </w:r>
      <w:r>
        <w:rPr>
          <w:szCs w:val="24"/>
          <w:lang w:eastAsia="zh-CN"/>
        </w:rPr>
        <w:t>对月球表面的潜在系统和绕月</w:t>
      </w:r>
      <w:r>
        <w:rPr>
          <w:rFonts w:hint="eastAsia"/>
          <w:szCs w:val="24"/>
          <w:lang w:eastAsia="zh-CN"/>
        </w:rPr>
        <w:t>操作</w:t>
      </w:r>
      <w:r>
        <w:rPr>
          <w:szCs w:val="24"/>
          <w:lang w:eastAsia="zh-CN"/>
        </w:rPr>
        <w:t>的系统之间的</w:t>
      </w:r>
      <w:r>
        <w:rPr>
          <w:rFonts w:hint="eastAsia"/>
          <w:szCs w:val="24"/>
          <w:lang w:eastAsia="zh-CN"/>
        </w:rPr>
        <w:t>共用</w:t>
      </w:r>
      <w:r>
        <w:rPr>
          <w:szCs w:val="24"/>
          <w:lang w:eastAsia="zh-CN"/>
        </w:rPr>
        <w:t>和兼容性研究将需要考虑到相同</w:t>
      </w:r>
      <w:r>
        <w:rPr>
          <w:rFonts w:hint="eastAsia"/>
          <w:szCs w:val="24"/>
          <w:lang w:val="en-US" w:eastAsia="zh-CN"/>
        </w:rPr>
        <w:t>频段内</w:t>
      </w:r>
      <w:r>
        <w:rPr>
          <w:szCs w:val="24"/>
          <w:lang w:eastAsia="zh-CN"/>
        </w:rPr>
        <w:t>或</w:t>
      </w:r>
      <w:r>
        <w:rPr>
          <w:rFonts w:hint="eastAsia"/>
          <w:szCs w:val="24"/>
          <w:lang w:val="en-US" w:eastAsia="zh-CN"/>
        </w:rPr>
        <w:t>适宜时</w:t>
      </w:r>
      <w:r>
        <w:rPr>
          <w:szCs w:val="24"/>
          <w:lang w:eastAsia="zh-CN"/>
        </w:rPr>
        <w:t>相邻</w:t>
      </w:r>
      <w:r>
        <w:rPr>
          <w:rFonts w:hint="eastAsia"/>
          <w:szCs w:val="24"/>
          <w:lang w:eastAsia="zh-CN"/>
        </w:rPr>
        <w:t>频段</w:t>
      </w:r>
      <w:r>
        <w:rPr>
          <w:rFonts w:hint="eastAsia"/>
          <w:szCs w:val="24"/>
          <w:lang w:val="en-US" w:eastAsia="zh-CN"/>
        </w:rPr>
        <w:t>内</w:t>
      </w:r>
      <w:r>
        <w:rPr>
          <w:szCs w:val="24"/>
          <w:lang w:eastAsia="zh-CN"/>
        </w:rPr>
        <w:t>任何其他受影响的</w:t>
      </w:r>
      <w:r>
        <w:rPr>
          <w:rFonts w:hint="eastAsia"/>
          <w:szCs w:val="24"/>
          <w:lang w:eastAsia="zh-CN"/>
        </w:rPr>
        <w:t>业务</w:t>
      </w:r>
      <w:r>
        <w:rPr>
          <w:szCs w:val="24"/>
          <w:lang w:eastAsia="zh-CN"/>
        </w:rPr>
        <w:t>，</w:t>
      </w:r>
    </w:p>
    <w:p w:rsidR="00B1592E" w:rsidRDefault="00897AEF" w14:paraId="386B0B17" w14:textId="77777777">
      <w:pPr>
        <w:pStyle w:val="Call"/>
        <w:jc w:val="both"/>
        <w:rPr>
          <w:szCs w:val="24"/>
          <w:lang w:eastAsia="zh-CN"/>
        </w:rPr>
      </w:pPr>
      <w:r>
        <w:rPr>
          <w:rFonts w:hint="eastAsia"/>
          <w:szCs w:val="24"/>
          <w:lang w:eastAsia="zh-CN"/>
        </w:rPr>
        <w:t>做出决议，请国际电联无线电通信部门</w:t>
      </w:r>
    </w:p>
    <w:p w:rsidR="00B1592E" w:rsidRDefault="00897AEF" w14:paraId="7D95468C" w14:textId="77777777">
      <w:pPr>
        <w:jc w:val="both"/>
        <w:rPr>
          <w:szCs w:val="24"/>
          <w:lang w:eastAsia="zh-CN"/>
        </w:rPr>
      </w:pPr>
      <w:r>
        <w:rPr>
          <w:szCs w:val="24"/>
          <w:lang w:eastAsia="zh-CN"/>
        </w:rPr>
        <w:t>1</w:t>
      </w:r>
      <w:r>
        <w:rPr>
          <w:szCs w:val="24"/>
          <w:lang w:eastAsia="zh-CN"/>
        </w:rPr>
        <w:tab/>
      </w:r>
      <w:r>
        <w:rPr>
          <w:szCs w:val="24"/>
          <w:lang w:eastAsia="zh-CN"/>
        </w:rPr>
        <w:t>在</w:t>
      </w:r>
      <w:r>
        <w:rPr>
          <w:szCs w:val="24"/>
          <w:lang w:eastAsia="zh-CN"/>
        </w:rPr>
        <w:t>390-450</w:t>
      </w:r>
      <w:r>
        <w:rPr>
          <w:rFonts w:hint="eastAsia"/>
          <w:szCs w:val="24"/>
          <w:lang w:eastAsia="zh-CN"/>
        </w:rPr>
        <w:t> MHz</w:t>
      </w:r>
      <w:r>
        <w:rPr>
          <w:szCs w:val="24"/>
          <w:lang w:eastAsia="zh-CN"/>
        </w:rPr>
        <w:t>、</w:t>
      </w:r>
      <w:r>
        <w:rPr>
          <w:szCs w:val="24"/>
          <w:lang w:eastAsia="zh-CN"/>
        </w:rPr>
        <w:t>2 400</w:t>
      </w:r>
      <w:r>
        <w:rPr>
          <w:szCs w:val="24"/>
          <w:lang w:eastAsia="zh-CN"/>
        </w:rPr>
        <w:noBreakHyphen/>
        <w:t>2 700</w:t>
      </w:r>
      <w:r>
        <w:rPr>
          <w:rFonts w:hint="eastAsia"/>
          <w:szCs w:val="24"/>
          <w:lang w:eastAsia="zh-CN"/>
        </w:rPr>
        <w:t> MHz</w:t>
      </w:r>
      <w:r>
        <w:rPr>
          <w:szCs w:val="24"/>
          <w:lang w:eastAsia="zh-CN"/>
        </w:rPr>
        <w:t>、</w:t>
      </w:r>
      <w:r>
        <w:rPr>
          <w:szCs w:val="24"/>
          <w:lang w:eastAsia="zh-CN"/>
        </w:rPr>
        <w:t>3 500-3 800</w:t>
      </w:r>
      <w:r>
        <w:rPr>
          <w:rFonts w:hint="eastAsia"/>
          <w:szCs w:val="24"/>
          <w:lang w:eastAsia="zh-CN"/>
        </w:rPr>
        <w:t> MHz</w:t>
      </w:r>
      <w:r>
        <w:rPr>
          <w:szCs w:val="24"/>
          <w:lang w:eastAsia="zh-CN"/>
        </w:rPr>
        <w:t>、</w:t>
      </w:r>
      <w:r>
        <w:rPr>
          <w:szCs w:val="24"/>
          <w:lang w:eastAsia="zh-CN"/>
        </w:rPr>
        <w:t>5 150</w:t>
      </w:r>
      <w:r>
        <w:rPr>
          <w:szCs w:val="24"/>
          <w:lang w:eastAsia="zh-CN"/>
        </w:rPr>
        <w:noBreakHyphen/>
        <w:t>5 925</w:t>
      </w:r>
      <w:r>
        <w:rPr>
          <w:rFonts w:hint="eastAsia"/>
          <w:szCs w:val="24"/>
          <w:lang w:eastAsia="zh-CN"/>
        </w:rPr>
        <w:t> MHz</w:t>
      </w:r>
      <w:r>
        <w:rPr>
          <w:szCs w:val="24"/>
          <w:lang w:eastAsia="zh-CN"/>
        </w:rPr>
        <w:t>和</w:t>
      </w:r>
      <w:r>
        <w:rPr>
          <w:szCs w:val="24"/>
          <w:lang w:eastAsia="zh-CN"/>
        </w:rPr>
        <w:t>25.25-28.35 GHz</w:t>
      </w:r>
      <w:r>
        <w:rPr>
          <w:rFonts w:hint="eastAsia"/>
          <w:szCs w:val="24"/>
          <w:lang w:eastAsia="zh-CN"/>
        </w:rPr>
        <w:t>频段</w:t>
      </w:r>
      <w:r>
        <w:rPr>
          <w:szCs w:val="24"/>
          <w:lang w:eastAsia="zh-CN"/>
        </w:rPr>
        <w:t>内，</w:t>
      </w:r>
      <w:proofErr w:type="gramStart"/>
      <w:r>
        <w:rPr>
          <w:szCs w:val="24"/>
          <w:lang w:eastAsia="zh-CN"/>
        </w:rPr>
        <w:t>研究可在月球表面</w:t>
      </w:r>
      <w:r>
        <w:rPr>
          <w:rFonts w:hint="eastAsia"/>
          <w:szCs w:val="24"/>
          <w:lang w:eastAsia="zh-CN"/>
        </w:rPr>
        <w:t>操作</w:t>
      </w:r>
      <w:r>
        <w:rPr>
          <w:szCs w:val="24"/>
          <w:lang w:eastAsia="zh-CN"/>
        </w:rPr>
        <w:t>的通信系统或在月球轨道</w:t>
      </w:r>
      <w:r>
        <w:rPr>
          <w:rFonts w:hint="eastAsia"/>
          <w:szCs w:val="24"/>
          <w:lang w:val="en-US" w:eastAsia="zh-CN"/>
        </w:rPr>
        <w:t>内</w:t>
      </w:r>
      <w:r>
        <w:rPr>
          <w:szCs w:val="24"/>
          <w:lang w:eastAsia="zh-CN"/>
        </w:rPr>
        <w:t>与月球表面系统通信的通信系统的频谱需求；</w:t>
      </w:r>
      <w:proofErr w:type="gramEnd"/>
    </w:p>
    <w:p w:rsidRPr="00897AEF" w:rsidR="00B1592E" w:rsidRDefault="00897AEF" w14:paraId="62C056DA" w14:textId="3075F7D5">
      <w:pPr>
        <w:jc w:val="both"/>
        <w:rPr>
          <w:szCs w:val="24"/>
          <w:lang w:eastAsia="zh-CN"/>
        </w:rPr>
      </w:pPr>
      <w:r>
        <w:rPr>
          <w:szCs w:val="24"/>
          <w:lang w:eastAsia="zh-CN"/>
        </w:rPr>
        <w:t>2</w:t>
      </w:r>
      <w:r>
        <w:rPr>
          <w:szCs w:val="24"/>
          <w:lang w:eastAsia="zh-CN"/>
        </w:rPr>
        <w:tab/>
      </w:r>
      <w:r>
        <w:rPr>
          <w:szCs w:val="24"/>
          <w:lang w:eastAsia="zh-CN"/>
        </w:rPr>
        <w:t>研究</w:t>
      </w:r>
      <w:r w:rsidRPr="00897AEF">
        <w:rPr>
          <w:szCs w:val="24"/>
          <w:lang w:eastAsia="zh-CN"/>
        </w:rPr>
        <w:t>计划在</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eastAsia="zh-CN"/>
        </w:rPr>
        <w:t xml:space="preserve"> </w:t>
      </w:r>
      <w:proofErr w:type="gramStart"/>
      <w:r w:rsidRPr="00897AEF">
        <w:rPr>
          <w:szCs w:val="24"/>
          <w:lang w:eastAsia="zh-CN"/>
        </w:rPr>
        <w:t>1</w:t>
      </w:r>
      <w:r w:rsidRPr="00897AEF">
        <w:rPr>
          <w:szCs w:val="24"/>
          <w:lang w:val="en-US" w:eastAsia="zh-CN"/>
        </w:rPr>
        <w:t>所述</w:t>
      </w:r>
      <w:r w:rsidRPr="00897AEF">
        <w:rPr>
          <w:szCs w:val="24"/>
          <w:lang w:eastAsia="zh-CN"/>
        </w:rPr>
        <w:t>频段</w:t>
      </w:r>
      <w:r w:rsidRPr="00897AEF">
        <w:rPr>
          <w:szCs w:val="24"/>
          <w:lang w:val="en-US" w:eastAsia="zh-CN"/>
        </w:rPr>
        <w:t>内</w:t>
      </w:r>
      <w:r w:rsidRPr="00897AEF">
        <w:rPr>
          <w:szCs w:val="24"/>
          <w:lang w:eastAsia="zh-CN"/>
        </w:rPr>
        <w:t>操作的系统的技术和操作特性；</w:t>
      </w:r>
      <w:proofErr w:type="gramEnd"/>
    </w:p>
    <w:p w:rsidRPr="00897AEF" w:rsidR="00B1592E" w:rsidRDefault="00897AEF" w14:paraId="07D0DBEA" w14:textId="38B182D7">
      <w:pPr>
        <w:jc w:val="both"/>
        <w:rPr>
          <w:szCs w:val="24"/>
          <w:lang w:eastAsia="zh-CN"/>
        </w:rPr>
      </w:pPr>
      <w:r w:rsidRPr="00897AEF">
        <w:rPr>
          <w:szCs w:val="24"/>
          <w:lang w:eastAsia="zh-CN"/>
        </w:rPr>
        <w:t>3</w:t>
      </w:r>
      <w:r w:rsidRPr="00897AEF">
        <w:rPr>
          <w:szCs w:val="24"/>
          <w:lang w:eastAsia="zh-CN"/>
        </w:rPr>
        <w:tab/>
      </w:r>
      <w:r w:rsidRPr="00897AEF">
        <w:rPr>
          <w:szCs w:val="24"/>
          <w:lang w:eastAsia="zh-CN"/>
        </w:rPr>
        <w:t>研究在</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eastAsia="zh-CN"/>
        </w:rPr>
        <w:t xml:space="preserve"> </w:t>
      </w:r>
      <w:proofErr w:type="gramStart"/>
      <w:r w:rsidRPr="00897AEF">
        <w:rPr>
          <w:szCs w:val="24"/>
          <w:lang w:eastAsia="zh-CN"/>
        </w:rPr>
        <w:t>1</w:t>
      </w:r>
      <w:r w:rsidRPr="00897AEF">
        <w:rPr>
          <w:szCs w:val="24"/>
          <w:lang w:val="en-US" w:eastAsia="zh-CN"/>
        </w:rPr>
        <w:t>所述</w:t>
      </w:r>
      <w:r w:rsidRPr="00897AEF">
        <w:rPr>
          <w:szCs w:val="24"/>
          <w:lang w:eastAsia="zh-CN"/>
        </w:rPr>
        <w:t>频率范围内操作的月球表面系统和月球轨道系统的传播考虑因素；</w:t>
      </w:r>
      <w:proofErr w:type="gramEnd"/>
    </w:p>
    <w:p w:rsidR="00B1592E" w:rsidRDefault="00897AEF" w14:paraId="72915701" w14:textId="0CF5517E">
      <w:pPr>
        <w:jc w:val="both"/>
        <w:rPr>
          <w:szCs w:val="24"/>
          <w:lang w:eastAsia="zh-CN"/>
        </w:rPr>
      </w:pPr>
      <w:r w:rsidRPr="00897AEF">
        <w:rPr>
          <w:szCs w:val="24"/>
          <w:lang w:eastAsia="zh-CN"/>
        </w:rPr>
        <w:t>4</w:t>
      </w:r>
      <w:r w:rsidRPr="00897AEF">
        <w:rPr>
          <w:szCs w:val="24"/>
          <w:lang w:eastAsia="zh-CN"/>
        </w:rPr>
        <w:tab/>
      </w:r>
      <w:r w:rsidRPr="00897AEF">
        <w:rPr>
          <w:szCs w:val="24"/>
          <w:lang w:eastAsia="zh-CN"/>
        </w:rPr>
        <w:t>研究</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eastAsia="zh-CN"/>
        </w:rPr>
        <w:t xml:space="preserve"> </w:t>
      </w:r>
      <w:r w:rsidRPr="00897AEF">
        <w:rPr>
          <w:szCs w:val="24"/>
          <w:lang w:eastAsia="zh-CN"/>
        </w:rPr>
        <w:t>1</w:t>
      </w:r>
      <w:r w:rsidRPr="00897AEF">
        <w:rPr>
          <w:szCs w:val="24"/>
          <w:lang w:eastAsia="zh-CN"/>
        </w:rPr>
        <w:t>中确定的系统和相同</w:t>
      </w:r>
      <w:r w:rsidRPr="00897AEF">
        <w:rPr>
          <w:szCs w:val="24"/>
          <w:lang w:val="en-US" w:eastAsia="zh-CN"/>
        </w:rPr>
        <w:t>频段内</w:t>
      </w:r>
      <w:r w:rsidRPr="00897AEF">
        <w:rPr>
          <w:szCs w:val="24"/>
          <w:lang w:eastAsia="zh-CN"/>
        </w:rPr>
        <w:t>或</w:t>
      </w:r>
      <w:r w:rsidRPr="00897AEF">
        <w:rPr>
          <w:szCs w:val="24"/>
          <w:lang w:val="en-US" w:eastAsia="zh-CN"/>
        </w:rPr>
        <w:t>适宜时</w:t>
      </w:r>
      <w:r w:rsidRPr="00897AEF">
        <w:rPr>
          <w:szCs w:val="24"/>
          <w:lang w:eastAsia="zh-CN"/>
        </w:rPr>
        <w:t>相邻频段</w:t>
      </w:r>
      <w:r w:rsidRPr="00897AEF">
        <w:rPr>
          <w:szCs w:val="24"/>
          <w:lang w:val="en-US" w:eastAsia="zh-CN"/>
        </w:rPr>
        <w:t>内</w:t>
      </w:r>
      <w:r w:rsidRPr="00897AEF">
        <w:rPr>
          <w:szCs w:val="24"/>
          <w:lang w:eastAsia="zh-CN"/>
        </w:rPr>
        <w:t>其他受影响的业务之间的共用和兼容性</w:t>
      </w:r>
      <w:r>
        <w:rPr>
          <w:szCs w:val="24"/>
          <w:lang w:eastAsia="zh-CN"/>
        </w:rPr>
        <w:t>，以使</w:t>
      </w:r>
      <w:r>
        <w:rPr>
          <w:rFonts w:hint="eastAsia"/>
          <w:szCs w:val="24"/>
          <w:lang w:eastAsia="zh-CN"/>
        </w:rPr>
        <w:t>频段</w:t>
      </w:r>
      <w:r>
        <w:rPr>
          <w:szCs w:val="24"/>
          <w:lang w:eastAsia="zh-CN"/>
        </w:rPr>
        <w:t>能够在月球附近使用，</w:t>
      </w:r>
      <w:r>
        <w:rPr>
          <w:rFonts w:hint="eastAsia"/>
          <w:szCs w:val="24"/>
          <w:lang w:val="en-US" w:eastAsia="zh-CN"/>
        </w:rPr>
        <w:t>其中</w:t>
      </w:r>
      <w:r>
        <w:rPr>
          <w:szCs w:val="24"/>
          <w:lang w:eastAsia="zh-CN"/>
        </w:rPr>
        <w:t>包括</w:t>
      </w:r>
      <w:r>
        <w:rPr>
          <w:rFonts w:hint="eastAsia"/>
          <w:szCs w:val="24"/>
          <w:lang w:val="en-US" w:eastAsia="zh-CN"/>
        </w:rPr>
        <w:t>可能</w:t>
      </w:r>
      <w:r>
        <w:rPr>
          <w:rFonts w:hint="eastAsia"/>
          <w:szCs w:val="24"/>
          <w:lang w:eastAsia="zh-CN"/>
        </w:rPr>
        <w:t>划分</w:t>
      </w:r>
      <w:r>
        <w:rPr>
          <w:rFonts w:hint="eastAsia"/>
          <w:szCs w:val="24"/>
          <w:lang w:val="en-US" w:eastAsia="zh-CN"/>
        </w:rPr>
        <w:t>的</w:t>
      </w:r>
      <w:r>
        <w:rPr>
          <w:szCs w:val="24"/>
          <w:lang w:eastAsia="zh-CN"/>
        </w:rPr>
        <w:t>新频率和</w:t>
      </w:r>
      <w:r>
        <w:rPr>
          <w:szCs w:val="24"/>
          <w:lang w:eastAsia="zh-CN"/>
        </w:rPr>
        <w:t>/</w:t>
      </w:r>
      <w:r>
        <w:rPr>
          <w:szCs w:val="24"/>
          <w:lang w:eastAsia="zh-CN"/>
        </w:rPr>
        <w:t>或</w:t>
      </w:r>
      <w:r>
        <w:rPr>
          <w:rFonts w:hint="eastAsia"/>
          <w:szCs w:val="24"/>
          <w:lang w:val="en-US" w:eastAsia="zh-CN"/>
        </w:rPr>
        <w:t>确定的新频段，</w:t>
      </w:r>
      <w:proofErr w:type="gramStart"/>
      <w:r>
        <w:rPr>
          <w:rFonts w:hint="eastAsia"/>
          <w:szCs w:val="24"/>
          <w:lang w:val="en-US" w:eastAsia="zh-CN"/>
        </w:rPr>
        <w:t>并针对</w:t>
      </w:r>
      <w:r>
        <w:rPr>
          <w:szCs w:val="24"/>
          <w:lang w:eastAsia="zh-CN"/>
        </w:rPr>
        <w:t>在月球表面</w:t>
      </w:r>
      <w:r>
        <w:rPr>
          <w:rFonts w:hint="eastAsia"/>
          <w:szCs w:val="24"/>
          <w:lang w:val="en-US" w:eastAsia="zh-CN"/>
        </w:rPr>
        <w:t>上</w:t>
      </w:r>
      <w:r>
        <w:rPr>
          <w:szCs w:val="24"/>
          <w:lang w:eastAsia="zh-CN"/>
        </w:rPr>
        <w:t>或月球轨道</w:t>
      </w:r>
      <w:r>
        <w:rPr>
          <w:rFonts w:hint="eastAsia"/>
          <w:szCs w:val="24"/>
          <w:lang w:val="en-US" w:eastAsia="zh-CN"/>
        </w:rPr>
        <w:t>内</w:t>
      </w:r>
      <w:r>
        <w:rPr>
          <w:szCs w:val="24"/>
          <w:lang w:eastAsia="zh-CN"/>
        </w:rPr>
        <w:t>与月球表面系统</w:t>
      </w:r>
      <w:r>
        <w:rPr>
          <w:rFonts w:hint="eastAsia"/>
          <w:szCs w:val="24"/>
          <w:lang w:val="en-US" w:eastAsia="zh-CN"/>
        </w:rPr>
        <w:t>进行的</w:t>
      </w:r>
      <w:r>
        <w:rPr>
          <w:szCs w:val="24"/>
          <w:lang w:eastAsia="zh-CN"/>
        </w:rPr>
        <w:t>通信</w:t>
      </w:r>
      <w:r>
        <w:rPr>
          <w:rFonts w:hint="eastAsia"/>
          <w:szCs w:val="24"/>
          <w:lang w:val="en-US" w:eastAsia="zh-CN"/>
        </w:rPr>
        <w:t>制定</w:t>
      </w:r>
      <w:r>
        <w:rPr>
          <w:szCs w:val="24"/>
          <w:lang w:eastAsia="zh-CN"/>
        </w:rPr>
        <w:t>适当</w:t>
      </w:r>
      <w:r>
        <w:rPr>
          <w:rFonts w:hint="eastAsia"/>
          <w:szCs w:val="24"/>
          <w:lang w:val="en-US" w:eastAsia="zh-CN"/>
        </w:rPr>
        <w:t>的规则条款</w:t>
      </w:r>
      <w:r>
        <w:rPr>
          <w:szCs w:val="24"/>
          <w:lang w:eastAsia="zh-CN"/>
        </w:rPr>
        <w:t>；</w:t>
      </w:r>
      <w:proofErr w:type="gramEnd"/>
    </w:p>
    <w:p w:rsidR="00B1592E" w:rsidRDefault="00897AEF" w14:paraId="4CC3A7A4" w14:textId="77777777">
      <w:pPr>
        <w:jc w:val="both"/>
        <w:rPr>
          <w:szCs w:val="24"/>
          <w:lang w:eastAsia="zh-CN"/>
        </w:rPr>
      </w:pPr>
      <w:r>
        <w:rPr>
          <w:szCs w:val="24"/>
          <w:lang w:eastAsia="zh-CN"/>
        </w:rPr>
        <w:t>5</w:t>
      </w:r>
      <w:r>
        <w:rPr>
          <w:szCs w:val="24"/>
          <w:lang w:eastAsia="zh-CN"/>
        </w:rPr>
        <w:tab/>
      </w:r>
      <w:r>
        <w:rPr>
          <w:szCs w:val="24"/>
          <w:lang w:eastAsia="zh-CN"/>
        </w:rPr>
        <w:t>研究将各种</w:t>
      </w:r>
      <w:r>
        <w:rPr>
          <w:rFonts w:hint="eastAsia"/>
          <w:szCs w:val="24"/>
          <w:lang w:val="en-US" w:eastAsia="zh-CN"/>
        </w:rPr>
        <w:t>规则</w:t>
      </w:r>
      <w:r>
        <w:rPr>
          <w:szCs w:val="24"/>
          <w:lang w:eastAsia="zh-CN"/>
        </w:rPr>
        <w:t>定义、</w:t>
      </w:r>
      <w:proofErr w:type="gramStart"/>
      <w:r>
        <w:rPr>
          <w:rFonts w:hint="eastAsia"/>
          <w:szCs w:val="24"/>
          <w:lang w:val="en-US" w:eastAsia="zh-CN"/>
        </w:rPr>
        <w:t>条款</w:t>
      </w:r>
      <w:r>
        <w:rPr>
          <w:szCs w:val="24"/>
          <w:lang w:eastAsia="zh-CN"/>
        </w:rPr>
        <w:t>和程序应用于月球附近</w:t>
      </w:r>
      <w:r>
        <w:rPr>
          <w:rFonts w:hint="eastAsia"/>
          <w:szCs w:val="24"/>
          <w:lang w:val="en-US" w:eastAsia="zh-CN"/>
        </w:rPr>
        <w:t>操作</w:t>
      </w:r>
      <w:r>
        <w:rPr>
          <w:szCs w:val="24"/>
          <w:lang w:eastAsia="zh-CN"/>
        </w:rPr>
        <w:t>的适宜性；</w:t>
      </w:r>
      <w:proofErr w:type="gramEnd"/>
    </w:p>
    <w:p w:rsidR="00B1592E" w:rsidRDefault="00897AEF" w14:paraId="0903162C" w14:textId="77777777">
      <w:pPr>
        <w:jc w:val="both"/>
        <w:rPr>
          <w:szCs w:val="24"/>
          <w:lang w:eastAsia="zh-CN"/>
        </w:rPr>
      </w:pPr>
      <w:r>
        <w:rPr>
          <w:szCs w:val="24"/>
          <w:lang w:eastAsia="zh-CN"/>
        </w:rPr>
        <w:t>6</w:t>
      </w:r>
      <w:r>
        <w:rPr>
          <w:szCs w:val="24"/>
          <w:lang w:eastAsia="zh-CN"/>
        </w:rPr>
        <w:tab/>
      </w:r>
      <w:r>
        <w:rPr>
          <w:szCs w:val="24"/>
          <w:lang w:eastAsia="zh-CN"/>
        </w:rPr>
        <w:t>考虑到月球作为天体卫星的独特情况，研究对《无线电</w:t>
      </w:r>
      <w:r>
        <w:rPr>
          <w:rFonts w:hint="eastAsia"/>
          <w:szCs w:val="24"/>
          <w:lang w:val="en-US" w:eastAsia="zh-CN"/>
        </w:rPr>
        <w:t>规则</w:t>
      </w:r>
      <w:r>
        <w:rPr>
          <w:szCs w:val="24"/>
          <w:lang w:eastAsia="zh-CN"/>
        </w:rPr>
        <w:t>》的适当修改，</w:t>
      </w:r>
      <w:proofErr w:type="gramStart"/>
      <w:r>
        <w:rPr>
          <w:szCs w:val="24"/>
          <w:lang w:eastAsia="zh-CN"/>
        </w:rPr>
        <w:t>以</w:t>
      </w:r>
      <w:r>
        <w:rPr>
          <w:rFonts w:hint="eastAsia"/>
          <w:szCs w:val="24"/>
          <w:lang w:val="en-US" w:eastAsia="zh-CN"/>
        </w:rPr>
        <w:t>针对</w:t>
      </w:r>
      <w:r>
        <w:rPr>
          <w:szCs w:val="24"/>
          <w:lang w:eastAsia="zh-CN"/>
        </w:rPr>
        <w:t>月球表面通信</w:t>
      </w:r>
      <w:r>
        <w:rPr>
          <w:rFonts w:hint="eastAsia"/>
          <w:szCs w:val="24"/>
          <w:lang w:val="en-US" w:eastAsia="zh-CN"/>
        </w:rPr>
        <w:t>以及</w:t>
      </w:r>
      <w:r>
        <w:rPr>
          <w:szCs w:val="24"/>
          <w:lang w:eastAsia="zh-CN"/>
        </w:rPr>
        <w:t>与月球表面</w:t>
      </w:r>
      <w:r>
        <w:rPr>
          <w:rFonts w:hint="eastAsia"/>
          <w:szCs w:val="24"/>
          <w:lang w:val="en-US" w:eastAsia="zh-CN"/>
        </w:rPr>
        <w:t>电台</w:t>
      </w:r>
      <w:r>
        <w:rPr>
          <w:szCs w:val="24"/>
          <w:lang w:eastAsia="zh-CN"/>
        </w:rPr>
        <w:t>通信的月球轨道系统制定可能的</w:t>
      </w:r>
      <w:r>
        <w:rPr>
          <w:rFonts w:hint="eastAsia"/>
          <w:szCs w:val="24"/>
          <w:lang w:eastAsia="zh-CN"/>
        </w:rPr>
        <w:t>规则</w:t>
      </w:r>
      <w:r>
        <w:rPr>
          <w:szCs w:val="24"/>
          <w:lang w:eastAsia="zh-CN"/>
        </w:rPr>
        <w:t>框架；</w:t>
      </w:r>
      <w:proofErr w:type="gramEnd"/>
    </w:p>
    <w:p w:rsidR="00B1592E" w:rsidRDefault="00897AEF" w14:paraId="5676566C" w14:textId="77777777">
      <w:pPr>
        <w:jc w:val="both"/>
        <w:rPr>
          <w:szCs w:val="24"/>
          <w:lang w:eastAsia="zh-CN"/>
        </w:rPr>
      </w:pPr>
      <w:r>
        <w:rPr>
          <w:szCs w:val="24"/>
          <w:lang w:eastAsia="zh-CN"/>
        </w:rPr>
        <w:t>7</w:t>
      </w:r>
      <w:r>
        <w:rPr>
          <w:szCs w:val="24"/>
          <w:lang w:eastAsia="zh-CN"/>
        </w:rPr>
        <w:tab/>
      </w:r>
      <w:r>
        <w:rPr>
          <w:szCs w:val="24"/>
          <w:lang w:eastAsia="zh-CN"/>
        </w:rPr>
        <w:t>在</w:t>
      </w:r>
      <w:r>
        <w:rPr>
          <w:szCs w:val="24"/>
          <w:lang w:eastAsia="zh-CN"/>
        </w:rPr>
        <w:t>WRC</w:t>
      </w:r>
      <w:r>
        <w:rPr>
          <w:rFonts w:hint="eastAsia"/>
          <w:szCs w:val="24"/>
          <w:lang w:val="en-US" w:eastAsia="zh-CN"/>
        </w:rPr>
        <w:t>-</w:t>
      </w:r>
      <w:r>
        <w:rPr>
          <w:szCs w:val="24"/>
          <w:lang w:eastAsia="zh-CN"/>
        </w:rPr>
        <w:t>27</w:t>
      </w:r>
      <w:r>
        <w:rPr>
          <w:szCs w:val="24"/>
          <w:lang w:eastAsia="zh-CN"/>
        </w:rPr>
        <w:t>之前完成这些研究，</w:t>
      </w:r>
    </w:p>
    <w:p w:rsidR="00B1592E" w:rsidRDefault="00897AEF" w14:paraId="14DE4F2B" w14:textId="77777777">
      <w:pPr>
        <w:pStyle w:val="Call"/>
        <w:jc w:val="both"/>
        <w:rPr>
          <w:szCs w:val="24"/>
          <w:lang w:eastAsia="zh-CN"/>
        </w:rPr>
      </w:pPr>
      <w:r>
        <w:rPr>
          <w:rFonts w:hint="eastAsia"/>
          <w:szCs w:val="24"/>
          <w:lang w:eastAsia="zh-CN"/>
        </w:rPr>
        <w:t>请各主管部门</w:t>
      </w:r>
    </w:p>
    <w:p w:rsidR="00B1592E" w:rsidRDefault="00897AEF" w14:paraId="2F8FE79C" w14:textId="77777777">
      <w:pPr>
        <w:ind w:firstLine="480" w:firstLineChars="200"/>
        <w:jc w:val="both"/>
        <w:rPr>
          <w:szCs w:val="24"/>
          <w:lang w:eastAsia="zh-CN"/>
        </w:rPr>
      </w:pPr>
      <w:r>
        <w:rPr>
          <w:rFonts w:hint="eastAsia"/>
          <w:lang w:eastAsia="zh-CN"/>
        </w:rPr>
        <w:t>通过向</w:t>
      </w:r>
      <w:r>
        <w:rPr>
          <w:rFonts w:hint="eastAsia"/>
          <w:lang w:eastAsia="zh-CN"/>
        </w:rPr>
        <w:t>ITU-R</w:t>
      </w:r>
      <w:r>
        <w:rPr>
          <w:rFonts w:hint="eastAsia"/>
          <w:lang w:eastAsia="zh-CN"/>
        </w:rPr>
        <w:t>提交文稿参与研究工作，</w:t>
      </w:r>
    </w:p>
    <w:p w:rsidRPr="00897AEF" w:rsidR="00B1592E" w:rsidRDefault="00897AEF" w14:paraId="3EB50DFC" w14:textId="77777777">
      <w:pPr>
        <w:pStyle w:val="Call"/>
        <w:jc w:val="both"/>
        <w:rPr>
          <w:rFonts w:ascii="Times New Roman" w:hAnsi="Times New Roman"/>
          <w:szCs w:val="24"/>
          <w:lang w:eastAsia="zh-CN"/>
        </w:rPr>
      </w:pPr>
      <w:bookmarkStart w:name="_Hlk142473247" w:id="14"/>
      <w:r w:rsidRPr="00897AEF">
        <w:rPr>
          <w:rFonts w:ascii="Times New Roman" w:hAnsi="Times New Roman"/>
          <w:szCs w:val="24"/>
          <w:lang w:eastAsia="zh-CN"/>
        </w:rPr>
        <w:t>请</w:t>
      </w:r>
      <w:r w:rsidRPr="00897AEF">
        <w:rPr>
          <w:rFonts w:ascii="Times New Roman" w:hAnsi="Times New Roman"/>
          <w:szCs w:val="24"/>
          <w:lang w:eastAsia="zh-CN"/>
        </w:rPr>
        <w:t>2027</w:t>
      </w:r>
      <w:r w:rsidRPr="00897AEF">
        <w:rPr>
          <w:rFonts w:ascii="Times New Roman" w:hAnsi="Times New Roman"/>
          <w:szCs w:val="24"/>
          <w:lang w:eastAsia="zh-CN"/>
        </w:rPr>
        <w:t>年世界无线电通信大会</w:t>
      </w:r>
    </w:p>
    <w:bookmarkEnd w:id="14"/>
    <w:p w:rsidR="00B1592E" w:rsidRDefault="00897AEF" w14:paraId="42E64CDF" w14:textId="77777777">
      <w:pPr>
        <w:jc w:val="both"/>
        <w:rPr>
          <w:lang w:eastAsia="zh-CN"/>
        </w:rPr>
      </w:pPr>
      <w:r>
        <w:rPr>
          <w:lang w:eastAsia="zh-CN"/>
        </w:rPr>
        <w:t>1</w:t>
      </w:r>
      <w:r>
        <w:rPr>
          <w:lang w:eastAsia="zh-CN"/>
        </w:rPr>
        <w:tab/>
      </w:r>
      <w:r>
        <w:rPr>
          <w:szCs w:val="24"/>
          <w:lang w:eastAsia="zh-CN"/>
        </w:rPr>
        <w:t>根据上述研究的结果，考虑在</w:t>
      </w:r>
      <w:r>
        <w:rPr>
          <w:rFonts w:hint="eastAsia" w:ascii="STKaiti" w:hAnsi="STKaiti" w:eastAsia="STKaiti" w:cs="STKaiti"/>
          <w:szCs w:val="24"/>
          <w:lang w:val="en-US" w:eastAsia="zh-CN"/>
        </w:rPr>
        <w:t>做出决议，</w:t>
      </w:r>
      <w:r>
        <w:rPr>
          <w:rFonts w:hint="eastAsia" w:ascii="STKaiti" w:hAnsi="STKaiti" w:eastAsia="STKaiti" w:cs="STKaiti"/>
          <w:szCs w:val="24"/>
          <w:lang w:eastAsia="zh-CN"/>
        </w:rPr>
        <w:t>请国际电联无线电通信部门</w:t>
      </w:r>
      <w:r>
        <w:rPr>
          <w:rFonts w:hint="eastAsia" w:ascii="STKaiti" w:hAnsi="STKaiti" w:eastAsia="STKaiti" w:cs="STKaiti"/>
          <w:szCs w:val="24"/>
          <w:lang w:val="en-US" w:eastAsia="zh-CN"/>
        </w:rPr>
        <w:t xml:space="preserve"> </w:t>
      </w:r>
      <w:r>
        <w:rPr>
          <w:szCs w:val="24"/>
          <w:lang w:eastAsia="zh-CN"/>
        </w:rPr>
        <w:t>1</w:t>
      </w:r>
      <w:r>
        <w:rPr>
          <w:szCs w:val="24"/>
          <w:lang w:eastAsia="zh-CN"/>
        </w:rPr>
        <w:t>中</w:t>
      </w:r>
      <w:r>
        <w:rPr>
          <w:rFonts w:hint="eastAsia"/>
          <w:szCs w:val="24"/>
          <w:lang w:val="en-US" w:eastAsia="zh-CN"/>
        </w:rPr>
        <w:t>列出</w:t>
      </w:r>
      <w:r>
        <w:rPr>
          <w:szCs w:val="24"/>
          <w:lang w:eastAsia="zh-CN"/>
        </w:rPr>
        <w:t>的部分或全部</w:t>
      </w:r>
      <w:r>
        <w:rPr>
          <w:rFonts w:hint="eastAsia"/>
          <w:szCs w:val="24"/>
          <w:lang w:eastAsia="zh-CN"/>
        </w:rPr>
        <w:t>频段</w:t>
      </w:r>
      <w:r>
        <w:rPr>
          <w:rFonts w:hint="eastAsia"/>
          <w:szCs w:val="24"/>
          <w:lang w:val="en-US" w:eastAsia="zh-CN"/>
        </w:rPr>
        <w:t>内</w:t>
      </w:r>
      <w:r>
        <w:rPr>
          <w:rFonts w:hint="eastAsia"/>
          <w:szCs w:val="24"/>
          <w:lang w:eastAsia="zh-CN"/>
        </w:rPr>
        <w:t>划分</w:t>
      </w:r>
      <w:r>
        <w:rPr>
          <w:szCs w:val="24"/>
          <w:lang w:eastAsia="zh-CN"/>
        </w:rPr>
        <w:t>和</w:t>
      </w:r>
      <w:r>
        <w:rPr>
          <w:rFonts w:hint="eastAsia"/>
          <w:szCs w:val="24"/>
          <w:lang w:eastAsia="zh-CN"/>
        </w:rPr>
        <w:t>（</w:t>
      </w:r>
      <w:r>
        <w:rPr>
          <w:szCs w:val="24"/>
          <w:lang w:eastAsia="zh-CN"/>
        </w:rPr>
        <w:t>或</w:t>
      </w:r>
      <w:r>
        <w:rPr>
          <w:rFonts w:hint="eastAsia"/>
          <w:szCs w:val="24"/>
          <w:lang w:eastAsia="zh-CN"/>
        </w:rPr>
        <w:t>）</w:t>
      </w:r>
      <w:r>
        <w:rPr>
          <w:szCs w:val="24"/>
          <w:lang w:eastAsia="zh-CN"/>
        </w:rPr>
        <w:t>确定</w:t>
      </w:r>
      <w:r>
        <w:rPr>
          <w:rFonts w:hint="eastAsia"/>
          <w:szCs w:val="24"/>
          <w:lang w:eastAsia="zh-CN"/>
        </w:rPr>
        <w:t>频段，</w:t>
      </w:r>
      <w:proofErr w:type="gramStart"/>
      <w:r>
        <w:rPr>
          <w:rFonts w:hint="eastAsia"/>
          <w:szCs w:val="24"/>
          <w:lang w:val="en-US" w:eastAsia="zh-CN"/>
        </w:rPr>
        <w:t>以供</w:t>
      </w:r>
      <w:r>
        <w:rPr>
          <w:szCs w:val="24"/>
          <w:lang w:eastAsia="zh-CN"/>
        </w:rPr>
        <w:t>在月球附近使用；</w:t>
      </w:r>
      <w:proofErr w:type="gramEnd"/>
    </w:p>
    <w:p w:rsidRPr="00897AEF" w:rsidR="00B1592E" w:rsidRDefault="00897AEF" w14:paraId="181FD610" w14:textId="77777777">
      <w:pPr>
        <w:jc w:val="both"/>
        <w:rPr>
          <w:lang w:eastAsia="zh-CN"/>
        </w:rPr>
      </w:pPr>
      <w:r w:rsidRPr="00897AEF">
        <w:rPr>
          <w:lang w:eastAsia="zh-CN"/>
        </w:rPr>
        <w:t>2</w:t>
      </w:r>
      <w:r w:rsidRPr="00897AEF">
        <w:rPr>
          <w:lang w:eastAsia="zh-CN"/>
        </w:rPr>
        <w:tab/>
      </w:r>
      <w:r w:rsidRPr="00897AEF">
        <w:rPr>
          <w:szCs w:val="24"/>
          <w:lang w:eastAsia="zh-CN"/>
        </w:rPr>
        <w:t>请未来</w:t>
      </w:r>
      <w:r w:rsidRPr="00897AEF">
        <w:rPr>
          <w:szCs w:val="24"/>
          <w:lang w:val="en-US" w:eastAsia="zh-CN"/>
        </w:rPr>
        <w:t>有权</w:t>
      </w:r>
      <w:r w:rsidRPr="00897AEF">
        <w:rPr>
          <w:szCs w:val="24"/>
          <w:lang w:eastAsia="zh-CN"/>
        </w:rPr>
        <w:t>的</w:t>
      </w:r>
      <w:r w:rsidRPr="00897AEF">
        <w:rPr>
          <w:szCs w:val="24"/>
          <w:lang w:val="en-US" w:eastAsia="zh-CN"/>
        </w:rPr>
        <w:t>大会</w:t>
      </w:r>
      <w:r w:rsidRPr="00897AEF">
        <w:rPr>
          <w:szCs w:val="24"/>
          <w:lang w:eastAsia="zh-CN"/>
        </w:rPr>
        <w:t>修订这些划分和</w:t>
      </w:r>
      <w:r w:rsidRPr="00897AEF">
        <w:rPr>
          <w:szCs w:val="24"/>
          <w:lang w:eastAsia="zh-CN"/>
        </w:rPr>
        <w:t>/</w:t>
      </w:r>
      <w:r w:rsidRPr="00897AEF">
        <w:rPr>
          <w:szCs w:val="24"/>
          <w:lang w:eastAsia="zh-CN"/>
        </w:rPr>
        <w:t>或</w:t>
      </w:r>
      <w:r w:rsidRPr="00897AEF">
        <w:rPr>
          <w:szCs w:val="24"/>
          <w:lang w:val="en-US" w:eastAsia="zh-CN"/>
        </w:rPr>
        <w:t>确定的频段</w:t>
      </w:r>
      <w:r w:rsidRPr="00897AEF">
        <w:rPr>
          <w:szCs w:val="24"/>
          <w:lang w:eastAsia="zh-CN"/>
        </w:rPr>
        <w:t>，并</w:t>
      </w:r>
      <w:r w:rsidRPr="00897AEF">
        <w:rPr>
          <w:szCs w:val="24"/>
          <w:lang w:val="en-US" w:eastAsia="zh-CN"/>
        </w:rPr>
        <w:t>做出</w:t>
      </w:r>
      <w:r w:rsidRPr="00897AEF">
        <w:rPr>
          <w:szCs w:val="24"/>
          <w:lang w:eastAsia="zh-CN"/>
        </w:rPr>
        <w:t>其他适当的规则修改，以期建立一个规则框架，同时考虑到</w:t>
      </w:r>
      <w:r w:rsidRPr="00897AEF">
        <w:rPr>
          <w:szCs w:val="24"/>
          <w:lang w:val="en-US" w:eastAsia="zh-CN"/>
        </w:rPr>
        <w:t>上述</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val="en-US" w:eastAsia="zh-CN"/>
        </w:rPr>
        <w:t xml:space="preserve"> </w:t>
      </w:r>
      <w:r w:rsidRPr="00897AEF">
        <w:rPr>
          <w:szCs w:val="24"/>
          <w:lang w:eastAsia="zh-CN"/>
        </w:rPr>
        <w:t>5</w:t>
      </w:r>
      <w:r w:rsidRPr="00897AEF">
        <w:rPr>
          <w:szCs w:val="24"/>
          <w:lang w:eastAsia="zh-CN"/>
        </w:rPr>
        <w:t>。</w:t>
      </w:r>
    </w:p>
    <w:sectPr>
      <w:pgSz w:w="11907" w:h="16834" w:orient="portrait" w:code="9"/>
      <w:pgMar w:top="1418" w:right="1134" w:bottom="1418" w:left="1134" w:header="720" w:foo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8084" w14:textId="77777777" w:rsidR="00897AEF" w:rsidRDefault="00897AEF">
      <w:pPr>
        <w:spacing w:before="0"/>
      </w:pPr>
      <w:r>
        <w:separator/>
      </w:r>
    </w:p>
  </w:endnote>
  <w:endnote w:type="continuationSeparator" w:id="0">
    <w:p w14:paraId="25B29CD2" w14:textId="77777777" w:rsidR="00897AEF" w:rsidRDefault="00897A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A3A9" w14:textId="77777777" w:rsidR="00B1592E" w:rsidRDefault="00897AEF">
      <w:pPr>
        <w:spacing w:before="0"/>
      </w:pPr>
      <w:r>
        <w:separator/>
      </w:r>
    </w:p>
  </w:footnote>
  <w:footnote w:type="continuationSeparator" w:id="0">
    <w:p w14:paraId="5F8E023F" w14:textId="77777777" w:rsidR="00B1592E" w:rsidRDefault="00897AEF">
      <w:pPr>
        <w:spacing w:before="0"/>
      </w:pPr>
      <w:r>
        <w:continuationSeparator/>
      </w:r>
    </w:p>
  </w:footnote>
  <w:footnote w:id="1">
    <w:p w14:paraId="0354EFAC" w14:textId="77777777" w:rsidR="00B1592E" w:rsidRDefault="00897AEF">
      <w:pPr>
        <w:pStyle w:val="FootnoteText"/>
        <w:rPr>
          <w:lang w:val="en-US" w:eastAsia="zh-CN"/>
        </w:rPr>
      </w:pPr>
      <w:r>
        <w:rPr>
          <w:rStyle w:val="FootnoteReference"/>
        </w:rPr>
        <w:footnoteRef/>
      </w:r>
      <w:r>
        <w:rPr>
          <w:lang w:eastAsia="zh-CN"/>
        </w:rPr>
        <w:tab/>
      </w:r>
      <w:r>
        <w:rPr>
          <w:szCs w:val="22"/>
          <w:lang w:val="en-US" w:eastAsia="zh-CN"/>
        </w:rPr>
        <w:t>截至</w:t>
      </w:r>
      <w:r>
        <w:rPr>
          <w:szCs w:val="22"/>
          <w:lang w:val="en-US" w:eastAsia="zh-CN"/>
        </w:rPr>
        <w:t>2023</w:t>
      </w:r>
      <w:r>
        <w:rPr>
          <w:szCs w:val="22"/>
          <w:lang w:val="en-US" w:eastAsia="zh-CN"/>
        </w:rPr>
        <w:t>年</w:t>
      </w:r>
      <w:r>
        <w:rPr>
          <w:szCs w:val="22"/>
          <w:lang w:val="en-US" w:eastAsia="zh-CN"/>
        </w:rPr>
        <w:t>7</w:t>
      </w:r>
      <w:r>
        <w:rPr>
          <w:szCs w:val="22"/>
          <w:lang w:val="en-US" w:eastAsia="zh-CN"/>
        </w:rPr>
        <w:t>月，签署《</w:t>
      </w:r>
      <w:r>
        <w:rPr>
          <w:rFonts w:hint="eastAsia"/>
          <w:szCs w:val="22"/>
          <w:lang w:val="en-US" w:eastAsia="zh-CN"/>
        </w:rPr>
        <w:t>阿尔忒弥斯</w:t>
      </w:r>
      <w:r>
        <w:rPr>
          <w:szCs w:val="22"/>
          <w:lang w:val="en-US" w:eastAsia="zh-CN"/>
        </w:rPr>
        <w:t>协定》的政府有</w:t>
      </w:r>
      <w:r>
        <w:rPr>
          <w:rFonts w:hint="eastAsia"/>
          <w:szCs w:val="22"/>
          <w:lang w:val="en-US" w:eastAsia="zh-CN"/>
        </w:rPr>
        <w:t>：</w:t>
      </w:r>
      <w:r>
        <w:rPr>
          <w:szCs w:val="22"/>
          <w:lang w:val="en-US" w:eastAsia="zh-CN"/>
        </w:rPr>
        <w:t>阿根廷、澳大利亚、巴林、巴西、加拿大、哥伦比亚、捷克共和国、厄瓜多尔、法国、印度、以色列、意大利、日本、大韩民国、卢森堡、墨西哥、新西兰、尼日利亚、波兰、罗马尼亚、卢旺达、沙特阿拉伯、新加坡、西班牙、乌克兰、阿拉伯联合酋长国、联合王国和美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622560"/>
    <w:rsid w:val="000264C2"/>
    <w:rsid w:val="000273B7"/>
    <w:rsid w:val="00037C90"/>
    <w:rsid w:val="00060B2F"/>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92C89"/>
    <w:rsid w:val="002A4C9C"/>
    <w:rsid w:val="002B509B"/>
    <w:rsid w:val="002E2A59"/>
    <w:rsid w:val="002E4507"/>
    <w:rsid w:val="002E653A"/>
    <w:rsid w:val="00305254"/>
    <w:rsid w:val="003169D2"/>
    <w:rsid w:val="00330EEF"/>
    <w:rsid w:val="003B4BEF"/>
    <w:rsid w:val="003B6399"/>
    <w:rsid w:val="003C672F"/>
    <w:rsid w:val="003C6B45"/>
    <w:rsid w:val="003E48E2"/>
    <w:rsid w:val="003E5931"/>
    <w:rsid w:val="0041282E"/>
    <w:rsid w:val="00437869"/>
    <w:rsid w:val="00465A34"/>
    <w:rsid w:val="004B4C76"/>
    <w:rsid w:val="004C4554"/>
    <w:rsid w:val="004D2DEC"/>
    <w:rsid w:val="004F2BE6"/>
    <w:rsid w:val="00527E8A"/>
    <w:rsid w:val="00532EA3"/>
    <w:rsid w:val="00542E85"/>
    <w:rsid w:val="00562479"/>
    <w:rsid w:val="00576849"/>
    <w:rsid w:val="005A0ACB"/>
    <w:rsid w:val="005C6884"/>
    <w:rsid w:val="005E08D2"/>
    <w:rsid w:val="005E7FD8"/>
    <w:rsid w:val="00622560"/>
    <w:rsid w:val="00644391"/>
    <w:rsid w:val="00647712"/>
    <w:rsid w:val="00662E12"/>
    <w:rsid w:val="00691142"/>
    <w:rsid w:val="006B67CE"/>
    <w:rsid w:val="006C38ED"/>
    <w:rsid w:val="006E6182"/>
    <w:rsid w:val="006E6997"/>
    <w:rsid w:val="006F3C60"/>
    <w:rsid w:val="00707B56"/>
    <w:rsid w:val="007160E6"/>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97AEF"/>
    <w:rsid w:val="008A5D11"/>
    <w:rsid w:val="008A7416"/>
    <w:rsid w:val="008B6852"/>
    <w:rsid w:val="008C26FF"/>
    <w:rsid w:val="008D1D14"/>
    <w:rsid w:val="008D6D9C"/>
    <w:rsid w:val="008E1785"/>
    <w:rsid w:val="008E7127"/>
    <w:rsid w:val="008E7C8E"/>
    <w:rsid w:val="00912959"/>
    <w:rsid w:val="009657F9"/>
    <w:rsid w:val="00982F93"/>
    <w:rsid w:val="0099525B"/>
    <w:rsid w:val="009C72B7"/>
    <w:rsid w:val="00A0052C"/>
    <w:rsid w:val="00A31B14"/>
    <w:rsid w:val="00A323DC"/>
    <w:rsid w:val="00A466E6"/>
    <w:rsid w:val="00A815BE"/>
    <w:rsid w:val="00A93295"/>
    <w:rsid w:val="00AA5DA1"/>
    <w:rsid w:val="00AC2C94"/>
    <w:rsid w:val="00AE369F"/>
    <w:rsid w:val="00B026CB"/>
    <w:rsid w:val="00B1592E"/>
    <w:rsid w:val="00B33617"/>
    <w:rsid w:val="00B50377"/>
    <w:rsid w:val="00B6115E"/>
    <w:rsid w:val="00B711CC"/>
    <w:rsid w:val="00B851D4"/>
    <w:rsid w:val="00B868FC"/>
    <w:rsid w:val="00B95072"/>
    <w:rsid w:val="00BB26CD"/>
    <w:rsid w:val="00BE464F"/>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77403"/>
    <w:rsid w:val="00DA0469"/>
    <w:rsid w:val="00DD13B7"/>
    <w:rsid w:val="00DE2FA8"/>
    <w:rsid w:val="00DF0809"/>
    <w:rsid w:val="00DF3B0C"/>
    <w:rsid w:val="00E14984"/>
    <w:rsid w:val="00E22A25"/>
    <w:rsid w:val="00E560F1"/>
    <w:rsid w:val="00E76F1B"/>
    <w:rsid w:val="00E8717D"/>
    <w:rsid w:val="00E92319"/>
    <w:rsid w:val="00F467B6"/>
    <w:rsid w:val="00F837F4"/>
    <w:rsid w:val="00FC59C4"/>
    <w:rsid w:val="08824EE7"/>
    <w:rsid w:val="09776422"/>
    <w:rsid w:val="0D2E5C8B"/>
    <w:rsid w:val="10201A0D"/>
    <w:rsid w:val="11B45754"/>
    <w:rsid w:val="12D129F1"/>
    <w:rsid w:val="20C242E2"/>
    <w:rsid w:val="258F430E"/>
    <w:rsid w:val="2D246943"/>
    <w:rsid w:val="3103126C"/>
    <w:rsid w:val="32272ACB"/>
    <w:rsid w:val="35BE7316"/>
    <w:rsid w:val="3951646F"/>
    <w:rsid w:val="3D5F78BB"/>
    <w:rsid w:val="3FDD3F2F"/>
    <w:rsid w:val="44A60DA1"/>
    <w:rsid w:val="456E1A80"/>
    <w:rsid w:val="45A1630C"/>
    <w:rsid w:val="49463453"/>
    <w:rsid w:val="4DF13B7C"/>
    <w:rsid w:val="4F6F0AB5"/>
    <w:rsid w:val="52512C74"/>
    <w:rsid w:val="55B45CED"/>
    <w:rsid w:val="5C457B94"/>
    <w:rsid w:val="5D616F47"/>
    <w:rsid w:val="5FE35CAD"/>
    <w:rsid w:val="62975618"/>
    <w:rsid w:val="63D47950"/>
    <w:rsid w:val="6C467E96"/>
    <w:rsid w:val="70B1539E"/>
    <w:rsid w:val="73B65054"/>
    <w:rsid w:val="744F0B5E"/>
    <w:rsid w:val="793153C8"/>
    <w:rsid w:val="7E216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B48B8"/>
  <w15:docId w15:val="{EF2824BA-CF96-4DD7-A4B5-F256BCA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unhideWhenUsed="1"/>
    <w:lsdException w:name="index 9" w:semiHidden="1" w:unhideWhenUsed="1"/>
    <w:lsdException w:name="toc 6" w:semiHidden="1"/>
    <w:lsdException w:name="toc 7" w:semiHidden="1"/>
    <w:lsdException w:name="toc 8" w:semiHidden="1"/>
    <w:lsdException w:name="toc 9" w:semiHidden="1" w:unhideWhenUsed="1"/>
    <w:lsdException w:name="annotation text"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semiHidden/>
  </w:style>
  <w:style w:type="paragraph" w:styleId="TOC4">
    <w:name w:val="toc 4"/>
    <w:basedOn w:val="TOC3"/>
  </w:style>
  <w:style w:type="paragraph" w:styleId="TOC3">
    <w:name w:val="toc 3"/>
    <w:basedOn w:val="TOC2"/>
  </w:style>
  <w:style w:type="paragraph" w:styleId="TOC2">
    <w:name w:val="toc 2"/>
    <w:basedOn w:val="TOC1"/>
    <w:pPr>
      <w:spacing w:before="120"/>
    </w:p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NormalIndent">
    <w:name w:val="Normal Indent"/>
    <w:basedOn w:val="Normal"/>
    <w:pPr>
      <w:ind w:left="1134"/>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4">
    <w:name w:val="index 4"/>
    <w:basedOn w:val="Normal"/>
    <w:next w:val="Normal"/>
    <w:semiHidden/>
    <w:pPr>
      <w:ind w:left="849"/>
    </w:pPr>
  </w:style>
  <w:style w:type="paragraph" w:styleId="TOC5">
    <w:name w:val="toc 5"/>
    <w:basedOn w:val="TOC4"/>
  </w:style>
  <w:style w:type="paragraph" w:styleId="TOC8">
    <w:name w:val="toc 8"/>
    <w:basedOn w:val="TOC4"/>
    <w:semiHidden/>
  </w:style>
  <w:style w:type="paragraph" w:styleId="Index3">
    <w:name w:val="index 3"/>
    <w:basedOn w:val="Normal"/>
    <w:next w:val="Normal"/>
    <w:semiHidden/>
    <w:pPr>
      <w:ind w:left="566"/>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lear" w:pos="1134"/>
        <w:tab w:val="clear" w:pos="1871"/>
        <w:tab w:val="clear" w:pos="2268"/>
        <w:tab w:val="left" w:pos="5954"/>
        <w:tab w:val="right" w:pos="9639"/>
      </w:tabs>
      <w:spacing w:before="0"/>
    </w:pPr>
    <w:rPr>
      <w:caps/>
      <w:sz w:val="16"/>
    </w:rPr>
  </w:style>
  <w:style w:type="paragraph" w:styleId="Header">
    <w:name w:val="header"/>
    <w:basedOn w:val="Normal"/>
    <w:pPr>
      <w:spacing w:before="0"/>
      <w:jc w:val="center"/>
    </w:pPr>
    <w:rPr>
      <w:sz w:val="18"/>
    </w:rPr>
  </w:style>
  <w:style w:type="paragraph" w:styleId="IndexHeading">
    <w:name w:val="index heading"/>
    <w:basedOn w:val="Normal"/>
    <w:next w:val="Index1"/>
    <w:semiHidden/>
  </w:style>
  <w:style w:type="paragraph" w:styleId="Index1">
    <w:name w:val="index 1"/>
    <w:basedOn w:val="Normal"/>
    <w:next w:val="Normal"/>
    <w:semiHidden/>
  </w:style>
  <w:style w:type="paragraph" w:styleId="FootnoteText">
    <w:name w:val="footnote text"/>
    <w:basedOn w:val="Normal"/>
    <w:link w:val="FootnoteTextChar"/>
    <w:pPr>
      <w:keepLines/>
      <w:tabs>
        <w:tab w:val="left" w:pos="255"/>
      </w:tabs>
    </w:pPr>
    <w:rPr>
      <w:sz w:val="22"/>
    </w:rPr>
  </w:style>
  <w:style w:type="paragraph" w:styleId="TOC6">
    <w:name w:val="toc 6"/>
    <w:basedOn w:val="TOC4"/>
    <w:semiHidden/>
  </w:style>
  <w:style w:type="paragraph" w:styleId="Index7">
    <w:name w:val="index 7"/>
    <w:basedOn w:val="Normal"/>
    <w:next w:val="Normal"/>
    <w:semiHidden/>
    <w:pPr>
      <w:ind w:left="1698"/>
    </w:pPr>
  </w:style>
  <w:style w:type="paragraph" w:styleId="Index2">
    <w:name w:val="index 2"/>
    <w:basedOn w:val="Normal"/>
    <w:next w:val="Normal"/>
    <w:semiHidden/>
    <w:pPr>
      <w:ind w:left="283"/>
    </w:pPr>
  </w:style>
  <w:style w:type="character" w:styleId="Strong">
    <w:name w:val="Strong"/>
    <w:basedOn w:val="DefaultParagraphFont"/>
    <w:qFormat/>
    <w:rPr>
      <w:b/>
      <w:bCs/>
    </w:rPr>
  </w:style>
  <w:style w:type="character" w:styleId="EndnoteReference">
    <w:name w:val="endnote reference"/>
    <w:basedOn w:val="DefaultParagraphFont"/>
    <w:semiHidden/>
    <w:rPr>
      <w:vertAlign w:val="superscript"/>
    </w:rPr>
  </w:style>
  <w:style w:type="character" w:styleId="PageNumber">
    <w:name w:val="page number"/>
    <w:basedOn w:val="DefaultParagraphFont"/>
  </w:style>
  <w:style w:type="character" w:styleId="LineNumber">
    <w:name w:val="line number"/>
    <w:basedOn w:val="DefaultParagraphFont"/>
  </w:style>
  <w:style w:type="character" w:styleId="Hyperlink">
    <w:name w:val="Hyperlink"/>
    <w:basedOn w:val="DefaultParagraphFont"/>
    <w:uiPriority w:val="99"/>
    <w:semiHidden/>
    <w:unhideWhenUsed/>
    <w:rPr>
      <w:color w:val="0000FF" w:themeColor="hyperlink"/>
      <w:u w:val="single"/>
    </w:rPr>
  </w:style>
  <w:style w:type="character" w:styleId="FootnoteReference">
    <w:name w:val="footnote reference"/>
    <w:basedOn w:val="DefaultParagraphFont"/>
    <w:rPr>
      <w:position w:val="6"/>
      <w:sz w:val="18"/>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rFonts w:ascii="STKaiti" w:eastAsia="STKaiti" w:hAnsi="STKait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QuestionNo">
    <w:name w:val="Question_No"/>
    <w:basedOn w:val="RecNo"/>
    <w:next w:val="Question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Normalaftertitle0">
    <w:name w:val="Normal after title"/>
    <w:basedOn w:val="Normal"/>
    <w:next w:val="Normal"/>
    <w:link w:val="NormalaftertitleChar0"/>
    <w:qFormat/>
    <w:pPr>
      <w:spacing w:before="280"/>
    </w:p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Questiondate">
    <w:name w:val="Question_date"/>
    <w:basedOn w:val="Recdate"/>
    <w:next w:val="Normalaftertitle0"/>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Tabletitle"/>
    <w:next w:val="Normal"/>
    <w:pPr>
      <w:spacing w:after="480"/>
    </w:p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pPr>
      <w:tabs>
        <w:tab w:val="left" w:pos="284"/>
      </w:tabs>
      <w:spacing w:before="80"/>
    </w:pPr>
  </w:style>
  <w:style w:type="paragraph" w:customStyle="1" w:styleId="PartNo">
    <w:name w:val="Part_No"/>
    <w:basedOn w:val="AnnexNo"/>
    <w:next w:val="Partref"/>
  </w:style>
  <w:style w:type="paragraph" w:customStyle="1" w:styleId="AnnexNo">
    <w:name w:val="Annex_No"/>
    <w:basedOn w:val="Normal"/>
    <w:next w:val="Normal"/>
    <w:pPr>
      <w:keepNext/>
      <w:keepLines/>
      <w:spacing w:before="480" w:after="80"/>
      <w:jc w:val="center"/>
    </w:pPr>
    <w:rPr>
      <w:caps/>
      <w:sz w:val="28"/>
    </w:rPr>
  </w:style>
  <w:style w:type="paragraph" w:customStyle="1" w:styleId="Partref">
    <w:name w:val="Part_ref"/>
    <w:basedOn w:val="Annexref"/>
    <w:next w:val="Parttitle"/>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Parttitle">
    <w:name w:val="Part_title"/>
    <w:basedOn w:val="Annextitle"/>
    <w:next w:val="Normalaftertitle0"/>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pPr>
      <w:keepNext/>
      <w:spacing w:before="80" w:after="80"/>
      <w:jc w:val="center"/>
    </w:pPr>
    <w:rPr>
      <w:rFonts w:ascii="Times New Roman Bold" w:hAnsi="Times New Roman Bold"/>
      <w:b/>
    </w:rPr>
  </w:style>
  <w:style w:type="paragraph" w:customStyle="1" w:styleId="Tablelegend">
    <w:name w:val="Table_legend"/>
    <w:basedOn w:val="Tabletext"/>
    <w:pPr>
      <w:spacing w:before="120"/>
    </w:pPr>
  </w:style>
  <w:style w:type="paragraph" w:customStyle="1" w:styleId="TableNo">
    <w:name w:val="Table_No"/>
    <w:basedOn w:val="Normal"/>
    <w:next w:val="Tabletitle"/>
    <w:pPr>
      <w:keepNext/>
      <w:spacing w:before="560" w:after="120"/>
      <w:jc w:val="center"/>
    </w:pPr>
    <w:rPr>
      <w:caps/>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qFormat/>
    <w:rPr>
      <w:rFonts w:ascii="Times New Roman" w:hAnsi="Times New Roman"/>
      <w:b/>
    </w:rPr>
  </w:style>
  <w:style w:type="character" w:customStyle="1" w:styleId="Tablefreq">
    <w:name w:val="Table_freq"/>
    <w:basedOn w:val="DefaultParagraphFont"/>
    <w:rPr>
      <w:b/>
      <w:color w:val="auto"/>
      <w:sz w:val="20"/>
    </w:rPr>
  </w:style>
  <w:style w:type="paragraph" w:customStyle="1" w:styleId="Formal">
    <w:name w:val="Formal"/>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sz w:val="2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pPr>
      <w:keepNext/>
      <w:spacing w:before="160"/>
    </w:pPr>
    <w:rPr>
      <w:rFonts w:ascii="STKaiti" w:eastAsia="STKaiti" w:hAnsi="STKaiti"/>
    </w:rPr>
  </w:style>
  <w:style w:type="paragraph" w:customStyle="1" w:styleId="Headingb">
    <w:name w:val="Heading_b"/>
    <w:basedOn w:val="Normal"/>
    <w:next w:val="Normal"/>
    <w:link w:val="HeadingbChar"/>
    <w:uiPriority w:val="99"/>
    <w:qFormat/>
    <w:pPr>
      <w:keepNext/>
      <w:spacing w:before="160"/>
    </w:pPr>
    <w:rPr>
      <w:rFonts w:ascii="Times" w:hAnsi="Times"/>
      <w:b/>
    </w:rPr>
  </w:style>
  <w:style w:type="paragraph" w:customStyle="1" w:styleId="Figure">
    <w:name w:val="Figure"/>
    <w:basedOn w:val="Normal"/>
    <w:next w:val="Figuretitle"/>
    <w:pPr>
      <w:keepNext/>
      <w:keepLines/>
      <w:jc w:val="center"/>
    </w:pPr>
  </w:style>
  <w:style w:type="paragraph" w:customStyle="1" w:styleId="FooterQP">
    <w:name w:val="Footer_QP"/>
    <w:basedOn w:val="Normal"/>
    <w:pPr>
      <w:tabs>
        <w:tab w:val="left" w:pos="907"/>
        <w:tab w:val="right" w:pos="8789"/>
        <w:tab w:val="right" w:pos="9639"/>
      </w:tabs>
      <w:spacing w:before="0"/>
    </w:pPr>
    <w:rPr>
      <w:b/>
      <w:sz w:val="22"/>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Appendixtitle">
    <w:name w:val="Appendix_title"/>
    <w:basedOn w:val="Annextitle"/>
    <w:next w:val="Normal"/>
  </w:style>
  <w:style w:type="paragraph" w:customStyle="1" w:styleId="AppendixNo">
    <w:name w:val="Appendix_No"/>
    <w:basedOn w:val="AnnexNo"/>
    <w:next w:val="Annexref"/>
  </w:style>
  <w:style w:type="paragraph" w:customStyle="1" w:styleId="Reasons">
    <w:name w:val="Reasons"/>
    <w:basedOn w:val="Normal"/>
    <w:pPr>
      <w:tabs>
        <w:tab w:val="clear" w:pos="1871"/>
        <w:tab w:val="clear" w:pos="2268"/>
        <w:tab w:val="left" w:pos="1588"/>
        <w:tab w:val="left" w:pos="1985"/>
      </w:tabs>
    </w:pPr>
  </w:style>
  <w:style w:type="paragraph" w:customStyle="1" w:styleId="TableTextS5">
    <w:name w:val="Table_TextS5"/>
    <w:basedOn w:val="Normal"/>
    <w:pPr>
      <w:tabs>
        <w:tab w:val="clear" w:pos="1134"/>
        <w:tab w:val="clear" w:pos="1871"/>
        <w:tab w:val="clear" w:pos="2268"/>
        <w:tab w:val="left" w:pos="431"/>
        <w:tab w:val="left" w:pos="3119"/>
      </w:tabs>
      <w:spacing w:before="40" w:after="40"/>
    </w:pPr>
    <w:rPr>
      <w:sz w:val="20"/>
    </w:rPr>
  </w:style>
  <w:style w:type="paragraph" w:customStyle="1" w:styleId="Proposal">
    <w:name w:val="Proposal"/>
    <w:basedOn w:val="Normal"/>
    <w:next w:val="Normal"/>
    <w:pPr>
      <w:keepNext/>
      <w:spacing w:before="240"/>
    </w:pPr>
    <w:rPr>
      <w:b/>
      <w:caps/>
    </w:rPr>
  </w:style>
  <w:style w:type="paragraph" w:customStyle="1" w:styleId="Appendixref">
    <w:name w:val="Appendix_ref"/>
    <w:basedOn w:val="Annexref"/>
    <w:next w:val="Annextitle"/>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Section3">
    <w:name w:val="Section_3"/>
    <w:basedOn w:val="Section1"/>
    <w:rPr>
      <w:b w:val="0"/>
    </w:rPr>
  </w:style>
  <w:style w:type="paragraph" w:customStyle="1" w:styleId="TABLECAPS">
    <w:name w:val="TABLECAPS"/>
    <w:basedOn w:val="TableTextS5"/>
    <w:rPr>
      <w:rFonts w:ascii="Times New Roman Bold" w:eastAsia="SimHei" w:hAnsi="Times New Roman Bold" w:cs="Times New Roman Bold"/>
      <w:b/>
      <w:lang w:val="en-US"/>
    </w:rPr>
  </w:style>
  <w:style w:type="paragraph" w:customStyle="1" w:styleId="NormalCH">
    <w:name w:val="NormalCH"/>
    <w:basedOn w:val="Normal"/>
    <w:next w:val="Normal"/>
    <w:qFormat/>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pPr>
      <w:tabs>
        <w:tab w:val="clear" w:pos="1871"/>
        <w:tab w:val="clear" w:pos="2268"/>
        <w:tab w:val="left" w:pos="1418"/>
      </w:tabs>
      <w:ind w:left="1418" w:hanging="1418"/>
    </w:pPr>
  </w:style>
  <w:style w:type="paragraph" w:customStyle="1" w:styleId="Heading9a">
    <w:name w:val="Heading 9a"/>
    <w:basedOn w:val="Heading9"/>
    <w:next w:val="Normal"/>
    <w:pPr>
      <w:tabs>
        <w:tab w:val="clear" w:pos="1871"/>
        <w:tab w:val="clear" w:pos="2268"/>
        <w:tab w:val="left" w:pos="1559"/>
      </w:tabs>
      <w:ind w:left="1559" w:hanging="1559"/>
    </w:pPr>
  </w:style>
  <w:style w:type="paragraph" w:customStyle="1" w:styleId="Agendaitem">
    <w:name w:val="Agenda_item"/>
    <w:basedOn w:val="Title3"/>
    <w:next w:val="Normalaftertitle0"/>
    <w:qFormat/>
    <w:rPr>
      <w:lang w:val="en-US" w:eastAsia="zh-CN"/>
    </w:rPr>
  </w:style>
  <w:style w:type="paragraph" w:customStyle="1" w:styleId="Subsection1">
    <w:name w:val="Subsection_1"/>
    <w:basedOn w:val="Section1"/>
    <w:next w:val="Section1"/>
    <w:qFormat/>
  </w:style>
  <w:style w:type="paragraph" w:customStyle="1" w:styleId="Part1">
    <w:name w:val="Part_1"/>
    <w:basedOn w:val="Subsection1"/>
    <w:next w:val="Normalaftertitle0"/>
    <w:qFormat/>
  </w:style>
  <w:style w:type="paragraph" w:customStyle="1" w:styleId="Normalend">
    <w:name w:val="Normal_end"/>
    <w:basedOn w:val="Normal"/>
    <w:qFormat/>
  </w:style>
  <w:style w:type="paragraph" w:customStyle="1" w:styleId="ApptoAnnex">
    <w:name w:val="App_to_Annex"/>
    <w:basedOn w:val="AppendixNo"/>
    <w:qFormat/>
  </w:style>
  <w:style w:type="paragraph" w:customStyle="1" w:styleId="AppArtNo">
    <w:name w:val="App_Art_No"/>
    <w:basedOn w:val="ArtNo"/>
    <w:qFormat/>
  </w:style>
  <w:style w:type="paragraph" w:customStyle="1" w:styleId="AppArttitle">
    <w:name w:val="App_Art_title"/>
    <w:basedOn w:val="Arttitle"/>
    <w:qFormat/>
  </w:style>
  <w:style w:type="paragraph" w:customStyle="1" w:styleId="Volumetitle">
    <w:name w:val="Volume_title"/>
    <w:basedOn w:val="ArtNo"/>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pPr>
      <w:tabs>
        <w:tab w:val="clear" w:pos="2268"/>
      </w:tabs>
      <w:jc w:val="both"/>
    </w:pPr>
  </w:style>
  <w:style w:type="character" w:customStyle="1" w:styleId="Provsplit">
    <w:name w:val="Prov_split"/>
    <w:basedOn w:val="DefaultParagraphFont"/>
    <w:uiPriority w:val="1"/>
    <w:qFormat/>
    <w:rPr>
      <w:lang w:eastAsia="zh-CN"/>
    </w:rPr>
  </w:style>
  <w:style w:type="paragraph" w:customStyle="1" w:styleId="MethodHeadingb">
    <w:name w:val="Method_Headingb"/>
    <w:basedOn w:val="Headingb"/>
    <w:qFormat/>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character" w:customStyle="1" w:styleId="FootnoteTextChar">
    <w:name w:val="Footnote Text Char"/>
    <w:basedOn w:val="DefaultParagraphFont"/>
    <w:link w:val="FootnoteText"/>
    <w:rPr>
      <w:rFonts w:ascii="Times New Roman" w:hAnsi="Times New Roman"/>
      <w:sz w:val="22"/>
      <w:lang w:val="en-GB" w:eastAsia="en-US"/>
    </w:rPr>
  </w:style>
  <w:style w:type="character" w:customStyle="1" w:styleId="HeadingbChar">
    <w:name w:val="Heading_b Char"/>
    <w:link w:val="Headingb"/>
    <w:uiPriority w:val="99"/>
    <w:qFormat/>
    <w:locked/>
    <w:rPr>
      <w:rFonts w:ascii="Times" w:hAnsi="Times"/>
      <w:b/>
      <w:sz w:val="24"/>
      <w:lang w:val="en-GB" w:eastAsia="en-US"/>
    </w:rPr>
  </w:style>
  <w:style w:type="character" w:customStyle="1" w:styleId="CallChar">
    <w:name w:val="Call Char"/>
    <w:basedOn w:val="DefaultParagraphFont"/>
    <w:link w:val="Call"/>
    <w:qFormat/>
    <w:rPr>
      <w:rFonts w:ascii="STKaiti" w:eastAsia="STKaiti" w:hAnsi="STKaiti"/>
      <w:sz w:val="24"/>
      <w:lang w:val="en-GB" w:eastAsia="en-US"/>
    </w:rPr>
  </w:style>
  <w:style w:type="character" w:customStyle="1" w:styleId="NormalaftertitleChar">
    <w:name w:val="Normal_after_title Char"/>
    <w:basedOn w:val="DefaultParagraphFont"/>
    <w:link w:val="Normalaftertitle"/>
    <w:locked/>
    <w:rPr>
      <w:rFonts w:ascii="Times New Roman" w:hAnsi="Times New Roman"/>
      <w:sz w:val="24"/>
      <w:lang w:val="en-GB" w:eastAsia="en-US"/>
    </w:rPr>
  </w:style>
  <w:style w:type="paragraph" w:customStyle="1" w:styleId="ResTitle0">
    <w:name w:val="Res_Title"/>
    <w:basedOn w:val="Rectitle"/>
    <w:next w:val="Resref"/>
    <w:link w:val="ResTitleChar"/>
    <w:rPr>
      <w:rFonts w:ascii="Times New Roman" w:hAnsi="Times New Roman"/>
    </w:rPr>
  </w:style>
  <w:style w:type="character" w:customStyle="1" w:styleId="ResTitleChar">
    <w:name w:val="Res_Title Char"/>
    <w:basedOn w:val="DefaultParagraphFont"/>
    <w:link w:val="ResTitle0"/>
    <w:rPr>
      <w:rFonts w:ascii="Times New Roman" w:hAnsi="Times New Roman"/>
      <w:b/>
      <w:sz w:val="28"/>
      <w:lang w:val="en-GB" w:eastAsia="en-US"/>
    </w:rPr>
  </w:style>
  <w:style w:type="paragraph" w:customStyle="1" w:styleId="Revision1">
    <w:name w:val="Revision1"/>
    <w:hidden/>
    <w:uiPriority w:val="99"/>
    <w:semiHidden/>
    <w:rPr>
      <w:rFonts w:ascii="Times New Roman" w:hAnsi="Times New Roman"/>
      <w:sz w:val="24"/>
      <w:lang w:eastAsia="en-US"/>
    </w:rPr>
  </w:style>
  <w:style w:type="character" w:customStyle="1" w:styleId="NormalaftertitleChar0">
    <w:name w:val="Normal after title Char"/>
    <w:link w:val="Normalaftertitle0"/>
    <w:qFormat/>
    <w:locked/>
    <w:rPr>
      <w:rFonts w:ascii="Times New Roman" w:hAnsi="Times New Roman"/>
      <w:sz w:val="24"/>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c16a4915af094fda" /><Relationship Type="http://schemas.openxmlformats.org/officeDocument/2006/relationships/styles" Target="/word/styles.xml" Id="Rf67c1cc8d9f4469f" /><Relationship Type="http://schemas.openxmlformats.org/officeDocument/2006/relationships/theme" Target="/word/theme/theme1.xml" Id="R705ab60ac0bc4452" /><Relationship Type="http://schemas.openxmlformats.org/officeDocument/2006/relationships/fontTable" Target="/word/fontTable.xml" Id="R027a9bdbc49947be" /><Relationship Type="http://schemas.openxmlformats.org/officeDocument/2006/relationships/endnotes" Target="/word/endnotes.xml" Id="Rcbc9a4c61c414dbf" /><Relationship Type="http://schemas.openxmlformats.org/officeDocument/2006/relationships/settings" Target="/word/settings.xml" Id="R6ecda701bc8e43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