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4C6D0B" w:rsidRPr="004069D8" w14:paraId="06FEA7B4" w14:textId="77777777" w:rsidTr="004C6D0B">
        <w:trPr>
          <w:cantSplit/>
        </w:trPr>
        <w:tc>
          <w:tcPr>
            <w:tcW w:w="1418" w:type="dxa"/>
            <w:vAlign w:val="center"/>
          </w:tcPr>
          <w:p w14:paraId="41ACFE73" w14:textId="77777777" w:rsidR="004C6D0B" w:rsidRPr="004069D8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069D8">
              <w:rPr>
                <w:noProof/>
                <w:lang w:eastAsia="ru-RU"/>
              </w:rPr>
              <w:drawing>
                <wp:inline distT="0" distB="0" distL="0" distR="0" wp14:anchorId="3C97EEA6" wp14:editId="2BAB3A69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24AA697B" w14:textId="77777777" w:rsidR="004C6D0B" w:rsidRPr="004069D8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4069D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4069D8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389D5625" w14:textId="77777777" w:rsidR="004C6D0B" w:rsidRPr="004069D8" w:rsidRDefault="004C6D0B" w:rsidP="004C6D0B">
            <w:pPr>
              <w:spacing w:before="0" w:line="240" w:lineRule="atLeast"/>
            </w:pPr>
            <w:r w:rsidRPr="004069D8">
              <w:rPr>
                <w:noProof/>
                <w:lang w:eastAsia="ru-RU"/>
              </w:rPr>
              <w:drawing>
                <wp:inline distT="0" distB="0" distL="0" distR="0" wp14:anchorId="62EC9B65" wp14:editId="2A1255F2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069D8" w14:paraId="1FA527F9" w14:textId="77777777" w:rsidTr="001226EC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72746B32" w14:textId="77777777" w:rsidR="005651C9" w:rsidRPr="004069D8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77414FF3" w14:textId="77777777" w:rsidR="005651C9" w:rsidRPr="004069D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069D8" w14:paraId="3FD22D48" w14:textId="77777777" w:rsidTr="001226EC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1DFB3754" w14:textId="77777777" w:rsidR="005651C9" w:rsidRPr="004069D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49864A03" w14:textId="77777777" w:rsidR="005651C9" w:rsidRPr="004069D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5651C9" w:rsidRPr="004069D8" w14:paraId="578D31DD" w14:textId="77777777" w:rsidTr="001226EC">
        <w:trPr>
          <w:cantSplit/>
        </w:trPr>
        <w:tc>
          <w:tcPr>
            <w:tcW w:w="6771" w:type="dxa"/>
            <w:gridSpan w:val="2"/>
          </w:tcPr>
          <w:p w14:paraId="7D1FF4F9" w14:textId="77777777" w:rsidR="005651C9" w:rsidRPr="004069D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069D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4E060225" w14:textId="77777777" w:rsidR="005651C9" w:rsidRPr="004069D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069D8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6</w:t>
            </w:r>
            <w:r w:rsidRPr="004069D8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65</w:t>
            </w:r>
            <w:r w:rsidR="005651C9" w:rsidRPr="004069D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069D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069D8" w14:paraId="26A4CA4B" w14:textId="77777777" w:rsidTr="001226EC">
        <w:trPr>
          <w:cantSplit/>
        </w:trPr>
        <w:tc>
          <w:tcPr>
            <w:tcW w:w="6771" w:type="dxa"/>
            <w:gridSpan w:val="2"/>
          </w:tcPr>
          <w:p w14:paraId="5EBEBEC1" w14:textId="77777777" w:rsidR="000F33D8" w:rsidRPr="004069D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56A8D94A" w14:textId="77777777" w:rsidR="000F33D8" w:rsidRPr="004069D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069D8">
              <w:rPr>
                <w:rFonts w:ascii="Verdana" w:hAnsi="Verdana"/>
                <w:b/>
                <w:bCs/>
                <w:sz w:val="18"/>
                <w:szCs w:val="18"/>
              </w:rPr>
              <w:t>29 сентября 2023 года</w:t>
            </w:r>
          </w:p>
        </w:tc>
      </w:tr>
      <w:tr w:rsidR="000F33D8" w:rsidRPr="004069D8" w14:paraId="3E87BC95" w14:textId="77777777" w:rsidTr="001226EC">
        <w:trPr>
          <w:cantSplit/>
        </w:trPr>
        <w:tc>
          <w:tcPr>
            <w:tcW w:w="6771" w:type="dxa"/>
            <w:gridSpan w:val="2"/>
          </w:tcPr>
          <w:p w14:paraId="1AF173FE" w14:textId="77777777" w:rsidR="000F33D8" w:rsidRPr="004069D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BFB9B75" w14:textId="77777777" w:rsidR="000F33D8" w:rsidRPr="004069D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069D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069D8" w14:paraId="4236CE91" w14:textId="77777777" w:rsidTr="009546EA">
        <w:trPr>
          <w:cantSplit/>
        </w:trPr>
        <w:tc>
          <w:tcPr>
            <w:tcW w:w="10031" w:type="dxa"/>
            <w:gridSpan w:val="4"/>
          </w:tcPr>
          <w:p w14:paraId="785A7B3D" w14:textId="77777777" w:rsidR="000F33D8" w:rsidRPr="004069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069D8" w14:paraId="3EB790C3" w14:textId="77777777">
        <w:trPr>
          <w:cantSplit/>
        </w:trPr>
        <w:tc>
          <w:tcPr>
            <w:tcW w:w="10031" w:type="dxa"/>
            <w:gridSpan w:val="4"/>
          </w:tcPr>
          <w:p w14:paraId="4B9F70CF" w14:textId="77777777" w:rsidR="000F33D8" w:rsidRPr="004069D8" w:rsidRDefault="000F33D8" w:rsidP="000F33D8">
            <w:pPr>
              <w:pStyle w:val="Source"/>
              <w:rPr>
                <w:szCs w:val="26"/>
              </w:rPr>
            </w:pPr>
            <w:bookmarkStart w:id="0" w:name="dsource" w:colFirst="0" w:colLast="0"/>
            <w:r w:rsidRPr="004069D8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4069D8" w14:paraId="6B57C135" w14:textId="77777777">
        <w:trPr>
          <w:cantSplit/>
        </w:trPr>
        <w:tc>
          <w:tcPr>
            <w:tcW w:w="10031" w:type="dxa"/>
            <w:gridSpan w:val="4"/>
          </w:tcPr>
          <w:p w14:paraId="23396155" w14:textId="77777777" w:rsidR="000F33D8" w:rsidRPr="004069D8" w:rsidRDefault="00E7107C" w:rsidP="000F33D8">
            <w:pPr>
              <w:pStyle w:val="Title1"/>
              <w:rPr>
                <w:szCs w:val="26"/>
              </w:rPr>
            </w:pPr>
            <w:bookmarkStart w:id="1" w:name="dtitle1" w:colFirst="0" w:colLast="0"/>
            <w:bookmarkEnd w:id="0"/>
            <w:r w:rsidRPr="004069D8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4069D8" w14:paraId="1D70756D" w14:textId="77777777">
        <w:trPr>
          <w:cantSplit/>
        </w:trPr>
        <w:tc>
          <w:tcPr>
            <w:tcW w:w="10031" w:type="dxa"/>
            <w:gridSpan w:val="4"/>
          </w:tcPr>
          <w:p w14:paraId="209C0B76" w14:textId="77777777" w:rsidR="000F33D8" w:rsidRPr="004069D8" w:rsidRDefault="000F33D8" w:rsidP="000F33D8">
            <w:pPr>
              <w:pStyle w:val="Title2"/>
              <w:rPr>
                <w:szCs w:val="26"/>
              </w:rPr>
            </w:pPr>
            <w:bookmarkStart w:id="2" w:name="dtitle2" w:colFirst="0" w:colLast="0"/>
            <w:bookmarkEnd w:id="1"/>
          </w:p>
        </w:tc>
      </w:tr>
      <w:tr w:rsidR="000F33D8" w:rsidRPr="004069D8" w14:paraId="354DCDAB" w14:textId="77777777">
        <w:trPr>
          <w:cantSplit/>
        </w:trPr>
        <w:tc>
          <w:tcPr>
            <w:tcW w:w="10031" w:type="dxa"/>
            <w:gridSpan w:val="4"/>
          </w:tcPr>
          <w:p w14:paraId="7E559BFA" w14:textId="77777777" w:rsidR="000F33D8" w:rsidRPr="004069D8" w:rsidRDefault="000F33D8" w:rsidP="000F33D8">
            <w:pPr>
              <w:pStyle w:val="Agendaitem"/>
              <w:rPr>
                <w:lang w:val="ru-RU"/>
              </w:rPr>
            </w:pPr>
            <w:bookmarkStart w:id="3" w:name="dtitle3" w:colFirst="0" w:colLast="0"/>
            <w:bookmarkEnd w:id="2"/>
            <w:r w:rsidRPr="004069D8">
              <w:rPr>
                <w:lang w:val="ru-RU"/>
              </w:rPr>
              <w:t>Пункт 1.6 повестки дня</w:t>
            </w:r>
          </w:p>
        </w:tc>
      </w:tr>
    </w:tbl>
    <w:p w14:paraId="04D7D8BD" w14:textId="77777777" w:rsidR="0096442B" w:rsidRPr="004069D8" w:rsidRDefault="00A45920" w:rsidP="00997E38">
      <w:bookmarkStart w:id="4" w:name="_Toc35863790"/>
      <w:bookmarkStart w:id="5" w:name="_Toc35864119"/>
      <w:bookmarkStart w:id="6" w:name="_Toc36020504"/>
      <w:bookmarkEnd w:id="3"/>
      <w:bookmarkEnd w:id="4"/>
      <w:bookmarkEnd w:id="5"/>
      <w:bookmarkEnd w:id="6"/>
      <w:r w:rsidRPr="004069D8">
        <w:t>1.6</w:t>
      </w:r>
      <w:r w:rsidRPr="004069D8">
        <w:tab/>
      </w:r>
      <w:r w:rsidRPr="004069D8">
        <w:rPr>
          <w:bCs/>
        </w:rPr>
        <w:t>в соответствии с Резолюцией </w:t>
      </w:r>
      <w:r w:rsidRPr="004069D8">
        <w:rPr>
          <w:b/>
          <w:bCs/>
        </w:rPr>
        <w:t>772 (ВКР</w:t>
      </w:r>
      <w:r w:rsidRPr="004069D8">
        <w:rPr>
          <w:b/>
          <w:bCs/>
        </w:rPr>
        <w:noBreakHyphen/>
        <w:t>19)</w:t>
      </w:r>
      <w:r w:rsidRPr="004069D8">
        <w:t xml:space="preserve">, </w:t>
      </w:r>
      <w:r w:rsidRPr="004069D8">
        <w:rPr>
          <w:bCs/>
        </w:rPr>
        <w:t xml:space="preserve">рассмотреть </w:t>
      </w:r>
      <w:r w:rsidRPr="004069D8">
        <w:t>вопрос о регламентарных положениях, содействующих обеспечению радиосвязи для суборбитальных аппаратов;</w:t>
      </w:r>
    </w:p>
    <w:p w14:paraId="67A2864D" w14:textId="77777777" w:rsidR="00E7107C" w:rsidRPr="004069D8" w:rsidRDefault="00E7107C" w:rsidP="00E7107C">
      <w:pPr>
        <w:pStyle w:val="Headingb"/>
        <w:rPr>
          <w:lang w:val="ru-RU"/>
        </w:rPr>
      </w:pPr>
      <w:r w:rsidRPr="004069D8">
        <w:rPr>
          <w:lang w:val="ru-RU"/>
        </w:rPr>
        <w:t>Введение</w:t>
      </w:r>
    </w:p>
    <w:p w14:paraId="6107284A" w14:textId="0EAABE51" w:rsidR="00E7107C" w:rsidRPr="004069D8" w:rsidRDefault="004069D8" w:rsidP="00E7107C">
      <w:r w:rsidRPr="004069D8">
        <w:t>В рамках указанного пункта повестки дня МСЭ</w:t>
      </w:r>
      <w:r w:rsidR="009B5EC3">
        <w:noBreakHyphen/>
      </w:r>
      <w:r w:rsidRPr="004069D8">
        <w:t>R провел исследования в соответствии с Резолюцией</w:t>
      </w:r>
      <w:r w:rsidR="009B5EC3">
        <w:rPr>
          <w:lang w:val="en-US"/>
        </w:rPr>
        <w:t> </w:t>
      </w:r>
      <w:r w:rsidR="00E7107C" w:rsidRPr="004069D8">
        <w:rPr>
          <w:b/>
          <w:bCs/>
        </w:rPr>
        <w:t>772 (</w:t>
      </w:r>
      <w:r w:rsidR="00A45920" w:rsidRPr="004069D8">
        <w:rPr>
          <w:b/>
          <w:bCs/>
        </w:rPr>
        <w:t>ВКР</w:t>
      </w:r>
      <w:r w:rsidR="00A45920" w:rsidRPr="004069D8">
        <w:rPr>
          <w:b/>
          <w:bCs/>
        </w:rPr>
        <w:noBreakHyphen/>
      </w:r>
      <w:r w:rsidR="00E7107C" w:rsidRPr="004069D8">
        <w:rPr>
          <w:b/>
          <w:bCs/>
        </w:rPr>
        <w:t>19</w:t>
      </w:r>
      <w:r w:rsidR="00A45920" w:rsidRPr="004069D8">
        <w:rPr>
          <w:b/>
          <w:bCs/>
        </w:rPr>
        <w:t>)</w:t>
      </w:r>
      <w:r w:rsidR="00A45920" w:rsidRPr="003F733E">
        <w:t>.</w:t>
      </w:r>
      <w:r w:rsidR="00657E45" w:rsidRPr="003F733E">
        <w:t xml:space="preserve"> </w:t>
      </w:r>
      <w:r w:rsidR="00657E45">
        <w:t xml:space="preserve">В частности, </w:t>
      </w:r>
      <w:r w:rsidR="00A45920" w:rsidRPr="004069D8">
        <w:t>МСЭ</w:t>
      </w:r>
      <w:r w:rsidR="009B5EC3">
        <w:noBreakHyphen/>
      </w:r>
      <w:r w:rsidR="00A45920" w:rsidRPr="004069D8">
        <w:t>R было предложено изучить потребности в спектре для станций на борту суборбитальных аппаратов, вопрос о внесении изменений в Регламент радиосвязи (РР), если таковые потребуются, за исключением любых новых распределений или изменений в отношении существующих распределений в Статье</w:t>
      </w:r>
      <w:r w:rsidR="009B5EC3">
        <w:rPr>
          <w:lang w:val="en-US"/>
        </w:rPr>
        <w:t> </w:t>
      </w:r>
      <w:r w:rsidR="00A45920" w:rsidRPr="004069D8">
        <w:rPr>
          <w:b/>
          <w:bCs/>
        </w:rPr>
        <w:t>5</w:t>
      </w:r>
      <w:r w:rsidR="00A45920" w:rsidRPr="004069D8">
        <w:t xml:space="preserve"> РР</w:t>
      </w:r>
      <w:r w:rsidR="00E7107C" w:rsidRPr="004069D8">
        <w:t xml:space="preserve">, </w:t>
      </w:r>
      <w:r w:rsidRPr="004069D8">
        <w:t>и определить, есть ли необходимость в доступе к дополнительному спектру.</w:t>
      </w:r>
    </w:p>
    <w:p w14:paraId="6AA1836F" w14:textId="77777777" w:rsidR="00E7107C" w:rsidRPr="004069D8" w:rsidRDefault="00E7107C" w:rsidP="00E7107C">
      <w:pPr>
        <w:pStyle w:val="Headingb"/>
        <w:rPr>
          <w:lang w:val="ru-RU"/>
        </w:rPr>
      </w:pPr>
      <w:r w:rsidRPr="004069D8">
        <w:rPr>
          <w:lang w:val="ru-RU"/>
        </w:rPr>
        <w:t>Предложения</w:t>
      </w:r>
    </w:p>
    <w:p w14:paraId="513C3062" w14:textId="77777777" w:rsidR="009B5CC2" w:rsidRPr="004069D8" w:rsidRDefault="009B5CC2" w:rsidP="009B5EC3">
      <w:r w:rsidRPr="004069D8">
        <w:br w:type="page"/>
      </w:r>
    </w:p>
    <w:p w14:paraId="0D19117F" w14:textId="77777777" w:rsidR="009C75BA" w:rsidRPr="004069D8" w:rsidRDefault="00A45920">
      <w:pPr>
        <w:pStyle w:val="Proposal"/>
      </w:pPr>
      <w:r w:rsidRPr="004069D8">
        <w:rPr>
          <w:u w:val="single"/>
        </w:rPr>
        <w:lastRenderedPageBreak/>
        <w:t>NOC</w:t>
      </w:r>
      <w:r w:rsidRPr="004069D8">
        <w:tab/>
        <w:t>EUR/65A6/1</w:t>
      </w:r>
      <w:r w:rsidRPr="004069D8">
        <w:rPr>
          <w:vanish/>
          <w:color w:val="7F7F7F" w:themeColor="text1" w:themeTint="80"/>
          <w:vertAlign w:val="superscript"/>
        </w:rPr>
        <w:t>#1585</w:t>
      </w:r>
    </w:p>
    <w:p w14:paraId="15C0EC36" w14:textId="77777777" w:rsidR="0096442B" w:rsidRPr="004069D8" w:rsidRDefault="00A45920" w:rsidP="00A45920">
      <w:pPr>
        <w:pStyle w:val="Volumetitle"/>
        <w:rPr>
          <w:lang w:val="ru-RU"/>
        </w:rPr>
      </w:pPr>
      <w:bookmarkStart w:id="7" w:name="_Toc451865278"/>
      <w:bookmarkStart w:id="8" w:name="_Toc42842370"/>
      <w:r w:rsidRPr="004069D8">
        <w:rPr>
          <w:b/>
          <w:lang w:val="ru-RU"/>
        </w:rPr>
        <w:t>СТАТЬИ</w:t>
      </w:r>
      <w:bookmarkEnd w:id="7"/>
      <w:bookmarkEnd w:id="8"/>
    </w:p>
    <w:p w14:paraId="25329A80" w14:textId="77777777" w:rsidR="009C75BA" w:rsidRPr="004069D8" w:rsidRDefault="009C75BA">
      <w:pPr>
        <w:pStyle w:val="Reasons"/>
      </w:pPr>
    </w:p>
    <w:p w14:paraId="215DF3E6" w14:textId="77777777" w:rsidR="009C75BA" w:rsidRPr="004069D8" w:rsidRDefault="00A45920">
      <w:pPr>
        <w:pStyle w:val="Proposal"/>
      </w:pPr>
      <w:r w:rsidRPr="004069D8">
        <w:t>ADD</w:t>
      </w:r>
      <w:r w:rsidRPr="004069D8">
        <w:tab/>
        <w:t>EUR/65A6/2</w:t>
      </w:r>
      <w:r w:rsidRPr="004069D8">
        <w:rPr>
          <w:vanish/>
          <w:color w:val="7F7F7F" w:themeColor="text1" w:themeTint="80"/>
          <w:vertAlign w:val="superscript"/>
        </w:rPr>
        <w:t>#1588</w:t>
      </w:r>
    </w:p>
    <w:p w14:paraId="2C627867" w14:textId="77777777" w:rsidR="0096442B" w:rsidRPr="009B5EC3" w:rsidRDefault="00A45920" w:rsidP="00914B96">
      <w:pPr>
        <w:pStyle w:val="ResNo"/>
        <w:rPr>
          <w:lang w:val="en-US"/>
        </w:rPr>
      </w:pPr>
      <w:r w:rsidRPr="004069D8">
        <w:t>ПРОЕКТ</w:t>
      </w:r>
      <w:r w:rsidRPr="009B5EC3">
        <w:rPr>
          <w:lang w:val="en-US"/>
        </w:rPr>
        <w:t xml:space="preserve"> </w:t>
      </w:r>
      <w:r w:rsidRPr="004069D8">
        <w:t>НОВОЙ</w:t>
      </w:r>
      <w:r w:rsidRPr="009B5EC3">
        <w:rPr>
          <w:lang w:val="en-US"/>
        </w:rPr>
        <w:t xml:space="preserve"> </w:t>
      </w:r>
      <w:r w:rsidRPr="004069D8">
        <w:t>РЕЗОЛЮЦИИ</w:t>
      </w:r>
      <w:r w:rsidRPr="009B5EC3">
        <w:rPr>
          <w:lang w:val="en-US"/>
        </w:rPr>
        <w:t xml:space="preserve"> </w:t>
      </w:r>
      <w:r w:rsidR="00E7107C" w:rsidRPr="009B5EC3">
        <w:rPr>
          <w:lang w:val="en-US"/>
        </w:rPr>
        <w:t xml:space="preserve">[EUR-A16-SUB-Orbital-operations] </w:t>
      </w:r>
      <w:r w:rsidRPr="009B5EC3">
        <w:rPr>
          <w:lang w:val="en-US"/>
        </w:rPr>
        <w:t>(</w:t>
      </w:r>
      <w:r w:rsidRPr="004069D8">
        <w:t>вкр</w:t>
      </w:r>
      <w:r w:rsidRPr="009B5EC3">
        <w:rPr>
          <w:lang w:val="en-US"/>
        </w:rPr>
        <w:t>-23)</w:t>
      </w:r>
    </w:p>
    <w:p w14:paraId="58B1C396" w14:textId="77777777" w:rsidR="0096442B" w:rsidRPr="004069D8" w:rsidRDefault="00A45920" w:rsidP="00914B96">
      <w:pPr>
        <w:pStyle w:val="Restitle"/>
      </w:pPr>
      <w:r w:rsidRPr="004069D8">
        <w:t xml:space="preserve">Регламентарные положения, касающиеся работы систем радиосвязи </w:t>
      </w:r>
      <w:r w:rsidRPr="004069D8">
        <w:br/>
        <w:t>на борту суборбитальных аппаратов</w:t>
      </w:r>
    </w:p>
    <w:p w14:paraId="36A925DD" w14:textId="77777777" w:rsidR="0096442B" w:rsidRPr="004069D8" w:rsidRDefault="00A45920" w:rsidP="0058642E">
      <w:pPr>
        <w:pStyle w:val="Normalaftertitle0"/>
        <w:keepNext/>
      </w:pPr>
      <w:r w:rsidRPr="004069D8">
        <w:t>Всемирная конференция радиосвязи (Дубай, 2023 г.),</w:t>
      </w:r>
    </w:p>
    <w:p w14:paraId="121E56FF" w14:textId="77777777" w:rsidR="0096442B" w:rsidRPr="004069D8" w:rsidRDefault="00A45920" w:rsidP="00914B96">
      <w:pPr>
        <w:pStyle w:val="Call"/>
        <w:rPr>
          <w:i w:val="0"/>
          <w:iCs/>
        </w:rPr>
      </w:pPr>
      <w:r w:rsidRPr="004069D8">
        <w:t>учитывая</w:t>
      </w:r>
      <w:r w:rsidRPr="004069D8">
        <w:rPr>
          <w:i w:val="0"/>
          <w:iCs/>
        </w:rPr>
        <w:t>,</w:t>
      </w:r>
    </w:p>
    <w:p w14:paraId="30FC2198" w14:textId="52C5C7AE" w:rsidR="0096442B" w:rsidRPr="004069D8" w:rsidRDefault="00A45920" w:rsidP="00914B96">
      <w:pPr>
        <w:rPr>
          <w:rFonts w:eastAsia="BatangChe"/>
        </w:rPr>
      </w:pPr>
      <w:r w:rsidRPr="004069D8">
        <w:rPr>
          <w:i/>
          <w:iCs/>
        </w:rPr>
        <w:t>a)</w:t>
      </w:r>
      <w:r w:rsidRPr="004069D8">
        <w:tab/>
        <w:t xml:space="preserve">что суборбитальные аппараты работают на высотах, превышающих </w:t>
      </w:r>
      <w:r w:rsidRPr="004069D8">
        <w:rPr>
          <w:rFonts w:eastAsia="BatangChe"/>
        </w:rPr>
        <w:t>высоту, достигаемую обычными воздушными судами</w:t>
      </w:r>
      <w:r w:rsidR="00991AA1" w:rsidRPr="009B5EC3">
        <w:rPr>
          <w:rFonts w:eastAsia="BatangChe"/>
        </w:rPr>
        <w:t xml:space="preserve"> </w:t>
      </w:r>
      <w:r w:rsidR="00991AA1">
        <w:rPr>
          <w:rFonts w:eastAsia="BatangChe"/>
        </w:rPr>
        <w:t>и</w:t>
      </w:r>
      <w:r w:rsidR="00991AA1" w:rsidRPr="009B5EC3">
        <w:rPr>
          <w:rFonts w:eastAsia="BatangChe"/>
        </w:rPr>
        <w:t xml:space="preserve"> </w:t>
      </w:r>
      <w:r w:rsidR="00991AA1">
        <w:rPr>
          <w:rFonts w:eastAsia="SimSun"/>
          <w:lang w:eastAsia="zh-CN"/>
        </w:rPr>
        <w:t>шарами-зондами</w:t>
      </w:r>
      <w:r w:rsidRPr="004069D8">
        <w:rPr>
          <w:rFonts w:eastAsia="BatangChe"/>
        </w:rPr>
        <w:t>;</w:t>
      </w:r>
    </w:p>
    <w:p w14:paraId="53A19D75" w14:textId="46F9FA20" w:rsidR="0096442B" w:rsidRPr="004069D8" w:rsidRDefault="00A45920" w:rsidP="00914B96">
      <w:r w:rsidRPr="004069D8">
        <w:rPr>
          <w:i/>
          <w:iCs/>
        </w:rPr>
        <w:t>b)</w:t>
      </w:r>
      <w:r w:rsidRPr="004069D8">
        <w:rPr>
          <w:i/>
          <w:iCs/>
        </w:rPr>
        <w:tab/>
      </w:r>
      <w:r w:rsidRPr="004069D8">
        <w:t>что суборбитальные аппараты</w:t>
      </w:r>
      <w:r w:rsidR="00657E45">
        <w:t xml:space="preserve"> будут осуществлять</w:t>
      </w:r>
      <w:r w:rsidRPr="004069D8">
        <w:t xml:space="preserve"> полеты в нижних слоях атмосферы, где некоторые из них могут работать в том же воздушном пространстве, что и обычные воздушные суда;</w:t>
      </w:r>
    </w:p>
    <w:p w14:paraId="7A227827" w14:textId="77777777" w:rsidR="0096442B" w:rsidRPr="004069D8" w:rsidRDefault="00A45920" w:rsidP="00914B96">
      <w:pPr>
        <w:rPr>
          <w:rFonts w:eastAsia="BatangChe"/>
        </w:rPr>
      </w:pPr>
      <w:r w:rsidRPr="004069D8">
        <w:rPr>
          <w:i/>
          <w:iCs/>
        </w:rPr>
        <w:t>c)</w:t>
      </w:r>
      <w:r w:rsidRPr="004069D8">
        <w:rPr>
          <w:i/>
        </w:rPr>
        <w:tab/>
      </w:r>
      <w:r w:rsidRPr="004069D8">
        <w:t>что суборбитальные аппараты могут осуществлять полеты различных типов, например, для проведения научных исследований или предоставления услуг перевозки</w:t>
      </w:r>
      <w:r w:rsidRPr="004069D8">
        <w:rPr>
          <w:rFonts w:eastAsia="BatangChe"/>
        </w:rPr>
        <w:t>;</w:t>
      </w:r>
    </w:p>
    <w:p w14:paraId="17686A87" w14:textId="77777777" w:rsidR="0096442B" w:rsidRPr="004069D8" w:rsidRDefault="00A45920" w:rsidP="00914B96">
      <w:pPr>
        <w:rPr>
          <w:rFonts w:eastAsia="BatangChe"/>
        </w:rPr>
      </w:pPr>
      <w:r w:rsidRPr="004069D8">
        <w:rPr>
          <w:i/>
        </w:rPr>
        <w:t>d</w:t>
      </w:r>
      <w:r w:rsidRPr="004069D8">
        <w:rPr>
          <w:i/>
          <w:iCs/>
        </w:rPr>
        <w:t>)</w:t>
      </w:r>
      <w:r w:rsidRPr="004069D8">
        <w:tab/>
        <w:t>что станции на борту суборбитальных аппаратов предназначены для обеспечения всех или некоторых из следующих применений: голосовая связь/передача данных, навигация, наблюдение, а также телеметрия, слежение и управлени</w:t>
      </w:r>
      <w:r w:rsidRPr="004069D8">
        <w:rPr>
          <w:rFonts w:eastAsia="MS PMincho"/>
          <w:lang w:eastAsia="ja-JP"/>
        </w:rPr>
        <w:t>е (TT&amp;C)</w:t>
      </w:r>
      <w:r w:rsidRPr="004069D8">
        <w:rPr>
          <w:rFonts w:eastAsia="BatangChe"/>
        </w:rPr>
        <w:t>;</w:t>
      </w:r>
    </w:p>
    <w:p w14:paraId="1BCB8859" w14:textId="51A26B76" w:rsidR="0096442B" w:rsidRPr="004069D8" w:rsidRDefault="00A45920" w:rsidP="00914B96">
      <w:r w:rsidRPr="004069D8">
        <w:rPr>
          <w:i/>
        </w:rPr>
        <w:t>e)</w:t>
      </w:r>
      <w:r w:rsidRPr="004069D8">
        <w:tab/>
        <w:t>что суборбитальные аппараты</w:t>
      </w:r>
      <w:r w:rsidR="004069D8" w:rsidRPr="004069D8">
        <w:t xml:space="preserve">, </w:t>
      </w:r>
      <w:r w:rsidR="00657E45">
        <w:t xml:space="preserve">осуществляя полеты в </w:t>
      </w:r>
      <w:r w:rsidR="004069D8" w:rsidRPr="004069D8">
        <w:t xml:space="preserve">нижних слоях атмосферы, </w:t>
      </w:r>
      <w:r w:rsidRPr="004069D8">
        <w:t>должны безопасным образом быть интегрированы в воздушное пространство, используемое обычными воздушными судами;</w:t>
      </w:r>
    </w:p>
    <w:p w14:paraId="6A3A86DC" w14:textId="4B62D1E5" w:rsidR="0096442B" w:rsidRPr="004069D8" w:rsidRDefault="00A45920" w:rsidP="00914B96">
      <w:r w:rsidRPr="004069D8">
        <w:rPr>
          <w:i/>
          <w:iCs/>
        </w:rPr>
        <w:t>f)</w:t>
      </w:r>
      <w:r w:rsidRPr="004069D8">
        <w:tab/>
        <w:t>что некоторые станции на борту суборбитальных аппаратов, возможно, должны обеспечивать связь с системами организации</w:t>
      </w:r>
      <w:r w:rsidRPr="004069D8" w:rsidDel="00AF7EFF">
        <w:t xml:space="preserve"> </w:t>
      </w:r>
      <w:r w:rsidRPr="004069D8">
        <w:t>воздушного движения и</w:t>
      </w:r>
      <w:r w:rsidR="00657E45">
        <w:t>/или</w:t>
      </w:r>
      <w:r w:rsidRPr="004069D8">
        <w:t xml:space="preserve"> соответствующими средствами управления наземным движением;</w:t>
      </w:r>
    </w:p>
    <w:p w14:paraId="62549F87" w14:textId="77777777" w:rsidR="0096442B" w:rsidRPr="004069D8" w:rsidRDefault="00A45920" w:rsidP="00914B96">
      <w:r w:rsidRPr="004069D8">
        <w:rPr>
          <w:i/>
          <w:iCs/>
        </w:rPr>
        <w:t>g)</w:t>
      </w:r>
      <w:r w:rsidRPr="004069D8">
        <w:tab/>
        <w:t>что некоторые системы или компоненты ракет-носителей для выведения спутников на орбиту могут рассматриваться как суборбитальные аппараты;</w:t>
      </w:r>
    </w:p>
    <w:p w14:paraId="6378F6AD" w14:textId="291B26F1" w:rsidR="0096442B" w:rsidRPr="004069D8" w:rsidRDefault="00A45920" w:rsidP="00914B96">
      <w:r w:rsidRPr="004069D8">
        <w:rPr>
          <w:i/>
          <w:iCs/>
        </w:rPr>
        <w:t>h)</w:t>
      </w:r>
      <w:r w:rsidRPr="004069D8">
        <w:tab/>
        <w:t>что станции на борту ракетных систем запуска спутников или ракетных систем запуска в дальний космос могут использоваться в рамках службы космической эксплуатации без необходимости применения положений, содержащихся в настоящей Резолюции;</w:t>
      </w:r>
    </w:p>
    <w:p w14:paraId="329C359F" w14:textId="77777777" w:rsidR="0096442B" w:rsidRPr="004069D8" w:rsidRDefault="00A45920" w:rsidP="00914B96">
      <w:r w:rsidRPr="004069D8">
        <w:rPr>
          <w:i/>
          <w:iCs/>
        </w:rPr>
        <w:t>i)</w:t>
      </w:r>
      <w:r w:rsidRPr="004069D8">
        <w:tab/>
        <w:t>что суборбитальные аппараты, двигаясь с очень высокой скоростью, могут создавать плазменную оболочку, охватывающую весь аппарат или его бóльшую часть, что может влиять на связь</w:t>
      </w:r>
      <w:r w:rsidR="007B5EEE" w:rsidRPr="004069D8">
        <w:t>,</w:t>
      </w:r>
    </w:p>
    <w:p w14:paraId="2DC1E862" w14:textId="77777777" w:rsidR="0096442B" w:rsidRPr="004069D8" w:rsidRDefault="00A45920" w:rsidP="00914B96">
      <w:pPr>
        <w:pStyle w:val="Call"/>
      </w:pPr>
      <w:r w:rsidRPr="004069D8">
        <w:t>отмечая</w:t>
      </w:r>
      <w:r w:rsidRPr="004069D8">
        <w:rPr>
          <w:i w:val="0"/>
          <w:iCs/>
        </w:rPr>
        <w:t>,</w:t>
      </w:r>
    </w:p>
    <w:p w14:paraId="02FCC65B" w14:textId="23F3F1C2" w:rsidR="0096442B" w:rsidRPr="004069D8" w:rsidRDefault="00A45920" w:rsidP="00914B96">
      <w:pPr>
        <w:rPr>
          <w:rFonts w:eastAsia="BatangChe"/>
        </w:rPr>
      </w:pPr>
      <w:r w:rsidRPr="004069D8">
        <w:rPr>
          <w:i/>
          <w:iCs/>
        </w:rPr>
        <w:t>a)</w:t>
      </w:r>
      <w:r w:rsidRPr="004069D8">
        <w:tab/>
        <w:t>что МСЭ</w:t>
      </w:r>
      <w:r w:rsidR="00F40FBD">
        <w:noBreakHyphen/>
      </w:r>
      <w:r w:rsidRPr="004069D8">
        <w:t xml:space="preserve">R </w:t>
      </w:r>
      <w:r w:rsidR="00991AA1">
        <w:t xml:space="preserve">подготовил </w:t>
      </w:r>
      <w:r w:rsidR="00657E45">
        <w:t xml:space="preserve">Отчет </w:t>
      </w:r>
      <w:r w:rsidR="00FE45D6" w:rsidRPr="004069D8">
        <w:t>МСЭ</w:t>
      </w:r>
      <w:r w:rsidR="00F40FBD">
        <w:noBreakHyphen/>
      </w:r>
      <w:r w:rsidR="00FE45D6" w:rsidRPr="004069D8">
        <w:t xml:space="preserve">R </w:t>
      </w:r>
      <w:r w:rsidRPr="004069D8">
        <w:t>M.2477 о радиосвязи</w:t>
      </w:r>
      <w:r w:rsidR="00657E45">
        <w:t>, осуществляемой суборбитальными аппаратами</w:t>
      </w:r>
      <w:r w:rsidRPr="004069D8">
        <w:t>;</w:t>
      </w:r>
    </w:p>
    <w:p w14:paraId="365240DD" w14:textId="12212700" w:rsidR="0096442B" w:rsidRPr="004069D8" w:rsidRDefault="00A45920" w:rsidP="00914B96">
      <w:r w:rsidRPr="004069D8">
        <w:rPr>
          <w:i/>
          <w:iCs/>
        </w:rPr>
        <w:t>b)</w:t>
      </w:r>
      <w:r w:rsidRPr="004069D8">
        <w:rPr>
          <w:i/>
          <w:iCs/>
        </w:rPr>
        <w:tab/>
      </w:r>
      <w:r w:rsidRPr="004069D8">
        <w:t>что в отношении некоторых операций суборбитальных аппаратов могут применяться положения</w:t>
      </w:r>
      <w:r w:rsidR="00F40FBD">
        <w:t xml:space="preserve"> </w:t>
      </w:r>
      <w:r w:rsidRPr="004069D8">
        <w:t>п. </w:t>
      </w:r>
      <w:r w:rsidRPr="004069D8">
        <w:rPr>
          <w:b/>
          <w:bCs/>
        </w:rPr>
        <w:t>4.10</w:t>
      </w:r>
      <w:r w:rsidRPr="004069D8">
        <w:t>;</w:t>
      </w:r>
    </w:p>
    <w:p w14:paraId="0C8F33C9" w14:textId="77777777" w:rsidR="0096442B" w:rsidRPr="004069D8" w:rsidRDefault="00A45920" w:rsidP="00914B96">
      <w:pPr>
        <w:rPr>
          <w:i/>
          <w:szCs w:val="24"/>
        </w:rPr>
      </w:pPr>
      <w:r w:rsidRPr="004069D8">
        <w:rPr>
          <w:i/>
          <w:iCs/>
        </w:rPr>
        <w:t>c)</w:t>
      </w:r>
      <w:r w:rsidRPr="004069D8">
        <w:tab/>
        <w:t>что ответственность за условия сосуществования воздушных систем, стандартизованных Международной организацией гражданской авиации (ИКАО), лежит на ИКАО;</w:t>
      </w:r>
    </w:p>
    <w:p w14:paraId="6CC253CC" w14:textId="1D299DEC" w:rsidR="0096442B" w:rsidRPr="004069D8" w:rsidRDefault="00A45920" w:rsidP="00914B96">
      <w:r w:rsidRPr="004069D8">
        <w:rPr>
          <w:i/>
          <w:iCs/>
        </w:rPr>
        <w:lastRenderedPageBreak/>
        <w:t>d)</w:t>
      </w:r>
      <w:r w:rsidRPr="004069D8">
        <w:tab/>
        <w:t xml:space="preserve">что </w:t>
      </w:r>
      <w:r w:rsidR="00657E45">
        <w:t xml:space="preserve">при необходимости </w:t>
      </w:r>
      <w:r w:rsidRPr="004069D8">
        <w:t>ИКАО разрабатывает стандарты и рекомендуемую практику (SARP</w:t>
      </w:r>
      <w:r w:rsidR="00991AA1">
        <w:rPr>
          <w:lang w:val="en-US"/>
        </w:rPr>
        <w:t>S</w:t>
      </w:r>
      <w:r w:rsidRPr="004069D8">
        <w:t>) для решения проблемы сосуществования авиационных применений ИКАО;</w:t>
      </w:r>
    </w:p>
    <w:p w14:paraId="7615B8A2" w14:textId="79A0F0B6" w:rsidR="0096442B" w:rsidRPr="004069D8" w:rsidRDefault="00A45920" w:rsidP="00914B96">
      <w:pPr>
        <w:rPr>
          <w:i/>
          <w:iCs/>
        </w:rPr>
      </w:pPr>
      <w:r w:rsidRPr="004069D8">
        <w:rPr>
          <w:i/>
          <w:iCs/>
        </w:rPr>
        <w:t>e)</w:t>
      </w:r>
      <w:r w:rsidRPr="004069D8">
        <w:rPr>
          <w:i/>
          <w:iCs/>
        </w:rPr>
        <w:tab/>
      </w:r>
      <w:r w:rsidR="004069D8" w:rsidRPr="004069D8">
        <w:t>что Конвенция о международной ответственности за ущерб, причиненный космическими объектами (1972</w:t>
      </w:r>
      <w:r w:rsidR="009B5EC3">
        <w:rPr>
          <w:lang w:val="en-US"/>
        </w:rPr>
        <w:t> </w:t>
      </w:r>
      <w:r w:rsidR="004069D8" w:rsidRPr="004069D8">
        <w:t>г.), может применяться к суборбитальным аппаратам</w:t>
      </w:r>
      <w:r w:rsidRPr="004069D8">
        <w:t>,</w:t>
      </w:r>
    </w:p>
    <w:p w14:paraId="3A59250C" w14:textId="77777777" w:rsidR="0096442B" w:rsidRPr="004069D8" w:rsidRDefault="00A45920" w:rsidP="00914B96">
      <w:pPr>
        <w:pStyle w:val="Call"/>
        <w:rPr>
          <w:rFonts w:eastAsia="MS Mincho"/>
          <w:lang w:eastAsia="nl-NL"/>
        </w:rPr>
      </w:pPr>
      <w:r w:rsidRPr="004069D8">
        <w:rPr>
          <w:rFonts w:eastAsia="MS Mincho"/>
          <w:lang w:eastAsia="nl-NL"/>
        </w:rPr>
        <w:t>признавая</w:t>
      </w:r>
      <w:r w:rsidRPr="004069D8">
        <w:rPr>
          <w:rFonts w:eastAsia="MS Mincho"/>
          <w:i w:val="0"/>
          <w:iCs/>
          <w:lang w:eastAsia="nl-NL"/>
        </w:rPr>
        <w:t>,</w:t>
      </w:r>
    </w:p>
    <w:p w14:paraId="08EF237E" w14:textId="77777777" w:rsidR="0096442B" w:rsidRPr="004069D8" w:rsidRDefault="00A45920" w:rsidP="00914B96">
      <w:pPr>
        <w:rPr>
          <w:rFonts w:eastAsia="BatangChe"/>
        </w:rPr>
      </w:pPr>
      <w:r w:rsidRPr="004069D8">
        <w:rPr>
          <w:i/>
          <w:iCs/>
        </w:rPr>
        <w:t>a)</w:t>
      </w:r>
      <w:r w:rsidRPr="004069D8">
        <w:tab/>
      </w:r>
      <w:r w:rsidRPr="004069D8">
        <w:rPr>
          <w:rFonts w:eastAsia="BatangChe"/>
        </w:rPr>
        <w:t>что не существует согласованного на международном уровне юридического разграничения между атмосферой Земли и космосом, равно как и между суверенным воздушным пространством и космическим пространством;</w:t>
      </w:r>
    </w:p>
    <w:p w14:paraId="59313BFD" w14:textId="6443C622" w:rsidR="0096442B" w:rsidRPr="004069D8" w:rsidRDefault="00A45920" w:rsidP="00914B96">
      <w:r w:rsidRPr="004069D8">
        <w:rPr>
          <w:i/>
          <w:iCs/>
        </w:rPr>
        <w:t>b)</w:t>
      </w:r>
      <w:r w:rsidRPr="004069D8">
        <w:tab/>
        <w:t>что в Приложении 10 к Конвенции о международной гражданской авиации содержатся SARP</w:t>
      </w:r>
      <w:r w:rsidR="00991AA1">
        <w:rPr>
          <w:lang w:val="en-US"/>
        </w:rPr>
        <w:t>S</w:t>
      </w:r>
      <w:r w:rsidRPr="004069D8">
        <w:t xml:space="preserve"> для систем воздушной радионавигации и радиосвязи, используемых в международной гражданской авиации;</w:t>
      </w:r>
    </w:p>
    <w:p w14:paraId="50D740FC" w14:textId="77777777" w:rsidR="0096442B" w:rsidRPr="004069D8" w:rsidRDefault="00A45920" w:rsidP="00914B96">
      <w:r w:rsidRPr="004069D8">
        <w:rPr>
          <w:i/>
          <w:iCs/>
        </w:rPr>
        <w:t>c)</w:t>
      </w:r>
      <w:r w:rsidRPr="004069D8">
        <w:tab/>
        <w:t>что из-за увеличения доплеровского смещения передачи станций, размещенных на борту суборбитального аппарата, могут оказывать воздействие на службы, работающие в той же полосе частот, а также в соседних или близлежащих полосах частот;</w:t>
      </w:r>
    </w:p>
    <w:p w14:paraId="6CE4E8D9" w14:textId="77777777" w:rsidR="0096442B" w:rsidRPr="004069D8" w:rsidRDefault="00A45920" w:rsidP="00914B96">
      <w:r w:rsidRPr="004069D8">
        <w:rPr>
          <w:i/>
          <w:iCs/>
        </w:rPr>
        <w:t>d)</w:t>
      </w:r>
      <w:r w:rsidRPr="004069D8">
        <w:tab/>
        <w:t>что из-за большей высоты полета суборбитальных аппаратов по сравнению с обычными воздушными судами передачи станций на борту суборбитального аппарата могут оказывать воздействие на радиосвязь на больших площадях, включающие дополнительные территории, и/или на космические станции,</w:t>
      </w:r>
    </w:p>
    <w:p w14:paraId="24C5BCDA" w14:textId="77777777" w:rsidR="0096442B" w:rsidRPr="004069D8" w:rsidRDefault="00A45920" w:rsidP="00914B96">
      <w:pPr>
        <w:pStyle w:val="Call"/>
      </w:pPr>
      <w:r w:rsidRPr="004069D8">
        <w:t>решает</w:t>
      </w:r>
      <w:r w:rsidRPr="004069D8">
        <w:rPr>
          <w:i w:val="0"/>
          <w:iCs/>
        </w:rPr>
        <w:t>,</w:t>
      </w:r>
    </w:p>
    <w:p w14:paraId="50EABFF3" w14:textId="021C644A" w:rsidR="0096442B" w:rsidRPr="004069D8" w:rsidRDefault="00A45920" w:rsidP="00914B96">
      <w:pPr>
        <w:rPr>
          <w:rFonts w:eastAsia="SimSun"/>
          <w:lang w:eastAsia="zh-CN"/>
        </w:rPr>
      </w:pPr>
      <w:r w:rsidRPr="004069D8">
        <w:rPr>
          <w:rFonts w:eastAsia="SimSun"/>
          <w:lang w:eastAsia="zh-CN"/>
        </w:rPr>
        <w:t>1</w:t>
      </w:r>
      <w:r w:rsidRPr="004069D8">
        <w:rPr>
          <w:rFonts w:eastAsia="SimSun"/>
          <w:lang w:eastAsia="zh-CN"/>
        </w:rPr>
        <w:tab/>
      </w:r>
      <w:r w:rsidR="004069D8" w:rsidRPr="004069D8">
        <w:rPr>
          <w:rFonts w:eastAsia="SimSun"/>
          <w:lang w:eastAsia="zh-CN"/>
        </w:rPr>
        <w:t xml:space="preserve">что для целей настоящей резолюции суборбитальный аппарат не должен обладать способностью становиться спутником </w:t>
      </w:r>
      <w:r w:rsidRPr="004069D8">
        <w:rPr>
          <w:rFonts w:eastAsia="SimSun"/>
          <w:lang w:eastAsia="zh-CN"/>
        </w:rPr>
        <w:t>(см.</w:t>
      </w:r>
      <w:r w:rsidR="00F40FBD">
        <w:rPr>
          <w:rFonts w:eastAsia="SimSun"/>
          <w:lang w:eastAsia="zh-CN"/>
        </w:rPr>
        <w:t> </w:t>
      </w:r>
      <w:r w:rsidRPr="004069D8">
        <w:rPr>
          <w:rFonts w:eastAsia="SimSun"/>
          <w:lang w:eastAsia="zh-CN"/>
        </w:rPr>
        <w:t>п.</w:t>
      </w:r>
      <w:r w:rsidR="00F40FBD">
        <w:rPr>
          <w:rFonts w:eastAsia="SimSun"/>
          <w:lang w:eastAsia="zh-CN"/>
        </w:rPr>
        <w:t> </w:t>
      </w:r>
      <w:r w:rsidRPr="004069D8">
        <w:rPr>
          <w:rFonts w:eastAsia="SimSun"/>
          <w:b/>
          <w:bCs/>
          <w:lang w:eastAsia="zh-CN"/>
        </w:rPr>
        <w:t>1.179</w:t>
      </w:r>
      <w:r w:rsidRPr="004069D8">
        <w:rPr>
          <w:rFonts w:eastAsia="SimSun"/>
          <w:lang w:eastAsia="zh-CN"/>
        </w:rPr>
        <w:t>);</w:t>
      </w:r>
    </w:p>
    <w:p w14:paraId="58D2B56D" w14:textId="6543E500" w:rsidR="009F2623" w:rsidRPr="004069D8" w:rsidRDefault="009F2623" w:rsidP="00914B96">
      <w:pPr>
        <w:rPr>
          <w:rFonts w:eastAsia="SimSun"/>
          <w:lang w:eastAsia="zh-CN"/>
        </w:rPr>
      </w:pPr>
      <w:r w:rsidRPr="004069D8">
        <w:rPr>
          <w:rFonts w:eastAsia="SimSun"/>
          <w:lang w:eastAsia="zh-CN"/>
        </w:rPr>
        <w:t>2</w:t>
      </w:r>
      <w:r w:rsidRPr="004069D8">
        <w:rPr>
          <w:rFonts w:eastAsia="SimSun"/>
          <w:lang w:eastAsia="zh-CN"/>
        </w:rPr>
        <w:tab/>
      </w:r>
      <w:r w:rsidR="004069D8" w:rsidRPr="004069D8">
        <w:rPr>
          <w:rFonts w:eastAsia="SimSun"/>
          <w:lang w:eastAsia="zh-CN"/>
        </w:rPr>
        <w:t xml:space="preserve">что наземная станция или земная станция, используемая на борту суборбитального </w:t>
      </w:r>
      <w:r w:rsidR="004069D8">
        <w:rPr>
          <w:rFonts w:eastAsia="SimSun"/>
          <w:lang w:eastAsia="zh-CN"/>
        </w:rPr>
        <w:t>аппарата</w:t>
      </w:r>
      <w:r w:rsidR="004069D8" w:rsidRPr="004069D8">
        <w:rPr>
          <w:rFonts w:eastAsia="SimSun"/>
          <w:lang w:eastAsia="zh-CN"/>
        </w:rPr>
        <w:t xml:space="preserve">, когда эта станция эксплуатируется на высотах, превышающих те, которые используются обычными воздушными судами и </w:t>
      </w:r>
      <w:r w:rsidR="004069D8">
        <w:rPr>
          <w:rFonts w:eastAsia="SimSun"/>
          <w:lang w:eastAsia="zh-CN"/>
        </w:rPr>
        <w:t>шарами-зондами</w:t>
      </w:r>
      <w:r w:rsidR="004069D8" w:rsidRPr="004069D8">
        <w:rPr>
          <w:rFonts w:eastAsia="SimSun"/>
          <w:lang w:eastAsia="zh-CN"/>
        </w:rPr>
        <w:t xml:space="preserve">, считается работающей в рамках той же службы, к которой относится эта станция, когда она используется на обычных воздушных судах, только в том случае, если </w:t>
      </w:r>
      <w:r w:rsidR="00243D7F">
        <w:rPr>
          <w:rFonts w:eastAsia="SimSun"/>
          <w:lang w:eastAsia="zh-CN"/>
        </w:rPr>
        <w:t>выполняется одно из следующих условий</w:t>
      </w:r>
      <w:r w:rsidRPr="004069D8">
        <w:rPr>
          <w:rFonts w:eastAsia="SimSun"/>
          <w:lang w:eastAsia="zh-CN"/>
        </w:rPr>
        <w:t>:</w:t>
      </w:r>
    </w:p>
    <w:p w14:paraId="268702DF" w14:textId="5E71E637" w:rsidR="0096442B" w:rsidRPr="009B5EC3" w:rsidRDefault="00A45920" w:rsidP="00914B96">
      <w:pPr>
        <w:rPr>
          <w:rFonts w:eastAsia="SimSun"/>
          <w:lang w:eastAsia="zh-CN"/>
        </w:rPr>
      </w:pPr>
      <w:r w:rsidRPr="004069D8">
        <w:rPr>
          <w:rFonts w:eastAsia="SimSun"/>
          <w:lang w:eastAsia="zh-CN"/>
        </w:rPr>
        <w:t>2</w:t>
      </w:r>
      <w:r w:rsidR="009F2623" w:rsidRPr="004069D8">
        <w:rPr>
          <w:rFonts w:eastAsia="SimSun"/>
          <w:lang w:eastAsia="zh-CN"/>
        </w:rPr>
        <w:t>.1</w:t>
      </w:r>
      <w:r w:rsidRPr="004069D8">
        <w:rPr>
          <w:rFonts w:eastAsia="SimSun"/>
          <w:lang w:eastAsia="zh-CN"/>
        </w:rPr>
        <w:tab/>
        <w:t>что</w:t>
      </w:r>
      <w:r w:rsidR="00FE45D6">
        <w:rPr>
          <w:rFonts w:eastAsia="SimSun"/>
          <w:lang w:eastAsia="zh-CN"/>
        </w:rPr>
        <w:t xml:space="preserve"> </w:t>
      </w:r>
      <w:r w:rsidRPr="004069D8">
        <w:rPr>
          <w:rFonts w:eastAsia="SimSun"/>
          <w:lang w:eastAsia="zh-CN"/>
        </w:rPr>
        <w:t xml:space="preserve">на борту суборбитального аппарата </w:t>
      </w:r>
      <w:r w:rsidR="00FE45D6">
        <w:rPr>
          <w:rFonts w:eastAsia="SimSun"/>
          <w:lang w:eastAsia="zh-CN"/>
        </w:rPr>
        <w:t xml:space="preserve">требуется </w:t>
      </w:r>
      <w:r w:rsidR="00FE45D6" w:rsidRPr="004069D8">
        <w:rPr>
          <w:rFonts w:eastAsia="SimSun"/>
          <w:lang w:eastAsia="zh-CN"/>
        </w:rPr>
        <w:t>наземн</w:t>
      </w:r>
      <w:r w:rsidR="00FE45D6">
        <w:rPr>
          <w:rFonts w:eastAsia="SimSun"/>
          <w:lang w:eastAsia="zh-CN"/>
        </w:rPr>
        <w:t>ая станция</w:t>
      </w:r>
      <w:r w:rsidR="00FE45D6" w:rsidRPr="004069D8">
        <w:rPr>
          <w:rFonts w:eastAsia="SimSun"/>
          <w:lang w:eastAsia="zh-CN"/>
        </w:rPr>
        <w:t xml:space="preserve"> </w:t>
      </w:r>
      <w:r w:rsidRPr="004069D8">
        <w:rPr>
          <w:rFonts w:eastAsia="SimSun"/>
          <w:lang w:eastAsia="zh-CN"/>
        </w:rPr>
        <w:t>для</w:t>
      </w:r>
      <w:r w:rsidR="00657E45">
        <w:rPr>
          <w:rFonts w:eastAsia="SimSun"/>
          <w:lang w:eastAsia="zh-CN"/>
        </w:rPr>
        <w:t xml:space="preserve"> </w:t>
      </w:r>
      <w:r w:rsidR="00FE45D6">
        <w:rPr>
          <w:rFonts w:eastAsia="SimSun"/>
          <w:lang w:eastAsia="zh-CN"/>
        </w:rPr>
        <w:t>его</w:t>
      </w:r>
      <w:r w:rsidRPr="004069D8">
        <w:rPr>
          <w:rFonts w:eastAsia="SimSun"/>
          <w:lang w:eastAsia="zh-CN"/>
        </w:rPr>
        <w:t xml:space="preserve"> безопасного размещения или интеграции в структуре воздушного пространства с обслуживаемым воздушным движением в соответствии с решением авиационной администрации Государства-Члена (Государств-Членов)</w:t>
      </w:r>
      <w:r w:rsidRPr="004069D8">
        <w:rPr>
          <w:rStyle w:val="FootnoteReference"/>
          <w:rFonts w:eastAsia="SimSun"/>
          <w:lang w:eastAsia="zh-CN"/>
        </w:rPr>
        <w:footnoteReference w:customMarkFollows="1" w:id="1"/>
        <w:t>1</w:t>
      </w:r>
      <w:r w:rsidR="009B5EC3">
        <w:rPr>
          <w:rFonts w:eastAsia="SimSun"/>
          <w:lang w:eastAsia="zh-CN"/>
        </w:rPr>
        <w:t>;</w:t>
      </w:r>
    </w:p>
    <w:p w14:paraId="2485EA8C" w14:textId="6644C830" w:rsidR="009F2623" w:rsidRPr="004069D8" w:rsidRDefault="00DA42FC" w:rsidP="00914B96">
      <w:pPr>
        <w:rPr>
          <w:i/>
          <w:lang w:eastAsia="nl-NL"/>
        </w:rPr>
      </w:pPr>
      <w:r w:rsidRPr="004069D8">
        <w:rPr>
          <w:rFonts w:eastAsia="SimSun"/>
          <w:lang w:eastAsia="zh-CN"/>
        </w:rPr>
        <w:t>2.2</w:t>
      </w:r>
      <w:r w:rsidRPr="004069D8">
        <w:rPr>
          <w:rFonts w:eastAsia="SimSun"/>
          <w:lang w:eastAsia="zh-CN"/>
        </w:rPr>
        <w:tab/>
      </w:r>
      <w:r w:rsidR="00D6216A">
        <w:rPr>
          <w:rFonts w:eastAsia="SimSun"/>
          <w:lang w:eastAsia="zh-CN"/>
        </w:rPr>
        <w:t xml:space="preserve">подвижная </w:t>
      </w:r>
      <w:r w:rsidR="00D6216A" w:rsidRPr="00D6216A">
        <w:rPr>
          <w:rFonts w:eastAsia="SimSun"/>
          <w:lang w:eastAsia="zh-CN"/>
        </w:rPr>
        <w:t>земная станция, используемая на суборбитальном аппарате, связана либо с системой</w:t>
      </w:r>
      <w:r w:rsidR="00D6216A">
        <w:rPr>
          <w:rFonts w:eastAsia="SimSun"/>
          <w:lang w:eastAsia="zh-CN"/>
        </w:rPr>
        <w:t xml:space="preserve"> НГСО</w:t>
      </w:r>
      <w:r w:rsidR="00D6216A" w:rsidRPr="00D6216A">
        <w:rPr>
          <w:rFonts w:eastAsia="SimSun"/>
          <w:lang w:eastAsia="zh-CN"/>
        </w:rPr>
        <w:t xml:space="preserve">, либо с сетью </w:t>
      </w:r>
      <w:r w:rsidR="00D6216A">
        <w:rPr>
          <w:rFonts w:eastAsia="SimSun"/>
          <w:lang w:eastAsia="zh-CN"/>
        </w:rPr>
        <w:t>ГСО</w:t>
      </w:r>
      <w:r w:rsidR="00D6216A" w:rsidRPr="00D6216A">
        <w:rPr>
          <w:rFonts w:eastAsia="SimSun"/>
          <w:lang w:eastAsia="zh-CN"/>
        </w:rPr>
        <w:t xml:space="preserve">, работающей в </w:t>
      </w:r>
      <w:r w:rsidR="00D6216A">
        <w:rPr>
          <w:rFonts w:eastAsia="SimSun"/>
          <w:lang w:eastAsia="zh-CN"/>
        </w:rPr>
        <w:t xml:space="preserve">подвижной </w:t>
      </w:r>
      <w:r w:rsidR="00D6216A" w:rsidRPr="00D6216A">
        <w:rPr>
          <w:rFonts w:eastAsia="SimSun"/>
          <w:lang w:eastAsia="zh-CN"/>
        </w:rPr>
        <w:t xml:space="preserve">спутниковой службе, имеющей соответствующее соглашение о координации с </w:t>
      </w:r>
      <w:r w:rsidR="00D6216A">
        <w:rPr>
          <w:rFonts w:eastAsia="SimSun"/>
          <w:lang w:eastAsia="zh-CN"/>
        </w:rPr>
        <w:t xml:space="preserve">затронутыми </w:t>
      </w:r>
      <w:r w:rsidR="00D6216A" w:rsidRPr="00D6216A">
        <w:rPr>
          <w:rFonts w:eastAsia="SimSun"/>
          <w:lang w:eastAsia="zh-CN"/>
        </w:rPr>
        <w:t xml:space="preserve">администрациями, и эксплуатируется таким образом, чтобы оставаться в рамках этого соглашения о координации, принимая во внимание </w:t>
      </w:r>
      <w:r w:rsidR="00D6216A">
        <w:rPr>
          <w:rFonts w:eastAsia="SimSun"/>
          <w:lang w:eastAsia="zh-CN"/>
        </w:rPr>
        <w:t>пункты</w:t>
      </w:r>
      <w:r w:rsidR="009B5EC3">
        <w:rPr>
          <w:rFonts w:eastAsia="SimSun"/>
          <w:lang w:eastAsia="zh-CN"/>
        </w:rPr>
        <w:t> </w:t>
      </w:r>
      <w:r w:rsidR="00D6216A" w:rsidRPr="004069D8">
        <w:rPr>
          <w:i/>
          <w:lang w:eastAsia="nl-NL"/>
        </w:rPr>
        <w:t>c)</w:t>
      </w:r>
      <w:r w:rsidR="00D6216A" w:rsidRPr="004069D8">
        <w:rPr>
          <w:lang w:eastAsia="nl-NL"/>
        </w:rPr>
        <w:t xml:space="preserve"> и </w:t>
      </w:r>
      <w:r w:rsidR="00D6216A" w:rsidRPr="004069D8">
        <w:rPr>
          <w:i/>
          <w:iCs/>
          <w:lang w:eastAsia="nl-NL"/>
        </w:rPr>
        <w:t>d</w:t>
      </w:r>
      <w:r w:rsidR="00D6216A" w:rsidRPr="004069D8">
        <w:rPr>
          <w:i/>
          <w:lang w:eastAsia="nl-NL"/>
        </w:rPr>
        <w:t>)</w:t>
      </w:r>
      <w:r w:rsidR="00D6216A">
        <w:rPr>
          <w:rFonts w:eastAsia="SimSun"/>
          <w:lang w:eastAsia="zh-CN"/>
        </w:rPr>
        <w:t xml:space="preserve"> раздела </w:t>
      </w:r>
      <w:r w:rsidR="00A45920" w:rsidRPr="004069D8">
        <w:rPr>
          <w:i/>
          <w:lang w:eastAsia="nl-NL"/>
        </w:rPr>
        <w:t>признавая</w:t>
      </w:r>
      <w:r w:rsidRPr="009B5EC3">
        <w:rPr>
          <w:lang w:eastAsia="nl-NL"/>
        </w:rPr>
        <w:t>;</w:t>
      </w:r>
    </w:p>
    <w:p w14:paraId="4083C5EA" w14:textId="621E0540" w:rsidR="00DA42FC" w:rsidRPr="004069D8" w:rsidRDefault="00DA42FC" w:rsidP="00DA42FC">
      <w:pPr>
        <w:rPr>
          <w:rFonts w:eastAsia="SimSun"/>
          <w:lang w:eastAsia="zh-CN"/>
        </w:rPr>
      </w:pPr>
      <w:r w:rsidRPr="004069D8">
        <w:rPr>
          <w:rFonts w:eastAsia="SimSun"/>
          <w:lang w:eastAsia="zh-CN"/>
        </w:rPr>
        <w:t>2.3</w:t>
      </w:r>
      <w:r w:rsidRPr="004069D8">
        <w:rPr>
          <w:rFonts w:eastAsia="SimSun"/>
          <w:lang w:eastAsia="zh-CN"/>
        </w:rPr>
        <w:tab/>
      </w:r>
      <w:r w:rsidR="00D6216A" w:rsidRPr="00D6216A">
        <w:rPr>
          <w:rFonts w:eastAsia="SimSun"/>
          <w:lang w:eastAsia="zh-CN"/>
        </w:rPr>
        <w:t>земная станция</w:t>
      </w:r>
      <w:r w:rsidR="00D6216A">
        <w:rPr>
          <w:rFonts w:eastAsia="SimSun"/>
          <w:lang w:eastAsia="zh-CN"/>
        </w:rPr>
        <w:t xml:space="preserve"> является принимающей земной станцией</w:t>
      </w:r>
      <w:r w:rsidR="00D6216A" w:rsidRPr="00D6216A">
        <w:rPr>
          <w:rFonts w:eastAsia="SimSun"/>
          <w:lang w:eastAsia="zh-CN"/>
        </w:rPr>
        <w:t>, работающ</w:t>
      </w:r>
      <w:r w:rsidR="00D6216A">
        <w:rPr>
          <w:rFonts w:eastAsia="SimSun"/>
          <w:lang w:eastAsia="zh-CN"/>
        </w:rPr>
        <w:t>ей</w:t>
      </w:r>
      <w:r w:rsidR="00D6216A" w:rsidRPr="00D6216A">
        <w:rPr>
          <w:rFonts w:eastAsia="SimSun"/>
          <w:lang w:eastAsia="zh-CN"/>
        </w:rPr>
        <w:t xml:space="preserve"> в рамках радионавигационной спутниковой или </w:t>
      </w:r>
      <w:r w:rsidR="00D6216A">
        <w:rPr>
          <w:rFonts w:eastAsia="SimSun"/>
          <w:lang w:eastAsia="zh-CN"/>
        </w:rPr>
        <w:t xml:space="preserve">воздушной </w:t>
      </w:r>
      <w:r w:rsidR="00D6216A" w:rsidRPr="00D6216A">
        <w:rPr>
          <w:rFonts w:eastAsia="SimSun"/>
          <w:lang w:eastAsia="zh-CN"/>
        </w:rPr>
        <w:t>радионавигационной спутниковой службы</w:t>
      </w:r>
      <w:r w:rsidRPr="004069D8">
        <w:rPr>
          <w:rFonts w:eastAsia="SimSun"/>
          <w:lang w:eastAsia="zh-CN"/>
        </w:rPr>
        <w:t>;</w:t>
      </w:r>
    </w:p>
    <w:p w14:paraId="1A4C7FAC" w14:textId="31AB6E6C" w:rsidR="00DA42FC" w:rsidRPr="004069D8" w:rsidRDefault="00DA42FC" w:rsidP="00DA42FC">
      <w:pPr>
        <w:rPr>
          <w:rFonts w:eastAsia="SimSun"/>
          <w:lang w:eastAsia="zh-CN"/>
        </w:rPr>
      </w:pPr>
      <w:r w:rsidRPr="004069D8">
        <w:rPr>
          <w:rFonts w:eastAsia="SimSun"/>
          <w:lang w:eastAsia="zh-CN"/>
        </w:rPr>
        <w:t>3</w:t>
      </w:r>
      <w:r w:rsidRPr="004069D8">
        <w:rPr>
          <w:rFonts w:eastAsia="SimSun"/>
          <w:lang w:eastAsia="zh-CN"/>
        </w:rPr>
        <w:tab/>
      </w:r>
      <w:r w:rsidR="00D6216A">
        <w:rPr>
          <w:rFonts w:eastAsia="SimSun"/>
          <w:lang w:eastAsia="zh-CN"/>
        </w:rPr>
        <w:t>что станции, указанные в пункте</w:t>
      </w:r>
      <w:r w:rsidR="009B5EC3">
        <w:rPr>
          <w:rFonts w:eastAsia="SimSun"/>
          <w:lang w:eastAsia="zh-CN"/>
        </w:rPr>
        <w:t> </w:t>
      </w:r>
      <w:r w:rsidR="00D6216A">
        <w:rPr>
          <w:rFonts w:eastAsia="SimSun"/>
          <w:lang w:eastAsia="zh-CN"/>
        </w:rPr>
        <w:t xml:space="preserve">2 раздела </w:t>
      </w:r>
      <w:r w:rsidR="00D6216A" w:rsidRPr="00D6216A">
        <w:rPr>
          <w:rFonts w:eastAsia="SimSun"/>
          <w:i/>
          <w:iCs/>
          <w:lang w:eastAsia="zh-CN"/>
        </w:rPr>
        <w:t>решает</w:t>
      </w:r>
      <w:r w:rsidR="00D6216A">
        <w:rPr>
          <w:rFonts w:eastAsia="SimSun"/>
          <w:lang w:eastAsia="zh-CN"/>
        </w:rPr>
        <w:t>, должны</w:t>
      </w:r>
      <w:r w:rsidRPr="004069D8">
        <w:rPr>
          <w:rFonts w:eastAsia="SimSun"/>
          <w:lang w:eastAsia="zh-CN"/>
        </w:rPr>
        <w:t>:</w:t>
      </w:r>
    </w:p>
    <w:p w14:paraId="03CA9EEA" w14:textId="35762CB7" w:rsidR="00DA42FC" w:rsidRPr="004069D8" w:rsidRDefault="00DA42FC" w:rsidP="00DA42FC">
      <w:pPr>
        <w:rPr>
          <w:rFonts w:eastAsia="SimSun"/>
          <w:lang w:eastAsia="zh-CN"/>
        </w:rPr>
      </w:pPr>
      <w:r w:rsidRPr="004069D8">
        <w:rPr>
          <w:rFonts w:eastAsia="SimSun"/>
          <w:lang w:eastAsia="zh-CN"/>
        </w:rPr>
        <w:t>3.1</w:t>
      </w:r>
      <w:r w:rsidRPr="004069D8">
        <w:rPr>
          <w:rFonts w:eastAsia="SimSun"/>
          <w:lang w:eastAsia="zh-CN"/>
        </w:rPr>
        <w:tab/>
      </w:r>
      <w:r w:rsidR="00A42888">
        <w:rPr>
          <w:rFonts w:eastAsia="SimSun"/>
          <w:lang w:eastAsia="zh-CN"/>
        </w:rPr>
        <w:t xml:space="preserve">работать в </w:t>
      </w:r>
      <w:r w:rsidR="00A42888" w:rsidRPr="00A42888">
        <w:rPr>
          <w:rFonts w:eastAsia="SimSun"/>
          <w:lang w:eastAsia="zh-CN"/>
        </w:rPr>
        <w:t>соответствии с SARP</w:t>
      </w:r>
      <w:r w:rsidR="00991AA1">
        <w:rPr>
          <w:rFonts w:eastAsia="SimSun"/>
          <w:lang w:val="en-US" w:eastAsia="zh-CN"/>
        </w:rPr>
        <w:t>S</w:t>
      </w:r>
      <w:r w:rsidR="00A42888" w:rsidRPr="00A42888">
        <w:rPr>
          <w:rFonts w:eastAsia="SimSun"/>
          <w:lang w:eastAsia="zh-CN"/>
        </w:rPr>
        <w:t xml:space="preserve"> ИКАО или другими международно признанными авиационными стандартами</w:t>
      </w:r>
      <w:r w:rsidR="00A42888">
        <w:rPr>
          <w:rFonts w:eastAsia="SimSun"/>
          <w:lang w:eastAsia="zh-CN"/>
        </w:rPr>
        <w:t xml:space="preserve"> в тех случаях, когда они </w:t>
      </w:r>
      <w:r w:rsidR="00FE45D6">
        <w:rPr>
          <w:rFonts w:eastAsia="SimSun"/>
          <w:lang w:eastAsia="zh-CN"/>
        </w:rPr>
        <w:t xml:space="preserve">существуют и </w:t>
      </w:r>
      <w:r w:rsidR="00A42888">
        <w:rPr>
          <w:rFonts w:eastAsia="SimSun"/>
          <w:lang w:eastAsia="zh-CN"/>
        </w:rPr>
        <w:t>применимы</w:t>
      </w:r>
      <w:r w:rsidRPr="004069D8">
        <w:rPr>
          <w:rFonts w:eastAsia="SimSun"/>
          <w:lang w:eastAsia="zh-CN"/>
        </w:rPr>
        <w:t>;</w:t>
      </w:r>
    </w:p>
    <w:p w14:paraId="0F3F17AE" w14:textId="4C680091" w:rsidR="00DA42FC" w:rsidRPr="004069D8" w:rsidRDefault="00DA42FC" w:rsidP="00914B96">
      <w:pPr>
        <w:rPr>
          <w:rFonts w:eastAsia="SimSun"/>
          <w:lang w:eastAsia="zh-CN"/>
        </w:rPr>
      </w:pPr>
      <w:r w:rsidRPr="004069D8">
        <w:rPr>
          <w:rFonts w:eastAsia="SimSun"/>
          <w:lang w:eastAsia="zh-CN"/>
        </w:rPr>
        <w:t>3.2</w:t>
      </w:r>
      <w:r w:rsidRPr="004069D8">
        <w:rPr>
          <w:rFonts w:eastAsia="SimSun"/>
          <w:lang w:eastAsia="zh-CN"/>
        </w:rPr>
        <w:tab/>
        <w:t>не должны затрагивать существующие и будущие применения той же службы и/или других служб радиосвязи в тех же и соседних полосах частот в большей степени, чем в случае, когда аналогичн</w:t>
      </w:r>
      <w:r w:rsidR="00603389">
        <w:rPr>
          <w:rFonts w:eastAsia="SimSun"/>
          <w:lang w:eastAsia="zh-CN"/>
        </w:rPr>
        <w:t xml:space="preserve">ая станция размещена и эксплуатируется </w:t>
      </w:r>
      <w:r w:rsidRPr="004069D8">
        <w:rPr>
          <w:rFonts w:eastAsia="SimSun"/>
          <w:lang w:eastAsia="zh-CN"/>
        </w:rPr>
        <w:t>на борту обычного воздушного судна;</w:t>
      </w:r>
    </w:p>
    <w:p w14:paraId="027C292F" w14:textId="78B50DAF" w:rsidR="00DA42FC" w:rsidRPr="004069D8" w:rsidRDefault="00DA42FC" w:rsidP="00914B96">
      <w:pPr>
        <w:rPr>
          <w:rFonts w:eastAsia="SimSun"/>
          <w:lang w:eastAsia="zh-CN"/>
        </w:rPr>
      </w:pPr>
      <w:r w:rsidRPr="004069D8">
        <w:rPr>
          <w:rFonts w:eastAsia="SimSun"/>
          <w:lang w:eastAsia="zh-CN"/>
        </w:rPr>
        <w:lastRenderedPageBreak/>
        <w:t>4</w:t>
      </w:r>
      <w:r w:rsidRPr="004069D8">
        <w:rPr>
          <w:rFonts w:eastAsia="SimSun"/>
          <w:lang w:eastAsia="zh-CN"/>
        </w:rPr>
        <w:tab/>
        <w:t>что наземные станции и земные станции на борту суборбитального аппарата, кроме тех, которые указаны в пункт</w:t>
      </w:r>
      <w:r w:rsidR="00603389">
        <w:rPr>
          <w:rFonts w:eastAsia="SimSun"/>
          <w:lang w:eastAsia="zh-CN"/>
        </w:rPr>
        <w:t>ах</w:t>
      </w:r>
      <w:r w:rsidRPr="004069D8">
        <w:rPr>
          <w:rFonts w:eastAsia="SimSun"/>
          <w:lang w:eastAsia="zh-CN"/>
        </w:rPr>
        <w:t> 2</w:t>
      </w:r>
      <w:r w:rsidR="00603389">
        <w:rPr>
          <w:rFonts w:eastAsia="SimSun"/>
          <w:lang w:eastAsia="zh-CN"/>
        </w:rPr>
        <w:t>.1</w:t>
      </w:r>
      <w:r w:rsidR="00991AA1" w:rsidRPr="009B5EC3">
        <w:rPr>
          <w:rFonts w:eastAsia="SimSun"/>
          <w:lang w:eastAsia="zh-CN"/>
        </w:rPr>
        <w:t>, 2.2</w:t>
      </w:r>
      <w:r w:rsidR="00603389">
        <w:rPr>
          <w:rFonts w:eastAsia="SimSun"/>
          <w:lang w:eastAsia="zh-CN"/>
        </w:rPr>
        <w:t xml:space="preserve"> и 2.3</w:t>
      </w:r>
      <w:r w:rsidRPr="004069D8">
        <w:rPr>
          <w:rFonts w:eastAsia="SimSun"/>
          <w:lang w:eastAsia="zh-CN"/>
        </w:rPr>
        <w:t xml:space="preserve"> раздела </w:t>
      </w:r>
      <w:r w:rsidRPr="004069D8">
        <w:rPr>
          <w:rFonts w:eastAsia="SimSun"/>
          <w:i/>
          <w:iCs/>
          <w:lang w:eastAsia="zh-CN"/>
        </w:rPr>
        <w:t>решает</w:t>
      </w:r>
      <w:r w:rsidRPr="004069D8">
        <w:rPr>
          <w:rFonts w:eastAsia="SimSun"/>
          <w:lang w:eastAsia="zh-CN"/>
        </w:rPr>
        <w:t>, не должны требовать защиты от как</w:t>
      </w:r>
      <w:r w:rsidR="00603389">
        <w:rPr>
          <w:rFonts w:eastAsia="SimSun"/>
          <w:lang w:eastAsia="zh-CN"/>
        </w:rPr>
        <w:t>ой-либо станции</w:t>
      </w:r>
      <w:r w:rsidRPr="004069D8">
        <w:rPr>
          <w:rFonts w:eastAsia="SimSun"/>
          <w:lang w:eastAsia="zh-CN"/>
        </w:rPr>
        <w:t>, работающ</w:t>
      </w:r>
      <w:r w:rsidR="00603389">
        <w:rPr>
          <w:rFonts w:eastAsia="SimSun"/>
          <w:lang w:eastAsia="zh-CN"/>
        </w:rPr>
        <w:t xml:space="preserve">ей </w:t>
      </w:r>
      <w:r w:rsidRPr="004069D8">
        <w:rPr>
          <w:rFonts w:eastAsia="SimSun"/>
          <w:lang w:eastAsia="zh-CN"/>
        </w:rPr>
        <w:t xml:space="preserve">в той же полосе частот или соседних полосах частот, и создавать вредные помехи для </w:t>
      </w:r>
      <w:r w:rsidR="00603389">
        <w:rPr>
          <w:rFonts w:eastAsia="SimSun"/>
          <w:lang w:eastAsia="zh-CN"/>
        </w:rPr>
        <w:t>такой станции</w:t>
      </w:r>
      <w:r w:rsidRPr="004069D8">
        <w:rPr>
          <w:rFonts w:eastAsia="SimSun"/>
          <w:lang w:eastAsia="zh-CN"/>
        </w:rPr>
        <w:t>,</w:t>
      </w:r>
      <w:r w:rsidR="00603389">
        <w:rPr>
          <w:rFonts w:eastAsia="SimSun"/>
          <w:lang w:eastAsia="zh-CN"/>
        </w:rPr>
        <w:t xml:space="preserve"> когда они работают на высотах, превышающих те, которые используются обычными воздушными судами или шарами-зондами,</w:t>
      </w:r>
    </w:p>
    <w:p w14:paraId="7044A1AD" w14:textId="77777777" w:rsidR="0096442B" w:rsidRPr="004069D8" w:rsidRDefault="00A45920" w:rsidP="00914B96">
      <w:pPr>
        <w:pStyle w:val="Call"/>
      </w:pPr>
      <w:r w:rsidRPr="004069D8">
        <w:t>поручает Генеральному секретарю</w:t>
      </w:r>
    </w:p>
    <w:p w14:paraId="13FB4D22" w14:textId="77777777" w:rsidR="0096442B" w:rsidRPr="004069D8" w:rsidRDefault="00A45920" w:rsidP="00914B96">
      <w:r w:rsidRPr="004069D8">
        <w:t>довести настоящую Резолюцию до сведения ИКАО,</w:t>
      </w:r>
    </w:p>
    <w:p w14:paraId="2ACACF52" w14:textId="77777777" w:rsidR="0096442B" w:rsidRPr="004069D8" w:rsidRDefault="00A45920" w:rsidP="00914B96">
      <w:pPr>
        <w:pStyle w:val="Call"/>
      </w:pPr>
      <w:r w:rsidRPr="004069D8">
        <w:t>предлагает Международной организации гражданской авиации</w:t>
      </w:r>
    </w:p>
    <w:p w14:paraId="41803895" w14:textId="35FF9D3B" w:rsidR="0096442B" w:rsidRPr="004069D8" w:rsidRDefault="00A45920" w:rsidP="00914B96">
      <w:r w:rsidRPr="004069D8">
        <w:t xml:space="preserve">учитывать содержание настоящей Резолюции при разработке </w:t>
      </w:r>
      <w:r w:rsidR="00603389">
        <w:t>стандартов и рекомендуемой практики (</w:t>
      </w:r>
      <w:r w:rsidRPr="004069D8">
        <w:t>SARP</w:t>
      </w:r>
      <w:r w:rsidR="00991AA1">
        <w:rPr>
          <w:lang w:val="en-US"/>
        </w:rPr>
        <w:t>S</w:t>
      </w:r>
      <w:r w:rsidR="00603389">
        <w:t>)</w:t>
      </w:r>
      <w:r w:rsidRPr="004069D8">
        <w:t xml:space="preserve"> для систем ИКАО, которые могут использоваться суборбитальными аппаратами,</w:t>
      </w:r>
    </w:p>
    <w:p w14:paraId="6F078404" w14:textId="77777777" w:rsidR="0096442B" w:rsidRPr="004069D8" w:rsidRDefault="00A45920" w:rsidP="00914B96">
      <w:pPr>
        <w:pStyle w:val="Call"/>
      </w:pPr>
      <w:r w:rsidRPr="004069D8">
        <w:t>поручает Директору Бюро радиосвязи</w:t>
      </w:r>
    </w:p>
    <w:p w14:paraId="0E609022" w14:textId="77777777" w:rsidR="0096442B" w:rsidRPr="004069D8" w:rsidRDefault="00A45920" w:rsidP="00914B96">
      <w:r w:rsidRPr="004069D8">
        <w:rPr>
          <w:lang w:eastAsia="zh-CN"/>
        </w:rPr>
        <w:t>представлять будущим всемирным конференциям радиосвязи отчеты о любых трудностях или противоречиях, возникающих при выполнении настоящей Резолюции</w:t>
      </w:r>
      <w:r w:rsidRPr="004069D8">
        <w:rPr>
          <w:iCs/>
        </w:rPr>
        <w:t>.</w:t>
      </w:r>
    </w:p>
    <w:p w14:paraId="29861370" w14:textId="77777777" w:rsidR="009C75BA" w:rsidRPr="004069D8" w:rsidRDefault="009C75BA">
      <w:pPr>
        <w:pStyle w:val="Reasons"/>
      </w:pPr>
    </w:p>
    <w:p w14:paraId="17A4742D" w14:textId="77777777" w:rsidR="009C75BA" w:rsidRPr="003F733E" w:rsidRDefault="00A45920">
      <w:pPr>
        <w:pStyle w:val="Proposal"/>
      </w:pPr>
      <w:r w:rsidRPr="009B5EC3">
        <w:rPr>
          <w:lang w:val="en-US"/>
        </w:rPr>
        <w:t>SUP</w:t>
      </w:r>
      <w:r w:rsidRPr="003F733E">
        <w:tab/>
      </w:r>
      <w:r w:rsidRPr="009B5EC3">
        <w:rPr>
          <w:lang w:val="en-US"/>
        </w:rPr>
        <w:t>EUR</w:t>
      </w:r>
      <w:r w:rsidRPr="003F733E">
        <w:t>/65</w:t>
      </w:r>
      <w:r w:rsidRPr="009B5EC3">
        <w:rPr>
          <w:lang w:val="en-US"/>
        </w:rPr>
        <w:t>A</w:t>
      </w:r>
      <w:r w:rsidRPr="003F733E">
        <w:t>6/3</w:t>
      </w:r>
      <w:r w:rsidRPr="003F733E">
        <w:rPr>
          <w:vanish/>
          <w:color w:val="7F7F7F" w:themeColor="text1" w:themeTint="80"/>
          <w:vertAlign w:val="superscript"/>
        </w:rPr>
        <w:t>#1589</w:t>
      </w:r>
    </w:p>
    <w:p w14:paraId="1B099693" w14:textId="77777777" w:rsidR="0096442B" w:rsidRPr="003F733E" w:rsidRDefault="00A45920" w:rsidP="00914B96">
      <w:pPr>
        <w:pStyle w:val="ResNo"/>
      </w:pPr>
      <w:bookmarkStart w:id="9" w:name="_Toc35863772"/>
      <w:bookmarkStart w:id="10" w:name="_Toc35864105"/>
      <w:bookmarkStart w:id="11" w:name="_Toc36020490"/>
      <w:r w:rsidRPr="004069D8">
        <w:t>РезолюциЯ</w:t>
      </w:r>
      <w:r w:rsidRPr="003F733E">
        <w:t xml:space="preserve"> </w:t>
      </w:r>
      <w:r w:rsidRPr="003F733E">
        <w:rPr>
          <w:rStyle w:val="href"/>
        </w:rPr>
        <w:t>772</w:t>
      </w:r>
      <w:r w:rsidRPr="003F733E">
        <w:t xml:space="preserve"> (</w:t>
      </w:r>
      <w:r w:rsidRPr="004069D8">
        <w:t>ВКР</w:t>
      </w:r>
      <w:r w:rsidRPr="003F733E">
        <w:t>-19)</w:t>
      </w:r>
      <w:bookmarkEnd w:id="9"/>
      <w:bookmarkEnd w:id="10"/>
      <w:bookmarkEnd w:id="11"/>
    </w:p>
    <w:p w14:paraId="59E25008" w14:textId="77777777" w:rsidR="0096442B" w:rsidRPr="004069D8" w:rsidRDefault="00A45920" w:rsidP="00914B96">
      <w:pPr>
        <w:pStyle w:val="Restitle"/>
      </w:pPr>
      <w:r w:rsidRPr="004069D8">
        <w:t xml:space="preserve">Рассмотрение вопроса о регламентарных положениях, </w:t>
      </w:r>
      <w:r w:rsidRPr="004069D8">
        <w:br/>
        <w:t>содействующих внедрению суборбитальных аппаратов</w:t>
      </w:r>
    </w:p>
    <w:p w14:paraId="5A251972" w14:textId="77777777" w:rsidR="009C75BA" w:rsidRPr="004069D8" w:rsidRDefault="009C75BA">
      <w:pPr>
        <w:pStyle w:val="Reasons"/>
      </w:pPr>
    </w:p>
    <w:p w14:paraId="5C4E22BF" w14:textId="77777777" w:rsidR="00E7107C" w:rsidRPr="004069D8" w:rsidRDefault="00E7107C" w:rsidP="00E7107C">
      <w:pPr>
        <w:spacing w:before="720"/>
        <w:jc w:val="center"/>
      </w:pPr>
      <w:r w:rsidRPr="004069D8">
        <w:t>______________</w:t>
      </w:r>
    </w:p>
    <w:sectPr w:rsidR="00E7107C" w:rsidRPr="004069D8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49D8" w14:textId="77777777" w:rsidR="000523C1" w:rsidRDefault="000523C1">
      <w:r>
        <w:separator/>
      </w:r>
    </w:p>
  </w:endnote>
  <w:endnote w:type="continuationSeparator" w:id="0">
    <w:p w14:paraId="5D12E694" w14:textId="77777777" w:rsidR="000523C1" w:rsidRDefault="0005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CA41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816E7B2" w14:textId="33FE4562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C0664">
      <w:rPr>
        <w:noProof/>
      </w:rPr>
      <w:t>16.11.23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04DE" w14:textId="77777777" w:rsidR="00567276" w:rsidRDefault="00567276" w:rsidP="00F33B22">
    <w:pPr>
      <w:pStyle w:val="Footer"/>
    </w:pPr>
    <w:r>
      <w:fldChar w:fldCharType="begin"/>
    </w:r>
    <w:r w:rsidRPr="003F733E">
      <w:instrText xml:space="preserve"> FILENAME \p  \* MERGEFORMAT </w:instrText>
    </w:r>
    <w:r>
      <w:fldChar w:fldCharType="separate"/>
    </w:r>
    <w:r w:rsidR="00E7107C" w:rsidRPr="003F733E">
      <w:t>P:\RUS\ITU-R\CONF-R\CMR23\000\065ADD06R.docx</w:t>
    </w:r>
    <w:r>
      <w:fldChar w:fldCharType="end"/>
    </w:r>
    <w:r w:rsidR="00E7107C">
      <w:t xml:space="preserve"> (530527)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3FF3" w14:textId="77777777" w:rsidR="00567276" w:rsidRPr="003F733E" w:rsidRDefault="00567276" w:rsidP="00FB67E5">
    <w:pPr>
      <w:pStyle w:val="Footer"/>
    </w:pPr>
    <w:r>
      <w:fldChar w:fldCharType="begin"/>
    </w:r>
    <w:r w:rsidRPr="003F733E">
      <w:instrText xml:space="preserve"> FILENAME \p  \* MERGEFORMAT </w:instrText>
    </w:r>
    <w:r>
      <w:fldChar w:fldCharType="separate"/>
    </w:r>
    <w:r w:rsidR="00E7107C" w:rsidRPr="003F733E">
      <w:t>P:\RUS\ITU-R\CONF-R\CMR23\000\065ADD06R.docx</w:t>
    </w:r>
    <w:r>
      <w:fldChar w:fldCharType="end"/>
    </w:r>
    <w:r w:rsidR="00E7107C">
      <w:t xml:space="preserve"> (530527)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69E9" w14:textId="77777777" w:rsidR="000523C1" w:rsidRDefault="000523C1">
      <w:r>
        <w:rPr>
          <w:b/>
        </w:rPr>
        <w:t>_______________</w:t>
      </w:r>
    </w:p>
  </w:footnote>
  <w:footnote w:type="continuationSeparator" w:id="0">
    <w:p w14:paraId="63A6F80F" w14:textId="77777777" w:rsidR="000523C1" w:rsidRDefault="000523C1">
      <w:r>
        <w:continuationSeparator/>
      </w:r>
    </w:p>
  </w:footnote>
  <w:footnote w:id="1">
    <w:p w14:paraId="5B4A5925" w14:textId="77777777" w:rsidR="0096442B" w:rsidRPr="00827F34" w:rsidRDefault="00A45920">
      <w:pPr>
        <w:pStyle w:val="FootnoteText"/>
        <w:rPr>
          <w:lang w:val="ru-RU"/>
        </w:rPr>
      </w:pPr>
      <w:r w:rsidRPr="00827F34">
        <w:rPr>
          <w:rStyle w:val="FootnoteReference"/>
          <w:lang w:val="ru-RU"/>
        </w:rPr>
        <w:t>1</w:t>
      </w:r>
      <w:r w:rsidRPr="00827F34">
        <w:rPr>
          <w:lang w:val="ru-RU"/>
        </w:rPr>
        <w:tab/>
        <w:t xml:space="preserve">Определяется </w:t>
      </w:r>
      <w:r w:rsidRPr="00DD7FE0">
        <w:rPr>
          <w:lang w:val="ru-RU"/>
        </w:rPr>
        <w:t xml:space="preserve">согласно </w:t>
      </w:r>
      <w:r w:rsidRPr="00827F34">
        <w:rPr>
          <w:lang w:val="ru-RU"/>
        </w:rPr>
        <w:t>Конвенции</w:t>
      </w:r>
      <w:r>
        <w:rPr>
          <w:lang w:val="ru-RU"/>
        </w:rPr>
        <w:t xml:space="preserve"> о м</w:t>
      </w:r>
      <w:r w:rsidRPr="00827F34">
        <w:rPr>
          <w:lang w:val="ru-RU"/>
        </w:rPr>
        <w:t xml:space="preserve">еждународной гражданской авиации и </w:t>
      </w:r>
      <w:r w:rsidRPr="00DD7FE0">
        <w:rPr>
          <w:lang w:val="ru-RU"/>
        </w:rPr>
        <w:t xml:space="preserve">приложениям </w:t>
      </w:r>
      <w:r w:rsidRPr="00827F34">
        <w:rPr>
          <w:lang w:val="ru-RU"/>
        </w:rPr>
        <w:t>к ней.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B178" w14:textId="2C3A3905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40FBD">
      <w:rPr>
        <w:noProof/>
      </w:rPr>
      <w:t>2</w:t>
    </w:r>
    <w:r>
      <w:fldChar w:fldCharType="end"/>
    </w:r>
  </w:p>
  <w:p w14:paraId="6BE03D1B" w14:textId="77777777" w:rsidR="00567276" w:rsidRDefault="002C0AAB" w:rsidP="00F65316">
    <w:pPr>
      <w:pStyle w:val="Header"/>
      <w:rPr>
        <w:lang w:val="en-US"/>
      </w:rPr>
    </w:pPr>
    <w:r>
      <w:t>WRC</w:t>
    </w:r>
    <w:r w:rsidR="001D46DF">
      <w:rPr>
        <w:lang w:val="en-US"/>
      </w:rPr>
      <w:t>23</w:t>
    </w:r>
    <w:r w:rsidR="00567276">
      <w:t>/</w:t>
    </w:r>
    <w:r w:rsidR="00F761D2">
      <w:t>65(Add.6)-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114249470">
    <w:abstractNumId w:val="0"/>
  </w:num>
  <w:num w:numId="2" w16cid:durableId="168135378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3C83"/>
    <w:rsid w:val="000260F1"/>
    <w:rsid w:val="0003535B"/>
    <w:rsid w:val="000523C1"/>
    <w:rsid w:val="000A0EF3"/>
    <w:rsid w:val="000C0664"/>
    <w:rsid w:val="000C3F55"/>
    <w:rsid w:val="000F33D8"/>
    <w:rsid w:val="000F39B4"/>
    <w:rsid w:val="00113D0B"/>
    <w:rsid w:val="001226EC"/>
    <w:rsid w:val="00123B68"/>
    <w:rsid w:val="00124C09"/>
    <w:rsid w:val="00126F2E"/>
    <w:rsid w:val="00146961"/>
    <w:rsid w:val="001521AE"/>
    <w:rsid w:val="001A5585"/>
    <w:rsid w:val="001D46DF"/>
    <w:rsid w:val="001E5FB4"/>
    <w:rsid w:val="00202CA0"/>
    <w:rsid w:val="00230582"/>
    <w:rsid w:val="00243D7F"/>
    <w:rsid w:val="002449AA"/>
    <w:rsid w:val="00245A1F"/>
    <w:rsid w:val="00290C74"/>
    <w:rsid w:val="002A2D3F"/>
    <w:rsid w:val="002C0AAB"/>
    <w:rsid w:val="00300F84"/>
    <w:rsid w:val="003160E3"/>
    <w:rsid w:val="003258F2"/>
    <w:rsid w:val="00344EB8"/>
    <w:rsid w:val="00346BEC"/>
    <w:rsid w:val="00371E4B"/>
    <w:rsid w:val="00373759"/>
    <w:rsid w:val="00377DFE"/>
    <w:rsid w:val="003C583C"/>
    <w:rsid w:val="003F0078"/>
    <w:rsid w:val="003F733E"/>
    <w:rsid w:val="004069D8"/>
    <w:rsid w:val="00434A7C"/>
    <w:rsid w:val="0045143A"/>
    <w:rsid w:val="004A58F4"/>
    <w:rsid w:val="004B716F"/>
    <w:rsid w:val="004C1369"/>
    <w:rsid w:val="004C47ED"/>
    <w:rsid w:val="004C6D0B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03389"/>
    <w:rsid w:val="006115BE"/>
    <w:rsid w:val="00614771"/>
    <w:rsid w:val="00620DD7"/>
    <w:rsid w:val="0065578B"/>
    <w:rsid w:val="00657DE0"/>
    <w:rsid w:val="00657E45"/>
    <w:rsid w:val="00692C06"/>
    <w:rsid w:val="006A6E9B"/>
    <w:rsid w:val="00763F4F"/>
    <w:rsid w:val="00775720"/>
    <w:rsid w:val="007917AE"/>
    <w:rsid w:val="007A08B5"/>
    <w:rsid w:val="007B5EEE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442B"/>
    <w:rsid w:val="00966C93"/>
    <w:rsid w:val="00987FA4"/>
    <w:rsid w:val="00991AA1"/>
    <w:rsid w:val="009B5CC2"/>
    <w:rsid w:val="009B5EC3"/>
    <w:rsid w:val="009C75BA"/>
    <w:rsid w:val="009D3D63"/>
    <w:rsid w:val="009E5FC8"/>
    <w:rsid w:val="009F2623"/>
    <w:rsid w:val="00A117A3"/>
    <w:rsid w:val="00A138D0"/>
    <w:rsid w:val="00A141AF"/>
    <w:rsid w:val="00A2044F"/>
    <w:rsid w:val="00A42888"/>
    <w:rsid w:val="00A45920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958BD"/>
    <w:rsid w:val="00BA13A4"/>
    <w:rsid w:val="00BA1AA1"/>
    <w:rsid w:val="00BA35DC"/>
    <w:rsid w:val="00BC5313"/>
    <w:rsid w:val="00BD0D2F"/>
    <w:rsid w:val="00BD1129"/>
    <w:rsid w:val="00C0572C"/>
    <w:rsid w:val="00C20466"/>
    <w:rsid w:val="00C2049B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6216A"/>
    <w:rsid w:val="00D7331A"/>
    <w:rsid w:val="00DA42FC"/>
    <w:rsid w:val="00DE2EBA"/>
    <w:rsid w:val="00E2253F"/>
    <w:rsid w:val="00E43E99"/>
    <w:rsid w:val="00E5155F"/>
    <w:rsid w:val="00E65919"/>
    <w:rsid w:val="00E7107C"/>
    <w:rsid w:val="00E976C1"/>
    <w:rsid w:val="00EA0C0C"/>
    <w:rsid w:val="00EB66F7"/>
    <w:rsid w:val="00EF43E7"/>
    <w:rsid w:val="00F1578A"/>
    <w:rsid w:val="00F21A03"/>
    <w:rsid w:val="00F33B22"/>
    <w:rsid w:val="00F40FBD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F50F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qFormat/>
    <w:rsid w:val="00A5302E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2FC"/>
    <w:pPr>
      <w:ind w:left="720"/>
      <w:contextualSpacing/>
    </w:pPr>
  </w:style>
  <w:style w:type="paragraph" w:styleId="Revision">
    <w:name w:val="Revision"/>
    <w:hidden/>
    <w:uiPriority w:val="99"/>
    <w:semiHidden/>
    <w:rsid w:val="00657E45"/>
    <w:rPr>
      <w:rFonts w:ascii="Times New Roman" w:hAnsi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R23-WRC23-C-0065!A6!MSW-R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BF9F1-35F5-4838-B421-6BE9FA0AE6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8A213-9204-4D77-964D-D92C047742AC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924</Words>
  <Characters>6488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R23-WRC23-C-0065!A6!MSW-R</vt:lpstr>
    </vt:vector>
  </TitlesOfParts>
  <Manager>General Secretariat - Pool</Manager>
  <Company>International Telecommunication Union (ITU)</Company>
  <LinksUpToDate>false</LinksUpToDate>
  <CharactersWithSpaces>7398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R23-WRC23-C-0065!A6!MSW-R</dc:title>
  <dc:subject>World Radiocommunication Conference - 2019</dc:subject>
  <dc:creator>Documents Proposals Manager (DPM)</dc:creator>
  <cp:keywords>DPM_v2023.11.6.1_prod</cp:keywords>
  <dc:description/>
  <cp:lastModifiedBy>Elena Fedosova</cp:lastModifiedBy>
  <cp:revision>9</cp:revision>
  <cp:lastPrinted>2003-06-17T08:22:00Z</cp:lastPrinted>
  <dcterms:created xsi:type="dcterms:W3CDTF">2023-11-14T17:54:00Z</dcterms:created>
  <dcterms:modified xsi:type="dcterms:W3CDTF">2023-11-16T00:20:00Z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