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e22a01e6042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F5F" w:rsidR="00DA39B3" w:rsidRDefault="00215850" w14:paraId="4CA6B47E" w14:textId="77777777">
      <w:pPr>
        <w:pStyle w:val="Proposal"/>
      </w:pPr>
      <w:r w:rsidRPr="00651F5F">
        <w:t>ADD</w:t>
      </w:r>
      <w:r w:rsidRPr="00651F5F">
        <w:tab/>
        <w:t>AFCP/87A10/2</w:t>
      </w:r>
      <w:r w:rsidRPr="00651F5F">
        <w:rPr>
          <w:vanish/>
          <w:color w:val="7F7F7F" w:themeColor="text1" w:themeTint="80"/>
          <w:vertAlign w:val="superscript"/>
        </w:rPr>
        <w:t>#1659</w:t>
      </w:r>
    </w:p>
    <w:p w:rsidRPr="00651F5F" w:rsidR="00651F5F" w:rsidP="00EC431D" w:rsidRDefault="00215850" w14:paraId="326727B5" w14:textId="77777777">
      <w:pPr>
        <w:pStyle w:val="Note"/>
        <w:rPr>
          <w:sz w:val="16"/>
          <w:szCs w:val="12"/>
          <w:lang w:val="ru-RU"/>
        </w:rPr>
      </w:pPr>
      <w:r w:rsidRPr="00651F5F">
        <w:rPr>
          <w:rStyle w:val="Artdef"/>
          <w:lang w:val="ru-RU"/>
        </w:rPr>
        <w:t>5.I110</w:t>
      </w:r>
      <w:r w:rsidRPr="00651F5F">
        <w:rPr>
          <w:lang w:val="ru-RU"/>
        </w:rPr>
        <w:tab/>
        <w:t>Станции в воздушной подвижной (ОR) службе, работающие в полосе частот 15,41−15,7 ГГц, не должны создавать вредных помех радиоастрономической службе, работа</w:t>
      </w:r>
      <w:r w:rsidRPr="00651F5F" w:rsidR="00057389">
        <w:rPr>
          <w:lang w:val="ru-RU"/>
        </w:rPr>
        <w:t>ющей в полосе частот 15,35–15,4 </w:t>
      </w:r>
      <w:r w:rsidRPr="00651F5F">
        <w:rPr>
          <w:lang w:val="ru-RU"/>
        </w:rPr>
        <w:t>ГГц. Суммарная плотность потока мощности (п.п.м.), принимаемая от этих станций на любой радиоастрономической станции, работающей в этой полосе, должна соответствовать критериям защиты, предусмотренным в Рекомендациях МСЭ-R RA.769-2 и МСЭ-R RA.1513-2, если только не была достигнута конкретная договоренность об ином с затронутой администрацией (администрациями).</w:t>
      </w:r>
      <w:r w:rsidRPr="00651F5F">
        <w:rPr>
          <w:sz w:val="16"/>
          <w:szCs w:val="16"/>
          <w:lang w:val="ru-RU"/>
        </w:rPr>
        <w:t xml:space="preserve">      (ВКР</w:t>
      </w:r>
      <w:r w:rsidRPr="00651F5F">
        <w:rPr>
          <w:sz w:val="16"/>
          <w:szCs w:val="16"/>
          <w:lang w:val="ru-RU"/>
        </w:rPr>
        <w:noBreakHyphen/>
        <w:t>23)</w:t>
      </w:r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ACC4" w14:textId="77777777" w:rsidR="00B958BD" w:rsidRDefault="00B958BD">
      <w:r>
        <w:separator/>
      </w:r>
    </w:p>
  </w:endnote>
  <w:endnote w:type="continuationSeparator" w:id="0">
    <w:p w14:paraId="318CD628" w14:textId="77777777" w:rsidR="00B958BD" w:rsidRDefault="00B9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0D79" w14:textId="77777777" w:rsidR="00B958BD" w:rsidRDefault="00B958BD">
      <w:r>
        <w:rPr>
          <w:b/>
        </w:rPr>
        <w:t>_______________</w:t>
      </w:r>
    </w:p>
  </w:footnote>
  <w:footnote w:type="continuationSeparator" w:id="0">
    <w:p w14:paraId="6563EC0C" w14:textId="77777777" w:rsidR="00B958BD" w:rsidRDefault="00B9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67142464">
    <w:abstractNumId w:val="0"/>
  </w:num>
  <w:num w:numId="2" w16cid:durableId="189878478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7389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15850"/>
    <w:rsid w:val="00230582"/>
    <w:rsid w:val="002449AA"/>
    <w:rsid w:val="00245A1F"/>
    <w:rsid w:val="002566C3"/>
    <w:rsid w:val="00290C74"/>
    <w:rsid w:val="002A2D3F"/>
    <w:rsid w:val="002C0AAB"/>
    <w:rsid w:val="00300F84"/>
    <w:rsid w:val="003258F2"/>
    <w:rsid w:val="00332975"/>
    <w:rsid w:val="00344EB8"/>
    <w:rsid w:val="00346BEC"/>
    <w:rsid w:val="00371E4B"/>
    <w:rsid w:val="00373759"/>
    <w:rsid w:val="00377DFE"/>
    <w:rsid w:val="003C583C"/>
    <w:rsid w:val="003F007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1F5F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465E0"/>
    <w:rsid w:val="00A57C04"/>
    <w:rsid w:val="00A61057"/>
    <w:rsid w:val="00A710E7"/>
    <w:rsid w:val="00A81026"/>
    <w:rsid w:val="00A97EC0"/>
    <w:rsid w:val="00AC66E6"/>
    <w:rsid w:val="00B01A56"/>
    <w:rsid w:val="00B22310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85E55"/>
    <w:rsid w:val="00C916AF"/>
    <w:rsid w:val="00CC47C6"/>
    <w:rsid w:val="00CC4DE6"/>
    <w:rsid w:val="00CE5E47"/>
    <w:rsid w:val="00CF020F"/>
    <w:rsid w:val="00D53715"/>
    <w:rsid w:val="00D7331A"/>
    <w:rsid w:val="00DA39B3"/>
    <w:rsid w:val="00DB7C63"/>
    <w:rsid w:val="00DE2EBA"/>
    <w:rsid w:val="00E2253F"/>
    <w:rsid w:val="00E43E99"/>
    <w:rsid w:val="00E5155F"/>
    <w:rsid w:val="00E61629"/>
    <w:rsid w:val="00E65919"/>
    <w:rsid w:val="00E86DB1"/>
    <w:rsid w:val="00E976C1"/>
    <w:rsid w:val="00EA0C0C"/>
    <w:rsid w:val="00EB66F7"/>
    <w:rsid w:val="00EF43E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980E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51F5F"/>
    <w:rPr>
      <w:rFonts w:ascii="Times New Roman" w:hAnsi="Times New Roman"/>
      <w:sz w:val="22"/>
      <w:lang w:val="ru-RU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1375ab7f93ad4d82" /><Relationship Type="http://schemas.openxmlformats.org/officeDocument/2006/relationships/styles" Target="/word/styles.xml" Id="R7b51e9e59aa14feb" /><Relationship Type="http://schemas.openxmlformats.org/officeDocument/2006/relationships/theme" Target="/word/theme/theme1.xml" Id="Rd1df96b115854cdc" /><Relationship Type="http://schemas.openxmlformats.org/officeDocument/2006/relationships/fontTable" Target="/word/fontTable.xml" Id="R1c2afac1688847b0" /><Relationship Type="http://schemas.openxmlformats.org/officeDocument/2006/relationships/numbering" Target="/word/numbering.xml" Id="Re855933562fb47cc" /><Relationship Type="http://schemas.openxmlformats.org/officeDocument/2006/relationships/endnotes" Target="/word/endnotes.xml" Id="Rff6a9c13be814cd0" /><Relationship Type="http://schemas.openxmlformats.org/officeDocument/2006/relationships/settings" Target="/word/settings.xml" Id="Rd1e72662356b42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