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8ccd9594f485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56CB" w:rsidR="00422D5F" w:rsidP="009A4F02" w:rsidRDefault="0022062F" w14:paraId="7BE8D896" w14:textId="77777777">
      <w:pPr>
        <w:pStyle w:val="Proposal"/>
      </w:pPr>
      <w:r w:rsidRPr="001956CB">
        <w:t>ADD</w:t>
      </w:r>
      <w:r w:rsidRPr="001956CB">
        <w:tab/>
        <w:t>IAP/44A27A3/2</w:t>
      </w:r>
    </w:p>
    <w:p w:rsidRPr="001956CB" w:rsidR="00422D5F" w:rsidP="009A4F02" w:rsidRDefault="0022062F" w14:paraId="2EC9F0F9" w14:textId="5D51FF89">
      <w:pPr>
        <w:pStyle w:val="ResNo"/>
      </w:pPr>
      <w:r w:rsidRPr="001956CB">
        <w:t>Projet de nouvelle Résolution [</w:t>
      </w:r>
      <w:r w:rsidRPr="001956CB" w:rsidR="00E808C5">
        <w:t>AI-10-LUNAR</w:t>
      </w:r>
      <w:r w:rsidRPr="001956CB">
        <w:t>]</w:t>
      </w:r>
      <w:r w:rsidRPr="001956CB" w:rsidR="00455BFC">
        <w:t xml:space="preserve"> (CMR-23)</w:t>
      </w:r>
    </w:p>
    <w:p w:rsidRPr="001956CB" w:rsidR="00422D5F" w:rsidP="009A4F02" w:rsidRDefault="00E808C5" w14:paraId="142E4B50" w14:textId="601284F5">
      <w:pPr>
        <w:pStyle w:val="Restitle"/>
      </w:pPr>
      <w:r w:rsidRPr="001956CB">
        <w:t xml:space="preserve">Études </w:t>
      </w:r>
      <w:r w:rsidRPr="001956CB" w:rsidR="002B1308">
        <w:t xml:space="preserve">portant </w:t>
      </w:r>
      <w:r w:rsidRPr="001956CB">
        <w:t xml:space="preserve">sur les questions liées aux fréquences, y compris </w:t>
      </w:r>
      <w:r w:rsidRPr="001956CB" w:rsidR="002B1308">
        <w:t xml:space="preserve">sur </w:t>
      </w:r>
      <w:r w:rsidRPr="001956CB">
        <w:t xml:space="preserve">des attributions et/ou des identifications additionnelles éventuelles pour le développement futur des communications à la surface de la Lune </w:t>
      </w:r>
      <w:r w:rsidRPr="001956CB" w:rsidR="00A8575D">
        <w:br/>
      </w:r>
      <w:r w:rsidRPr="001956CB">
        <w:t>et entre l'orbite lunaire et la surface de la Lune</w:t>
      </w:r>
    </w:p>
    <w:p w:rsidRPr="001956CB" w:rsidR="00422D5F" w:rsidP="009A4F02" w:rsidRDefault="00455BFC" w14:paraId="4F0C0125" w14:textId="189A8214">
      <w:pPr>
        <w:pStyle w:val="Normalaftertitle"/>
      </w:pPr>
      <w:r w:rsidRPr="001956CB">
        <w:t>La Conférence mondiale des radiocommunications (Dubaï, 2023),</w:t>
      </w:r>
    </w:p>
    <w:p w:rsidRPr="001956CB" w:rsidR="00455BFC" w:rsidP="009A4F02" w:rsidRDefault="00455BFC" w14:paraId="299258A8" w14:textId="60757908">
      <w:pPr>
        <w:pStyle w:val="Call"/>
      </w:pPr>
      <w:r w:rsidRPr="001956CB">
        <w:t>considérant</w:t>
      </w:r>
    </w:p>
    <w:p w:rsidRPr="001956CB" w:rsidR="00455BFC" w:rsidP="009A4F02" w:rsidRDefault="007E2F04" w14:paraId="46A79F80" w14:textId="6E720F04">
      <w:r w:rsidRPr="001956CB">
        <w:rPr>
          <w:i/>
          <w:iCs/>
        </w:rPr>
        <w:t>a)</w:t>
      </w:r>
      <w:r w:rsidRPr="001956CB">
        <w:tab/>
      </w:r>
      <w:r w:rsidRPr="001956CB" w:rsidR="00CB784C">
        <w:t>que la réalisation</w:t>
      </w:r>
      <w:r w:rsidRPr="001956CB" w:rsidR="007247CE">
        <w:t xml:space="preserve"> </w:t>
      </w:r>
      <w:r w:rsidRPr="001956CB" w:rsidR="00CB784C">
        <w:t>d'expériences scientifiques et l'exercice d'</w:t>
      </w:r>
      <w:r w:rsidRPr="001956CB" w:rsidR="007247CE">
        <w:t xml:space="preserve">activités d'exploration et </w:t>
      </w:r>
      <w:r w:rsidRPr="001956CB" w:rsidR="00CB784C">
        <w:t>de possibles</w:t>
      </w:r>
      <w:r w:rsidRPr="001956CB" w:rsidR="007247CE">
        <w:t xml:space="preserve"> </w:t>
      </w:r>
      <w:r w:rsidRPr="001956CB" w:rsidR="00EF0E5C">
        <w:t xml:space="preserve">futures </w:t>
      </w:r>
      <w:r w:rsidRPr="001956CB" w:rsidR="007247CE">
        <w:t xml:space="preserve">activités commerciales </w:t>
      </w:r>
      <w:r w:rsidRPr="001956CB" w:rsidR="00EF0E5C">
        <w:t>dans l'espace</w:t>
      </w:r>
      <w:r w:rsidRPr="001956CB" w:rsidR="007247CE">
        <w:t xml:space="preserve"> autour de la Lune, y compris à sa surface</w:t>
      </w:r>
      <w:r w:rsidRPr="001956CB" w:rsidR="00CB784C">
        <w:t>, suscitent un intérêt accru</w:t>
      </w:r>
      <w:r w:rsidRPr="001956CB" w:rsidR="007247CE">
        <w:t>;</w:t>
      </w:r>
    </w:p>
    <w:p w:rsidRPr="001956CB" w:rsidR="007E2F04" w:rsidP="009A4F02" w:rsidRDefault="007E2F04" w14:paraId="3283B8F5" w14:textId="2E25AA1B">
      <w:r w:rsidRPr="001956CB">
        <w:rPr>
          <w:i/>
          <w:iCs/>
        </w:rPr>
        <w:t>b)</w:t>
      </w:r>
      <w:r w:rsidRPr="001956CB">
        <w:tab/>
      </w:r>
      <w:r w:rsidRPr="001956CB" w:rsidR="007247CE">
        <w:t>que les technologies de la communication sont bien développées et largement déployées sur Terre grâce à des normes industrielles qui pourraient être appliquées aux communications lunaires;</w:t>
      </w:r>
    </w:p>
    <w:p w:rsidRPr="001956CB" w:rsidR="007E2F04" w:rsidP="009A4F02" w:rsidRDefault="007E2F04" w14:paraId="45C63728" w14:textId="6FF71CE8">
      <w:r w:rsidRPr="001956CB">
        <w:rPr>
          <w:i/>
          <w:iCs/>
        </w:rPr>
        <w:t>c)</w:t>
      </w:r>
      <w:r w:rsidRPr="001956CB">
        <w:tab/>
      </w:r>
      <w:r w:rsidRPr="001956CB" w:rsidR="007247CE">
        <w:t xml:space="preserve">que les systèmes point-multipoint à la surface de la face visible de la Lune utilisés à des fins de recherches scientifiques ou technologiques pourraient être </w:t>
      </w:r>
      <w:r w:rsidRPr="001956CB" w:rsidR="00024170">
        <w:t>exploités actuellement dans le service de recherche spatiale (espace-espace);</w:t>
      </w:r>
    </w:p>
    <w:p w:rsidRPr="001956CB" w:rsidR="007E2F04" w:rsidP="009A4F02" w:rsidRDefault="007E2F04" w14:paraId="7A883662" w14:textId="5195372F">
      <w:r w:rsidRPr="001956CB">
        <w:rPr>
          <w:i/>
          <w:iCs/>
        </w:rPr>
        <w:t>d)</w:t>
      </w:r>
      <w:r w:rsidRPr="001956CB">
        <w:tab/>
      </w:r>
      <w:r w:rsidRPr="001956CB" w:rsidR="00024170">
        <w:t>que les caractéristiques atmosphériques, géologiques et topographiques de la surface de la Lune sont uniques;</w:t>
      </w:r>
    </w:p>
    <w:p w:rsidRPr="001956CB" w:rsidR="007E2F04" w:rsidP="009A4F02" w:rsidRDefault="007E2F04" w14:paraId="3117D59F" w14:textId="4CDDC324">
      <w:r w:rsidRPr="001956CB">
        <w:rPr>
          <w:i/>
          <w:iCs/>
        </w:rPr>
        <w:t>e)</w:t>
      </w:r>
      <w:r w:rsidRPr="001956CB">
        <w:tab/>
      </w:r>
      <w:r w:rsidRPr="001956CB" w:rsidR="00024170">
        <w:t xml:space="preserve">que les intérêts </w:t>
      </w:r>
      <w:r w:rsidRPr="001956CB" w:rsidR="00EF0E5C">
        <w:rPr>
          <w:rPrChange w:author="F." w:date="2023-10-20T14:54:00Z" w:id="58">
            <w:rPr>
              <w:highlight w:val="yellow"/>
            </w:rPr>
          </w:rPrChange>
        </w:rPr>
        <w:t>de la découverte scientifique</w:t>
      </w:r>
      <w:r w:rsidRPr="001956CB" w:rsidR="00024170">
        <w:t xml:space="preserve">, de l'exploration spatiale et des activités commerciales dans l'espace </w:t>
      </w:r>
      <w:r w:rsidRPr="001956CB" w:rsidR="002B1308">
        <w:t>ont une portée</w:t>
      </w:r>
      <w:r w:rsidRPr="001956CB" w:rsidR="00662B32">
        <w:t xml:space="preserve"> mondiale</w:t>
      </w:r>
      <w:r w:rsidRPr="001956CB" w:rsidR="00024170">
        <w:t>,</w:t>
      </w:r>
    </w:p>
    <w:p w:rsidRPr="001956CB" w:rsidR="007E2F04" w:rsidP="009A4F02" w:rsidRDefault="007E2F04" w14:paraId="579674B7" w14:textId="6E0FBD54">
      <w:pPr>
        <w:pStyle w:val="Call"/>
      </w:pPr>
      <w:r w:rsidRPr="001956CB">
        <w:t>notant</w:t>
      </w:r>
    </w:p>
    <w:p w:rsidRPr="001956CB" w:rsidR="007E2F04" w:rsidP="009A4F02" w:rsidRDefault="00622289" w14:paraId="47F8F17E" w14:textId="626B5DD4">
      <w:r w:rsidRPr="001956CB">
        <w:t xml:space="preserve">que la Section V de l'Article </w:t>
      </w:r>
      <w:r w:rsidRPr="001956CB">
        <w:rPr>
          <w:b/>
          <w:rPrChange w:author="F." w:date="2023-10-20T14:55:00Z" w:id="59">
            <w:rPr/>
          </w:rPrChange>
        </w:rPr>
        <w:t>22</w:t>
      </w:r>
      <w:r w:rsidRPr="001956CB">
        <w:t xml:space="preserve"> traite de la protection de la radioastronomie dans la zone tranquille de la Lune,</w:t>
      </w:r>
    </w:p>
    <w:p w:rsidRPr="001956CB" w:rsidR="007E2F04" w:rsidP="009A4F02" w:rsidRDefault="007E2F04" w14:paraId="6FED2453" w14:textId="074A413D">
      <w:pPr>
        <w:pStyle w:val="Call"/>
      </w:pPr>
      <w:r w:rsidRPr="001956CB">
        <w:t>notant en outre</w:t>
      </w:r>
    </w:p>
    <w:p w:rsidRPr="001956CB" w:rsidR="007E2F04" w:rsidP="009A4F02" w:rsidRDefault="00622289" w14:paraId="2E380767" w14:textId="15C4935C">
      <w:r w:rsidRPr="001956CB">
        <w:t xml:space="preserve">que les accords Artemis, qui </w:t>
      </w:r>
      <w:r w:rsidRPr="001956CB" w:rsidR="002B1308">
        <w:t xml:space="preserve">favorisent </w:t>
      </w:r>
      <w:r w:rsidRPr="001956CB">
        <w:t xml:space="preserve">une exploration spatiale sûre, durable et responsable, ont été signés par des </w:t>
      </w:r>
      <w:r w:rsidRPr="001956CB" w:rsidR="00F85674">
        <w:t xml:space="preserve">États </w:t>
      </w:r>
      <w:r w:rsidRPr="001956CB">
        <w:t>Membres de l'UIT des trois Régions,</w:t>
      </w:r>
    </w:p>
    <w:p w:rsidRPr="001956CB" w:rsidR="007E2F04" w:rsidP="009A4F02" w:rsidRDefault="007E2F04" w14:paraId="3A0365FE" w14:textId="2E815F54">
      <w:pPr>
        <w:pStyle w:val="Call"/>
      </w:pPr>
      <w:r w:rsidRPr="001956CB">
        <w:t>reconnaissant</w:t>
      </w:r>
    </w:p>
    <w:p w:rsidRPr="001956CB" w:rsidR="007E2F04" w:rsidP="009A4F02" w:rsidRDefault="007E2F04" w14:paraId="20F6C402" w14:textId="07F4613D">
      <w:r w:rsidRPr="001956CB">
        <w:rPr>
          <w:i/>
          <w:iCs/>
        </w:rPr>
        <w:t>a)</w:t>
      </w:r>
      <w:r w:rsidRPr="001956CB">
        <w:tab/>
      </w:r>
      <w:r w:rsidRPr="001956CB" w:rsidR="00E40C03">
        <w:t>qu'</w:t>
      </w:r>
      <w:r w:rsidRPr="001956CB" w:rsidR="007E1C8E">
        <w:t xml:space="preserve">il peut être nécessaire d'établir </w:t>
      </w:r>
      <w:r w:rsidRPr="001956CB" w:rsidR="00E40C03">
        <w:t>un cadre réglementaire applicable aux communications lunaires au vu des caractéristiques uniques de la Lune en tant que satellite céleste;</w:t>
      </w:r>
    </w:p>
    <w:p w:rsidRPr="001956CB" w:rsidR="007E2F04" w:rsidP="009A4F02" w:rsidRDefault="007E2F04" w14:paraId="47D42598" w14:textId="10AD3AC7">
      <w:r w:rsidRPr="001956CB">
        <w:rPr>
          <w:i/>
          <w:iCs/>
        </w:rPr>
        <w:t>b)</w:t>
      </w:r>
      <w:r w:rsidRPr="001956CB">
        <w:tab/>
      </w:r>
      <w:r w:rsidRPr="001956CB" w:rsidR="000A01D9">
        <w:t>que les études de partage et de compatibilité entre d'éventuels systèmes à la surface de la Lune et des systèmes en orbite lu</w:t>
      </w:r>
      <w:r w:rsidRPr="001956CB" w:rsidR="007E1C8E">
        <w:t>naire devraient tenir compte de tous les</w:t>
      </w:r>
      <w:r w:rsidRPr="001956CB" w:rsidR="000A01D9">
        <w:t xml:space="preserve"> autres services affectés dans la même bande de fréquences ou dans les bandes de fréquences adjacentes, selon le cas,</w:t>
      </w:r>
    </w:p>
    <w:p w:rsidRPr="001956CB" w:rsidR="007E2F04" w:rsidP="009A4F02" w:rsidRDefault="007E2F04" w14:paraId="7F05E118" w14:textId="5A6232CE">
      <w:pPr>
        <w:pStyle w:val="Call"/>
      </w:pPr>
      <w:r w:rsidRPr="001956CB">
        <w:t>décide d'inviter le Secteur des radiocommunications de l'UIT</w:t>
      </w:r>
    </w:p>
    <w:p w:rsidRPr="001956CB" w:rsidR="007E2F04" w:rsidP="009A4F02" w:rsidRDefault="007E2F04" w14:paraId="2C46EF28" w14:textId="133C2120">
      <w:r w:rsidRPr="001956CB">
        <w:t>1</w:t>
      </w:r>
      <w:r w:rsidRPr="001956CB">
        <w:tab/>
      </w:r>
      <w:r w:rsidRPr="001956CB" w:rsidR="000A01D9">
        <w:t xml:space="preserve">à étudier les besoins de spectre des systèmes de communication susceptibles d'être exploités à la surface de la Lune, ou des systèmes de communication en orbite lunaire communiquant avec des systèmes à la surface de la Lune, dans les bandes de fréquences </w:t>
      </w:r>
      <w:r w:rsidRPr="001956CB" w:rsidR="000A01D9">
        <w:rPr>
          <w:szCs w:val="24"/>
        </w:rPr>
        <w:t>390</w:t>
      </w:r>
      <w:r w:rsidRPr="001956CB" w:rsidR="00072FA4">
        <w:rPr>
          <w:szCs w:val="24"/>
        </w:rPr>
        <w:noBreakHyphen/>
      </w:r>
      <w:r w:rsidRPr="001956CB" w:rsidR="000A01D9">
        <w:rPr>
          <w:szCs w:val="24"/>
        </w:rPr>
        <w:t>450 MHz, 2 400</w:t>
      </w:r>
      <w:r w:rsidRPr="001956CB" w:rsidR="000A01D9">
        <w:rPr>
          <w:szCs w:val="24"/>
        </w:rPr>
        <w:noBreakHyphen/>
        <w:t>2 700 MHz, 3 500-3 800 MHz, 5 150-5 925 MHz et 25,25-28,35 GHz;</w:t>
      </w:r>
    </w:p>
    <w:p w:rsidRPr="001956CB" w:rsidR="007E2F04" w:rsidP="009A4F02" w:rsidRDefault="007E2F04" w14:paraId="46AD0242" w14:textId="08844241">
      <w:r w:rsidRPr="001956CB">
        <w:t>2</w:t>
      </w:r>
      <w:r w:rsidRPr="001956CB">
        <w:tab/>
      </w:r>
      <w:r w:rsidRPr="001956CB" w:rsidR="000A01D9">
        <w:t xml:space="preserve">à étudier les caractéristiques techniques et d'exploitation des systèmes qu'il est prévu d'exploiter dans les bandes de fréquences visées au point 1 du </w:t>
      </w:r>
      <w:r w:rsidRPr="001956CB" w:rsidR="000A01D9">
        <w:rPr>
          <w:i/>
          <w:rPrChange w:author="F." w:date="2023-10-20T09:57:00Z" w:id="60">
            <w:rPr/>
          </w:rPrChange>
        </w:rPr>
        <w:t>décide d'inviter le Secteur des radiocommunications de l'UIT</w:t>
      </w:r>
      <w:r w:rsidRPr="001956CB" w:rsidR="000A01D9">
        <w:t>;</w:t>
      </w:r>
    </w:p>
    <w:p w:rsidRPr="001956CB" w:rsidR="007E2F04" w:rsidP="009A4F02" w:rsidRDefault="007E2F04" w14:paraId="20E3FAA4" w14:textId="26C740C5">
      <w:r w:rsidRPr="001956CB">
        <w:t>3</w:t>
      </w:r>
      <w:r w:rsidRPr="001956CB">
        <w:tab/>
      </w:r>
      <w:r w:rsidRPr="001956CB" w:rsidR="00C73275">
        <w:t xml:space="preserve">à étudier les considérations relatives à la propagation pour les systèmes à la surface de la Lune et les systèmes en orbite lunaire fonctionnant dans les gammes de fréquences visées au point 1 du </w:t>
      </w:r>
      <w:r w:rsidRPr="001956CB" w:rsidR="00C73275">
        <w:rPr>
          <w:i/>
        </w:rPr>
        <w:t>décide d'inviter le Secteur des radiocommunications de l'UIT</w:t>
      </w:r>
      <w:r w:rsidRPr="001956CB" w:rsidR="00C73275">
        <w:t>;</w:t>
      </w:r>
    </w:p>
    <w:p w:rsidRPr="001956CB" w:rsidR="007E2F04" w:rsidP="009A4F02" w:rsidRDefault="007E2F04" w14:paraId="7811FB44" w14:textId="29367CA0">
      <w:r w:rsidRPr="001956CB">
        <w:t>4</w:t>
      </w:r>
      <w:r w:rsidRPr="001956CB">
        <w:tab/>
      </w:r>
      <w:r w:rsidRPr="001956CB" w:rsidR="00C73275">
        <w:t xml:space="preserve">à mener des études de partage et de compatibilité entre les systèmes </w:t>
      </w:r>
      <w:r w:rsidRPr="001956CB" w:rsidR="0000338B">
        <w:t>visés</w:t>
      </w:r>
      <w:r w:rsidRPr="001956CB" w:rsidR="00C73275">
        <w:t xml:space="preserve"> au point 1 du </w:t>
      </w:r>
      <w:r w:rsidRPr="001956CB" w:rsidR="00C73275">
        <w:rPr>
          <w:i/>
        </w:rPr>
        <w:t>décide d'inviter le Secteur des radiocommunications de l'UIT</w:t>
      </w:r>
      <w:r w:rsidRPr="001956CB" w:rsidR="00C73275">
        <w:t xml:space="preserve"> et les autres services affectés dans la même bande de fréquences ou dans les bandes de fréquences adjacentes, selon le cas, pour permettre l'utilisation de bandes de fréquences à proximité de la Lune, </w:t>
      </w:r>
      <w:r w:rsidRPr="001956CB" w:rsidR="0000338B">
        <w:t>et notamment</w:t>
      </w:r>
      <w:r w:rsidRPr="001956CB" w:rsidR="00C73275">
        <w:t xml:space="preserve"> pour </w:t>
      </w:r>
      <w:r w:rsidRPr="001956CB" w:rsidR="0000338B">
        <w:t xml:space="preserve">étudier la possibilité d'effectuer de nouvelles attributions et/ou identifications accompagnées de </w:t>
      </w:r>
      <w:r w:rsidRPr="001956CB" w:rsidR="00EB1F2A">
        <w:t xml:space="preserve">dispositions réglementaires appropriées pour les systèmes de communication à la surface de la Lune ou en orbite lunaire </w:t>
      </w:r>
      <w:r w:rsidRPr="001956CB" w:rsidR="0000338B">
        <w:t>qui communiquent</w:t>
      </w:r>
      <w:r w:rsidRPr="001956CB" w:rsidR="00EB1F2A">
        <w:t xml:space="preserve"> avec des systèmes à la surface de la Lune;</w:t>
      </w:r>
    </w:p>
    <w:p w:rsidRPr="001956CB" w:rsidR="007E2F04" w:rsidP="009A4F02" w:rsidRDefault="007E2F04" w14:paraId="17896D2A" w14:textId="7A8BAFBB">
      <w:r w:rsidRPr="001956CB">
        <w:t>5</w:t>
      </w:r>
      <w:r w:rsidRPr="001956CB">
        <w:tab/>
      </w:r>
      <w:r w:rsidRPr="001956CB" w:rsidR="00EB1F2A">
        <w:t xml:space="preserve">à étudier </w:t>
      </w:r>
      <w:r w:rsidRPr="001956CB" w:rsidR="000A6176">
        <w:t>la possibilité</w:t>
      </w:r>
      <w:r w:rsidRPr="001956CB" w:rsidR="00EB1F2A">
        <w:t xml:space="preserve"> d'appliquer plusieurs définitions, dispositions et procédures réglementaires pour les activités d'exploitation à proximité de la Lune;</w:t>
      </w:r>
    </w:p>
    <w:p w:rsidRPr="001956CB" w:rsidR="007E2F04" w:rsidP="009A4F02" w:rsidRDefault="007E2F04" w14:paraId="1F7C9A63" w14:textId="2E8A94B2">
      <w:r w:rsidRPr="001956CB">
        <w:t>6</w:t>
      </w:r>
      <w:r w:rsidRPr="001956CB">
        <w:tab/>
      </w:r>
      <w:r w:rsidRPr="001956CB" w:rsidR="00EB1F2A">
        <w:t xml:space="preserve">à étudier les modifications qu'il convient d'apporter au Règlement des radiocommunications, </w:t>
      </w:r>
      <w:r w:rsidRPr="001956CB" w:rsidR="002A208C">
        <w:t>dans l'optique</w:t>
      </w:r>
      <w:r w:rsidRPr="001956CB" w:rsidR="00EB1F2A">
        <w:t xml:space="preserve"> d'élaborer un </w:t>
      </w:r>
      <w:r w:rsidRPr="001956CB" w:rsidR="002A208C">
        <w:t>possible</w:t>
      </w:r>
      <w:r w:rsidRPr="001956CB" w:rsidR="00EB1F2A">
        <w:t xml:space="preserve"> cadre réglementaire </w:t>
      </w:r>
      <w:r w:rsidRPr="001956CB" w:rsidR="002A208C">
        <w:t>pour les</w:t>
      </w:r>
      <w:r w:rsidRPr="001956CB" w:rsidR="00EB1F2A">
        <w:t xml:space="preserve"> communications à la surface de la Lune et </w:t>
      </w:r>
      <w:r w:rsidRPr="001956CB" w:rsidR="002A208C">
        <w:t>les</w:t>
      </w:r>
      <w:r w:rsidRPr="001956CB" w:rsidR="00EB1F2A">
        <w:t xml:space="preserve"> systèmes en orbite lunaire communiquant avec des stations à la surface de la Lune, qui peut être nécessaire compte tenu des caractéristiques uniques de la Lune en tant que satellite céleste;</w:t>
      </w:r>
    </w:p>
    <w:p w:rsidRPr="001956CB" w:rsidR="007E2F04" w:rsidP="009A4F02" w:rsidRDefault="007E2F04" w14:paraId="49F3A8C0" w14:textId="1220C0A6">
      <w:r w:rsidRPr="001956CB">
        <w:t>7</w:t>
      </w:r>
      <w:r w:rsidRPr="001956CB">
        <w:tab/>
      </w:r>
      <w:r w:rsidRPr="001956CB" w:rsidR="000A6176">
        <w:t>à</w:t>
      </w:r>
      <w:r w:rsidRPr="001956CB" w:rsidR="00EB1F2A">
        <w:t xml:space="preserve"> mener à bien ces études d'ici à la CMR-27,</w:t>
      </w:r>
    </w:p>
    <w:p w:rsidRPr="001956CB" w:rsidR="007E2F04" w:rsidP="009A4F02" w:rsidRDefault="007E2F04" w14:paraId="002FAA4B" w14:textId="1EE2B792">
      <w:pPr>
        <w:pStyle w:val="Call"/>
      </w:pPr>
      <w:r w:rsidRPr="001956CB">
        <w:t>invite les administrations</w:t>
      </w:r>
    </w:p>
    <w:p w:rsidRPr="001956CB" w:rsidR="007E2F04" w:rsidP="009A4F02" w:rsidRDefault="007E2F04" w14:paraId="2CEDFA5A" w14:textId="77777777">
      <w:r w:rsidRPr="001956CB">
        <w:t>à participer aux études en soumettant des contributions à l'UIT-R,</w:t>
      </w:r>
    </w:p>
    <w:p w:rsidRPr="001956CB" w:rsidR="007E2F04" w:rsidP="009A4F02" w:rsidRDefault="00E007DA" w14:paraId="46994086" w14:textId="288695BD">
      <w:pPr>
        <w:pStyle w:val="Call"/>
      </w:pPr>
      <w:r w:rsidRPr="001956CB">
        <w:t>invite</w:t>
      </w:r>
      <w:r w:rsidRPr="001956CB" w:rsidR="002D4250">
        <w:t xml:space="preserve"> la Conférence mondiale des radiocommunications de 2027</w:t>
      </w:r>
    </w:p>
    <w:p w:rsidRPr="001956CB" w:rsidR="00E007DA" w:rsidP="009A4F02" w:rsidRDefault="00E007DA" w14:paraId="4422B5D2" w14:textId="1A1CA8D6">
      <w:r w:rsidRPr="001956CB">
        <w:t>1</w:t>
      </w:r>
      <w:r w:rsidRPr="001956CB">
        <w:tab/>
      </w:r>
      <w:r w:rsidRPr="001956CB" w:rsidR="002D4250">
        <w:t>à examiner, sur la base des résultats des études susmentionnées, l'attribution et/ou l'identification de bandes de fréquences dans tout ou partie des bandes de fréquences visées au point</w:t>
      </w:r>
      <w:r w:rsidRPr="001956CB" w:rsidR="009A4F02">
        <w:t> </w:t>
      </w:r>
      <w:r w:rsidRPr="001956CB" w:rsidR="002D4250">
        <w:t xml:space="preserve">1 du </w:t>
      </w:r>
      <w:r w:rsidRPr="001956CB" w:rsidR="002D4250">
        <w:rPr>
          <w:i/>
          <w:rPrChange w:author="F." w:date="2023-10-20T10:14:00Z" w:id="61">
            <w:rPr/>
          </w:rPrChange>
        </w:rPr>
        <w:t>décide d'inviter le Secteur des radiocommunications de l'UIT</w:t>
      </w:r>
      <w:r w:rsidRPr="001956CB" w:rsidR="002D4250">
        <w:t xml:space="preserve"> ci-dessus, pour une utilisation à proximité de la Lune;</w:t>
      </w:r>
    </w:p>
    <w:p w:rsidRPr="001956CB" w:rsidR="00E007DA" w:rsidP="009A4F02" w:rsidRDefault="00E007DA" w14:paraId="6E6B932A" w14:textId="2188DEB9">
      <w:r w:rsidRPr="001956CB">
        <w:t>2</w:t>
      </w:r>
      <w:r w:rsidRPr="001956CB">
        <w:tab/>
      </w:r>
      <w:r w:rsidRPr="001956CB" w:rsidR="00E62E0B">
        <w:t xml:space="preserve">à inviter une conférence compétente future à </w:t>
      </w:r>
      <w:r w:rsidRPr="001956CB" w:rsidR="002A208C">
        <w:t>ré</w:t>
      </w:r>
      <w:r w:rsidRPr="001956CB" w:rsidR="00E62E0B">
        <w:t xml:space="preserve">examiner ces attributions et/ou identifications et à apporter d'autres modifications réglementaires appropriées en vue d'établir un cadre réglementaire, en tenant compte du point 5 du </w:t>
      </w:r>
      <w:r w:rsidRPr="001956CB" w:rsidR="00E62E0B">
        <w:rPr>
          <w:i/>
          <w:rPrChange w:author="F." w:date="2023-10-20T10:17:00Z" w:id="62">
            <w:rPr/>
          </w:rPrChange>
        </w:rPr>
        <w:t>décide d'inviter le Secteur des radiocommunications de l'UIT</w:t>
      </w:r>
      <w:r w:rsidRPr="001956CB" w:rsidR="00E62E0B">
        <w:t xml:space="preserve"> ci-dessus</w:t>
      </w:r>
      <w:r w:rsidRPr="001956CB" w:rsidR="009A4F02">
        <w:t>.</w:t>
      </w:r>
    </w:p>
    <w:sectPr>
      <w:pgSz w:w="11907" w:h="16840" w:orient="portrait" w:code="9"/>
      <w:pgMar w:top="1418" w:right="1134" w:bottom="1418" w:left="1134" w:header="720" w:footer="7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C621" w14:textId="77777777" w:rsidR="00CB685A" w:rsidRDefault="00CB685A">
      <w:r>
        <w:separator/>
      </w:r>
    </w:p>
  </w:endnote>
  <w:endnote w:type="continuationSeparator" w:id="0">
    <w:p w14:paraId="6FDDFB72" w14:textId="77777777" w:rsidR="00CB685A" w:rsidRDefault="00CB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26A8" w14:textId="77777777" w:rsidR="00CB685A" w:rsidRDefault="00CB685A">
      <w:r>
        <w:rPr>
          <w:b/>
        </w:rPr>
        <w:t>_______________</w:t>
      </w:r>
    </w:p>
  </w:footnote>
  <w:footnote w:type="continuationSeparator" w:id="0">
    <w:p w14:paraId="7461CEA6" w14:textId="77777777" w:rsidR="00CB685A" w:rsidRDefault="00CB685A">
      <w:r>
        <w:continuationSeparator/>
      </w:r>
    </w:p>
  </w:footnote>
  <w:footnote w:id="1">
    <w:p w14:paraId="5DBE7DC1" w14:textId="505C51B6" w:rsidR="00F56267" w:rsidRPr="00670487" w:rsidRDefault="00F56267" w:rsidP="00F56267">
      <w:pPr>
        <w:pStyle w:val="FootnoteText"/>
        <w:rPr>
          <w:rPrChange w:id="9" w:author="F." w:date="2023-10-20T08:44:00Z">
            <w:rPr>
              <w:lang w:val="en-US"/>
            </w:rPr>
          </w:rPrChange>
        </w:rPr>
      </w:pPr>
      <w:r w:rsidRPr="00E44F98">
        <w:rPr>
          <w:rStyle w:val="FootnoteReference"/>
        </w:rPr>
        <w:footnoteRef/>
      </w:r>
      <w:r w:rsidRPr="00E44F98">
        <w:tab/>
      </w:r>
      <w:r w:rsidR="00670487" w:rsidRPr="00E44F98">
        <w:rPr>
          <w:rPrChange w:id="10" w:author="F." w:date="2023-10-20T08:44:00Z">
            <w:rPr>
              <w:lang w:val="en-US"/>
            </w:rPr>
          </w:rPrChange>
        </w:rPr>
        <w:t>En juillet</w:t>
      </w:r>
      <w:r w:rsidRPr="00E44F98">
        <w:rPr>
          <w:rPrChange w:id="11" w:author="F." w:date="2023-10-20T08:44:00Z">
            <w:rPr>
              <w:lang w:val="en-US"/>
            </w:rPr>
          </w:rPrChange>
        </w:rPr>
        <w:t xml:space="preserve"> 2023</w:t>
      </w:r>
      <w:r w:rsidR="00670487" w:rsidRPr="00E44F98">
        <w:rPr>
          <w:rPrChange w:id="12" w:author="F." w:date="2023-10-20T08:44:00Z">
            <w:rPr>
              <w:lang w:val="en-US"/>
            </w:rPr>
          </w:rPrChange>
        </w:rPr>
        <w:t>, les accords</w:t>
      </w:r>
      <w:r w:rsidRPr="00E44F98">
        <w:rPr>
          <w:rPrChange w:id="13" w:author="F." w:date="2023-10-20T08:44:00Z">
            <w:rPr>
              <w:lang w:val="en-US"/>
            </w:rPr>
          </w:rPrChange>
        </w:rPr>
        <w:t xml:space="preserve"> </w:t>
      </w:r>
      <w:r w:rsidR="00670487" w:rsidRPr="00E44F98">
        <w:rPr>
          <w:rPrChange w:id="14" w:author="F." w:date="2023-10-20T08:44:00Z">
            <w:rPr>
              <w:lang w:val="en-US"/>
            </w:rPr>
          </w:rPrChange>
        </w:rPr>
        <w:t xml:space="preserve">Artemis étaient signés par les gouvernements des pays suivants: </w:t>
      </w:r>
      <w:r w:rsidR="00E44F98" w:rsidRPr="00E44F98">
        <w:t xml:space="preserve">Arabie saoudite, </w:t>
      </w:r>
      <w:r w:rsidR="00670487" w:rsidRPr="00E44F98">
        <w:rPr>
          <w:rPrChange w:id="15" w:author="F." w:date="2023-10-20T08:44:00Z">
            <w:rPr>
              <w:lang w:val="en-US"/>
            </w:rPr>
          </w:rPrChange>
        </w:rPr>
        <w:t>Argentine, Australie, Bahreï</w:t>
      </w:r>
      <w:r w:rsidRPr="00E44F98">
        <w:rPr>
          <w:rPrChange w:id="16" w:author="F." w:date="2023-10-20T08:44:00Z">
            <w:rPr>
              <w:lang w:val="en-US"/>
            </w:rPr>
          </w:rPrChange>
        </w:rPr>
        <w:t xml:space="preserve">n, </w:t>
      </w:r>
      <w:r w:rsidR="00670487" w:rsidRPr="00E44F98">
        <w:rPr>
          <w:rPrChange w:id="17" w:author="F." w:date="2023-10-20T08:44:00Z">
            <w:rPr>
              <w:lang w:val="en-US"/>
            </w:rPr>
          </w:rPrChange>
        </w:rPr>
        <w:t>Brésil, Canada, Colombie</w:t>
      </w:r>
      <w:r w:rsidRPr="00E44F98">
        <w:rPr>
          <w:rPrChange w:id="18" w:author="F." w:date="2023-10-20T08:44:00Z">
            <w:rPr>
              <w:lang w:val="en-US"/>
            </w:rPr>
          </w:rPrChange>
        </w:rPr>
        <w:t xml:space="preserve">, </w:t>
      </w:r>
      <w:r w:rsidR="00E44F98" w:rsidRPr="00E44F98">
        <w:t>Émirats arabes unis</w:t>
      </w:r>
      <w:r w:rsidR="00E44F98" w:rsidRPr="00E44F98">
        <w:rPr>
          <w:rPrChange w:id="19" w:author="F." w:date="2023-10-20T08:44:00Z">
            <w:rPr>
              <w:lang w:val="en-US"/>
            </w:rPr>
          </w:rPrChange>
        </w:rPr>
        <w:t xml:space="preserve">, </w:t>
      </w:r>
      <w:r w:rsidR="00670487" w:rsidRPr="00E44F98">
        <w:rPr>
          <w:rPrChange w:id="20" w:author="F." w:date="2023-10-20T08:44:00Z">
            <w:rPr>
              <w:lang w:val="en-US"/>
            </w:rPr>
          </w:rPrChange>
        </w:rPr>
        <w:t>Équateur</w:t>
      </w:r>
      <w:r w:rsidRPr="00E44F98">
        <w:rPr>
          <w:rPrChange w:id="21" w:author="F." w:date="2023-10-20T08:44:00Z">
            <w:rPr>
              <w:lang w:val="en-US"/>
            </w:rPr>
          </w:rPrChange>
        </w:rPr>
        <w:t xml:space="preserve">, </w:t>
      </w:r>
      <w:r w:rsidR="00E44F98" w:rsidRPr="00E44F98">
        <w:t>Espagne</w:t>
      </w:r>
      <w:r w:rsidR="00E44F98" w:rsidRPr="00E44F98">
        <w:rPr>
          <w:rPrChange w:id="22" w:author="F." w:date="2023-10-20T08:44:00Z">
            <w:rPr>
              <w:lang w:val="en-US"/>
            </w:rPr>
          </w:rPrChange>
        </w:rPr>
        <w:t xml:space="preserve">, </w:t>
      </w:r>
      <w:r w:rsidR="00E44F98" w:rsidRPr="00E44F98">
        <w:t>États-Unis</w:t>
      </w:r>
      <w:r w:rsidR="00E44F98" w:rsidRPr="00E44F98">
        <w:t xml:space="preserve">, </w:t>
      </w:r>
      <w:r w:rsidRPr="00E44F98">
        <w:rPr>
          <w:rPrChange w:id="23" w:author="F." w:date="2023-10-20T08:44:00Z">
            <w:rPr>
              <w:lang w:val="en-US"/>
            </w:rPr>
          </w:rPrChange>
        </w:rPr>
        <w:t>France, Ind</w:t>
      </w:r>
      <w:r w:rsidR="00670487" w:rsidRPr="00E44F98">
        <w:rPr>
          <w:rPrChange w:id="24" w:author="F." w:date="2023-10-20T08:44:00Z">
            <w:rPr>
              <w:lang w:val="en-US"/>
            </w:rPr>
          </w:rPrChange>
        </w:rPr>
        <w:t>e, Israël, Italie, Japo</w:t>
      </w:r>
      <w:r w:rsidRPr="00E44F98">
        <w:rPr>
          <w:rPrChange w:id="25" w:author="F." w:date="2023-10-20T08:44:00Z">
            <w:rPr>
              <w:lang w:val="en-US"/>
            </w:rPr>
          </w:rPrChange>
        </w:rPr>
        <w:t xml:space="preserve">n, </w:t>
      </w:r>
      <w:r w:rsidR="00670487" w:rsidRPr="00E44F98">
        <w:t>Luxembourg, Mexique</w:t>
      </w:r>
      <w:r w:rsidRPr="00E44F98">
        <w:rPr>
          <w:rPrChange w:id="26" w:author="F." w:date="2023-10-20T08:44:00Z">
            <w:rPr>
              <w:lang w:val="en-US"/>
            </w:rPr>
          </w:rPrChange>
        </w:rPr>
        <w:t xml:space="preserve">, </w:t>
      </w:r>
      <w:r w:rsidR="00E44F98" w:rsidRPr="00E44F98">
        <w:t>Nigé</w:t>
      </w:r>
      <w:r w:rsidR="00E44F98" w:rsidRPr="00E44F98">
        <w:rPr>
          <w:rPrChange w:id="27" w:author="F." w:date="2023-10-20T08:44:00Z">
            <w:rPr>
              <w:lang w:val="en-US"/>
            </w:rPr>
          </w:rPrChange>
        </w:rPr>
        <w:t xml:space="preserve">ria, </w:t>
      </w:r>
      <w:r w:rsidR="00670487" w:rsidRPr="00E44F98">
        <w:t>Nouvelle-Zélande, Pologne</w:t>
      </w:r>
      <w:r w:rsidRPr="00E44F98">
        <w:rPr>
          <w:rPrChange w:id="28" w:author="F." w:date="2023-10-20T08:44:00Z">
            <w:rPr>
              <w:lang w:val="en-US"/>
            </w:rPr>
          </w:rPrChange>
        </w:rPr>
        <w:t xml:space="preserve">, </w:t>
      </w:r>
      <w:r w:rsidR="00E44F98" w:rsidRPr="00E44F98">
        <w:t xml:space="preserve">République de Corée, </w:t>
      </w:r>
      <w:r w:rsidR="00E44F98" w:rsidRPr="00E44F98">
        <w:rPr>
          <w:rPrChange w:id="29" w:author="F." w:date="2023-10-20T08:44:00Z">
            <w:rPr>
              <w:lang w:val="en-US"/>
            </w:rPr>
          </w:rPrChange>
        </w:rPr>
        <w:t xml:space="preserve">République tchèque, </w:t>
      </w:r>
      <w:r w:rsidR="00670487" w:rsidRPr="00E44F98">
        <w:t>Roumanie</w:t>
      </w:r>
      <w:r w:rsidRPr="00E44F98">
        <w:rPr>
          <w:rPrChange w:id="30" w:author="F." w:date="2023-10-20T08:44:00Z">
            <w:rPr>
              <w:lang w:val="en-US"/>
            </w:rPr>
          </w:rPrChange>
        </w:rPr>
        <w:t xml:space="preserve">, </w:t>
      </w:r>
      <w:r w:rsidR="00E44F98" w:rsidRPr="00E44F98">
        <w:t>Royaume-Uni</w:t>
      </w:r>
      <w:r w:rsidR="00E44F98" w:rsidRPr="00E44F98">
        <w:t xml:space="preserve">, </w:t>
      </w:r>
      <w:r w:rsidRPr="00E44F98">
        <w:rPr>
          <w:rPrChange w:id="31" w:author="F." w:date="2023-10-20T08:44:00Z">
            <w:rPr>
              <w:lang w:val="en-US"/>
            </w:rPr>
          </w:rPrChange>
        </w:rPr>
        <w:t xml:space="preserve">Rwanda, </w:t>
      </w:r>
      <w:r w:rsidR="00670487" w:rsidRPr="00E44F98">
        <w:t>Singapour</w:t>
      </w:r>
      <w:r w:rsidR="00E44F98" w:rsidRPr="00E44F98">
        <w:t xml:space="preserve"> et</w:t>
      </w:r>
      <w:r w:rsidRPr="00E44F98">
        <w:rPr>
          <w:rPrChange w:id="32" w:author="F." w:date="2023-10-20T08:44:00Z">
            <w:rPr>
              <w:lang w:val="en-US"/>
            </w:rPr>
          </w:rPrChange>
        </w:rPr>
        <w:t xml:space="preserve"> Ukraine.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07570629">
    <w:abstractNumId w:val="0"/>
  </w:num>
  <w:num w:numId="2" w16cid:durableId="207188357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338B"/>
    <w:rsid w:val="00007EC7"/>
    <w:rsid w:val="00010B43"/>
    <w:rsid w:val="00016648"/>
    <w:rsid w:val="00024170"/>
    <w:rsid w:val="0003522F"/>
    <w:rsid w:val="00054281"/>
    <w:rsid w:val="00063A1F"/>
    <w:rsid w:val="00072FA4"/>
    <w:rsid w:val="00080E2C"/>
    <w:rsid w:val="00081366"/>
    <w:rsid w:val="000863B3"/>
    <w:rsid w:val="000A01D9"/>
    <w:rsid w:val="000A4755"/>
    <w:rsid w:val="000A55AE"/>
    <w:rsid w:val="000A6176"/>
    <w:rsid w:val="000B2E0C"/>
    <w:rsid w:val="000B3D0C"/>
    <w:rsid w:val="000B4382"/>
    <w:rsid w:val="000D66DB"/>
    <w:rsid w:val="001167B9"/>
    <w:rsid w:val="00122D83"/>
    <w:rsid w:val="001267A0"/>
    <w:rsid w:val="0015203F"/>
    <w:rsid w:val="00160C64"/>
    <w:rsid w:val="0018169B"/>
    <w:rsid w:val="0019352B"/>
    <w:rsid w:val="001952CE"/>
    <w:rsid w:val="001956CB"/>
    <w:rsid w:val="001960D0"/>
    <w:rsid w:val="001A11F6"/>
    <w:rsid w:val="001A4835"/>
    <w:rsid w:val="001B5B04"/>
    <w:rsid w:val="001F17E8"/>
    <w:rsid w:val="00204306"/>
    <w:rsid w:val="0022062F"/>
    <w:rsid w:val="00225CF2"/>
    <w:rsid w:val="00232FD2"/>
    <w:rsid w:val="0026554E"/>
    <w:rsid w:val="002A162D"/>
    <w:rsid w:val="002A208C"/>
    <w:rsid w:val="002A4622"/>
    <w:rsid w:val="002A48E8"/>
    <w:rsid w:val="002A6F8F"/>
    <w:rsid w:val="002B1308"/>
    <w:rsid w:val="002B17E5"/>
    <w:rsid w:val="002C0EBF"/>
    <w:rsid w:val="002C28A4"/>
    <w:rsid w:val="002D2ADD"/>
    <w:rsid w:val="002D4250"/>
    <w:rsid w:val="002D7E0A"/>
    <w:rsid w:val="00315AFE"/>
    <w:rsid w:val="003411F6"/>
    <w:rsid w:val="003606A6"/>
    <w:rsid w:val="0036445B"/>
    <w:rsid w:val="0036650C"/>
    <w:rsid w:val="00376594"/>
    <w:rsid w:val="00393ACD"/>
    <w:rsid w:val="003A3331"/>
    <w:rsid w:val="003A583E"/>
    <w:rsid w:val="003B1640"/>
    <w:rsid w:val="003D5943"/>
    <w:rsid w:val="003E112B"/>
    <w:rsid w:val="003E121C"/>
    <w:rsid w:val="003E1D1C"/>
    <w:rsid w:val="003E604B"/>
    <w:rsid w:val="003E7B05"/>
    <w:rsid w:val="003F3719"/>
    <w:rsid w:val="003F5F6D"/>
    <w:rsid w:val="003F6F2D"/>
    <w:rsid w:val="00407AF5"/>
    <w:rsid w:val="00422D5F"/>
    <w:rsid w:val="00431A2A"/>
    <w:rsid w:val="00431A60"/>
    <w:rsid w:val="00455BFC"/>
    <w:rsid w:val="00466211"/>
    <w:rsid w:val="004712CC"/>
    <w:rsid w:val="00483196"/>
    <w:rsid w:val="004834A9"/>
    <w:rsid w:val="0048492A"/>
    <w:rsid w:val="004C269A"/>
    <w:rsid w:val="004D01FC"/>
    <w:rsid w:val="004E28C3"/>
    <w:rsid w:val="004F1F8E"/>
    <w:rsid w:val="004F79F0"/>
    <w:rsid w:val="00512A32"/>
    <w:rsid w:val="005343DA"/>
    <w:rsid w:val="0055563D"/>
    <w:rsid w:val="00560874"/>
    <w:rsid w:val="00586CF2"/>
    <w:rsid w:val="005A7C75"/>
    <w:rsid w:val="005C3768"/>
    <w:rsid w:val="005C6C3F"/>
    <w:rsid w:val="00604667"/>
    <w:rsid w:val="00613635"/>
    <w:rsid w:val="0062093D"/>
    <w:rsid w:val="00622289"/>
    <w:rsid w:val="00637ECF"/>
    <w:rsid w:val="00642E26"/>
    <w:rsid w:val="00643F3B"/>
    <w:rsid w:val="00647B59"/>
    <w:rsid w:val="0065712D"/>
    <w:rsid w:val="00662B32"/>
    <w:rsid w:val="00670487"/>
    <w:rsid w:val="00685310"/>
    <w:rsid w:val="00690C7B"/>
    <w:rsid w:val="006A4B45"/>
    <w:rsid w:val="006D2686"/>
    <w:rsid w:val="006D4724"/>
    <w:rsid w:val="006F5FA2"/>
    <w:rsid w:val="0070076C"/>
    <w:rsid w:val="00701BAE"/>
    <w:rsid w:val="00707E43"/>
    <w:rsid w:val="007177AB"/>
    <w:rsid w:val="00721F04"/>
    <w:rsid w:val="007247CE"/>
    <w:rsid w:val="00730E95"/>
    <w:rsid w:val="007426B9"/>
    <w:rsid w:val="00754537"/>
    <w:rsid w:val="00764342"/>
    <w:rsid w:val="00774362"/>
    <w:rsid w:val="00786598"/>
    <w:rsid w:val="00790C74"/>
    <w:rsid w:val="007A04E8"/>
    <w:rsid w:val="007B2C34"/>
    <w:rsid w:val="007B6B2D"/>
    <w:rsid w:val="007D3286"/>
    <w:rsid w:val="007E1C8E"/>
    <w:rsid w:val="007E2F04"/>
    <w:rsid w:val="007E7B1F"/>
    <w:rsid w:val="007F282B"/>
    <w:rsid w:val="00830086"/>
    <w:rsid w:val="00851625"/>
    <w:rsid w:val="00852B58"/>
    <w:rsid w:val="00863C0A"/>
    <w:rsid w:val="0086568A"/>
    <w:rsid w:val="00873C1B"/>
    <w:rsid w:val="008945D0"/>
    <w:rsid w:val="008A3120"/>
    <w:rsid w:val="008A4B97"/>
    <w:rsid w:val="008C5B8E"/>
    <w:rsid w:val="008C5DD5"/>
    <w:rsid w:val="008C7123"/>
    <w:rsid w:val="008D41BE"/>
    <w:rsid w:val="008D58D3"/>
    <w:rsid w:val="008E3BC9"/>
    <w:rsid w:val="00911166"/>
    <w:rsid w:val="00923064"/>
    <w:rsid w:val="009277F5"/>
    <w:rsid w:val="00930FFD"/>
    <w:rsid w:val="00936D25"/>
    <w:rsid w:val="00941EA5"/>
    <w:rsid w:val="009529D2"/>
    <w:rsid w:val="00964700"/>
    <w:rsid w:val="00966C16"/>
    <w:rsid w:val="00973955"/>
    <w:rsid w:val="009844C4"/>
    <w:rsid w:val="0098732F"/>
    <w:rsid w:val="009A045F"/>
    <w:rsid w:val="009A066F"/>
    <w:rsid w:val="009A4F02"/>
    <w:rsid w:val="009A6A2B"/>
    <w:rsid w:val="009C7E7C"/>
    <w:rsid w:val="009E5756"/>
    <w:rsid w:val="00A00473"/>
    <w:rsid w:val="00A03C9B"/>
    <w:rsid w:val="00A05DFB"/>
    <w:rsid w:val="00A20E04"/>
    <w:rsid w:val="00A234FF"/>
    <w:rsid w:val="00A37105"/>
    <w:rsid w:val="00A529F2"/>
    <w:rsid w:val="00A606C3"/>
    <w:rsid w:val="00A83B09"/>
    <w:rsid w:val="00A84541"/>
    <w:rsid w:val="00A8575D"/>
    <w:rsid w:val="00AB431B"/>
    <w:rsid w:val="00AD0941"/>
    <w:rsid w:val="00AD16FF"/>
    <w:rsid w:val="00AE36A0"/>
    <w:rsid w:val="00AF61B9"/>
    <w:rsid w:val="00B00294"/>
    <w:rsid w:val="00B0264F"/>
    <w:rsid w:val="00B3749C"/>
    <w:rsid w:val="00B4487C"/>
    <w:rsid w:val="00B64FD0"/>
    <w:rsid w:val="00BA5BD0"/>
    <w:rsid w:val="00BB1D82"/>
    <w:rsid w:val="00BC217E"/>
    <w:rsid w:val="00BD51C5"/>
    <w:rsid w:val="00BF26E7"/>
    <w:rsid w:val="00C1305F"/>
    <w:rsid w:val="00C24E63"/>
    <w:rsid w:val="00C316AA"/>
    <w:rsid w:val="00C53FCA"/>
    <w:rsid w:val="00C70918"/>
    <w:rsid w:val="00C71DEB"/>
    <w:rsid w:val="00C73275"/>
    <w:rsid w:val="00C73E0B"/>
    <w:rsid w:val="00C76BAF"/>
    <w:rsid w:val="00C814B9"/>
    <w:rsid w:val="00C85C05"/>
    <w:rsid w:val="00CA71B5"/>
    <w:rsid w:val="00CB685A"/>
    <w:rsid w:val="00CB784C"/>
    <w:rsid w:val="00CD516F"/>
    <w:rsid w:val="00D119A7"/>
    <w:rsid w:val="00D219E1"/>
    <w:rsid w:val="00D25FBA"/>
    <w:rsid w:val="00D30D37"/>
    <w:rsid w:val="00D32B28"/>
    <w:rsid w:val="00D3426F"/>
    <w:rsid w:val="00D42954"/>
    <w:rsid w:val="00D662FB"/>
    <w:rsid w:val="00D66EAC"/>
    <w:rsid w:val="00D730DF"/>
    <w:rsid w:val="00D772F0"/>
    <w:rsid w:val="00D77BDC"/>
    <w:rsid w:val="00D806EF"/>
    <w:rsid w:val="00DB2EE5"/>
    <w:rsid w:val="00DC402B"/>
    <w:rsid w:val="00DE0932"/>
    <w:rsid w:val="00DE31F6"/>
    <w:rsid w:val="00DF15E8"/>
    <w:rsid w:val="00E007DA"/>
    <w:rsid w:val="00E00C59"/>
    <w:rsid w:val="00E03A27"/>
    <w:rsid w:val="00E049F1"/>
    <w:rsid w:val="00E37A25"/>
    <w:rsid w:val="00E40C03"/>
    <w:rsid w:val="00E44F98"/>
    <w:rsid w:val="00E537FF"/>
    <w:rsid w:val="00E546D4"/>
    <w:rsid w:val="00E60CB2"/>
    <w:rsid w:val="00E61F6B"/>
    <w:rsid w:val="00E62E0B"/>
    <w:rsid w:val="00E6539B"/>
    <w:rsid w:val="00E70A31"/>
    <w:rsid w:val="00E723A7"/>
    <w:rsid w:val="00E738D4"/>
    <w:rsid w:val="00E808C5"/>
    <w:rsid w:val="00E96532"/>
    <w:rsid w:val="00EA3F38"/>
    <w:rsid w:val="00EA5AB6"/>
    <w:rsid w:val="00EB1F2A"/>
    <w:rsid w:val="00EB579A"/>
    <w:rsid w:val="00EC7615"/>
    <w:rsid w:val="00ED16AA"/>
    <w:rsid w:val="00ED6B8D"/>
    <w:rsid w:val="00EE3D7B"/>
    <w:rsid w:val="00EF0E5C"/>
    <w:rsid w:val="00EF662E"/>
    <w:rsid w:val="00F10064"/>
    <w:rsid w:val="00F148F1"/>
    <w:rsid w:val="00F1752E"/>
    <w:rsid w:val="00F373D1"/>
    <w:rsid w:val="00F41BA6"/>
    <w:rsid w:val="00F47ADA"/>
    <w:rsid w:val="00F56267"/>
    <w:rsid w:val="00F644B8"/>
    <w:rsid w:val="00F711A7"/>
    <w:rsid w:val="00F85674"/>
    <w:rsid w:val="00F87A08"/>
    <w:rsid w:val="00FA3BBF"/>
    <w:rsid w:val="00FB7151"/>
    <w:rsid w:val="00FC41F8"/>
    <w:rsid w:val="00FD250C"/>
    <w:rsid w:val="00FD7AA3"/>
    <w:rsid w:val="00FE4C14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2777FE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link w:val="ReasonsChar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ui-provider">
    <w:name w:val="ui-provider"/>
    <w:basedOn w:val="DefaultParagraphFont"/>
    <w:rsid w:val="00AF61B9"/>
  </w:style>
  <w:style w:type="character" w:customStyle="1" w:styleId="CallChar">
    <w:name w:val="Call Char"/>
    <w:basedOn w:val="DefaultParagraphFont"/>
    <w:link w:val="Call"/>
    <w:locked/>
    <w:rsid w:val="00F87A08"/>
    <w:rPr>
      <w:rFonts w:ascii="Times New Roman" w:hAnsi="Times New Roman"/>
      <w:i/>
      <w:sz w:val="24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F56267"/>
    <w:rPr>
      <w:rFonts w:ascii="Times New Roman" w:hAnsi="Times New Roman"/>
      <w:sz w:val="24"/>
      <w:lang w:val="fr-FR" w:eastAsia="en-US"/>
    </w:rPr>
  </w:style>
  <w:style w:type="character" w:customStyle="1" w:styleId="HeadingbChar">
    <w:name w:val="Heading_b Char"/>
    <w:link w:val="Headingb"/>
    <w:uiPriority w:val="99"/>
    <w:qFormat/>
    <w:locked/>
    <w:rsid w:val="00F56267"/>
    <w:rPr>
      <w:rFonts w:ascii="Times New Roman" w:hAnsi="Times New Roman"/>
      <w:b/>
      <w:sz w:val="24"/>
      <w:lang w:val="fr-FR" w:eastAsia="en-US"/>
    </w:rPr>
  </w:style>
  <w:style w:type="character" w:customStyle="1" w:styleId="ReasonsChar">
    <w:name w:val="Reasons Char"/>
    <w:link w:val="Reasons"/>
    <w:locked/>
    <w:rsid w:val="00F56267"/>
    <w:rPr>
      <w:rFonts w:ascii="Times New Roman" w:hAnsi="Times New Roman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F47A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7AD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7ADA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7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7ADA"/>
    <w:rPr>
      <w:rFonts w:ascii="Times New Roman" w:hAnsi="Times New Roman"/>
      <w:b/>
      <w:bCs/>
      <w:lang w:val="fr-FR" w:eastAsia="en-US"/>
    </w:rPr>
  </w:style>
  <w:style w:type="paragraph" w:styleId="Revision">
    <w:name w:val="Revision"/>
    <w:hidden/>
    <w:uiPriority w:val="99"/>
    <w:semiHidden/>
    <w:rsid w:val="00F47ADA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F47AD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7ADA"/>
    <w:rPr>
      <w:rFonts w:ascii="Segoe UI" w:hAnsi="Segoe UI" w:cs="Segoe UI"/>
      <w:sz w:val="18"/>
      <w:szCs w:val="18"/>
      <w:lang w:val="fr-FR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f0d8947a0f0b4e15" /><Relationship Type="http://schemas.openxmlformats.org/officeDocument/2006/relationships/styles" Target="/word/styles.xml" Id="R614a51135a934bb1" /><Relationship Type="http://schemas.openxmlformats.org/officeDocument/2006/relationships/theme" Target="/word/theme/theme1.xml" Id="Rbc5547971d144080" /><Relationship Type="http://schemas.openxmlformats.org/officeDocument/2006/relationships/fontTable" Target="/word/fontTable.xml" Id="R55c4c8b21f3c47c5" /><Relationship Type="http://schemas.openxmlformats.org/officeDocument/2006/relationships/numbering" Target="/word/numbering.xml" Id="R42fdd45ee3f845dc" /><Relationship Type="http://schemas.openxmlformats.org/officeDocument/2006/relationships/endnotes" Target="/word/endnotes.xml" Id="Rf630d5ff5bf74909" /><Relationship Type="http://schemas.openxmlformats.org/officeDocument/2006/relationships/settings" Target="/word/settings.xml" Id="R1840d0c0c07c42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