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4c3f026200f4b6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20C7A" w:rsidR="006A6EC6" w:rsidRDefault="005250A9" w14:paraId="3E2BF682" w14:textId="77777777">
      <w:pPr>
        <w:pStyle w:val="Proposal"/>
        <w:rPr>
          <w:lang w:val="en-GB"/>
        </w:rPr>
      </w:pPr>
      <w:r w:rsidRPr="00420C7A">
        <w:rPr>
          <w:lang w:val="en-GB"/>
        </w:rPr>
        <w:t>ADD</w:t>
      </w:r>
      <w:r w:rsidRPr="00420C7A">
        <w:rPr>
          <w:lang w:val="en-GB"/>
        </w:rPr>
        <w:tab/>
        <w:t>CBG/CHN/LAO/MLD/BRM/CLN/181/6</w:t>
      </w:r>
      <w:r w:rsidRPr="00420C7A">
        <w:rPr>
          <w:vanish/>
          <w:color w:val="7F7F7F" w:themeColor="text1" w:themeTint="80"/>
          <w:vertAlign w:val="superscript"/>
          <w:lang w:val="en-GB"/>
        </w:rPr>
        <w:t>#1370</w:t>
      </w:r>
    </w:p>
    <w:p w:rsidRPr="00150F10" w:rsidR="00C86F5B" w:rsidP="00085EB5" w:rsidRDefault="005250A9" w14:paraId="0E2D2BC7" w14:textId="461C5646">
      <w:pPr>
        <w:pStyle w:val="ResNo"/>
      </w:pPr>
      <w:r w:rsidRPr="001A3FBA">
        <w:t xml:space="preserve">PROYECTO DE NUEVA RESOLUCIÓN </w:t>
      </w:r>
      <w:r w:rsidRPr="001A3FBA" w:rsidR="00085EB5">
        <w:t>[CBG/CHN/LAO/MLD/BRM/CLN</w:t>
      </w:r>
      <w:r w:rsidR="00150F10">
        <w:noBreakHyphen/>
      </w:r>
      <w:r w:rsidRPr="001A3FBA" w:rsidR="00085EB5">
        <w:t>6</w:t>
      </w:r>
      <w:r w:rsidR="00150F10">
        <w:t> </w:t>
      </w:r>
      <w:r w:rsidRPr="001A3FBA" w:rsidR="00085EB5">
        <w:t>GHz]</w:t>
      </w:r>
      <w:r w:rsidRPr="001A3FBA">
        <w:t xml:space="preserve"> (CMR-23)</w:t>
      </w:r>
    </w:p>
    <w:p w:rsidRPr="001A3FBA" w:rsidR="00C86F5B" w:rsidP="00FD12EE" w:rsidRDefault="005250A9" w14:paraId="75F53121" w14:textId="33B09DDB">
      <w:pPr>
        <w:pStyle w:val="Restitle"/>
      </w:pPr>
      <w:bookmarkStart w:name="_Toc36190238" w:id="20"/>
      <w:bookmarkStart w:name="_Toc39734918" w:id="21"/>
      <w:r w:rsidRPr="001A3FBA">
        <w:t xml:space="preserve">Componente terrenal de las Telecomunicaciones Móviles Internacionales </w:t>
      </w:r>
      <w:r w:rsidRPr="001A3FBA">
        <w:br/>
        <w:t>en la banda de frecuencias 6 425-7</w:t>
      </w:r>
      <w:r w:rsidR="00463FB5">
        <w:t> </w:t>
      </w:r>
      <w:r w:rsidRPr="001A3FBA">
        <w:t>025 GHz</w:t>
      </w:r>
      <w:bookmarkEnd w:id="20"/>
      <w:bookmarkEnd w:id="21"/>
      <w:r w:rsidRPr="001A3FBA">
        <w:rPr>
          <w:rFonts w:ascii="Times New Roman" w:hAnsi="Times New Roman"/>
          <w:b w:val="0"/>
          <w:sz w:val="24"/>
        </w:rPr>
        <w:t xml:space="preserve"> </w:t>
      </w:r>
      <w:r w:rsidRPr="001A3FBA">
        <w:t>en la Región</w:t>
      </w:r>
      <w:r w:rsidR="00326155">
        <w:t> </w:t>
      </w:r>
      <w:r w:rsidRPr="001A3FBA">
        <w:t xml:space="preserve">1 </w:t>
      </w:r>
      <w:r w:rsidRPr="001A3FBA" w:rsidR="00085EB5">
        <w:t>y</w:t>
      </w:r>
      <w:r w:rsidRPr="001A3FBA" w:rsidR="00672433">
        <w:t xml:space="preserve"> </w:t>
      </w:r>
      <w:r w:rsidR="00150F10">
        <w:br/>
      </w:r>
      <w:r w:rsidRPr="001A3FBA" w:rsidR="00672433">
        <w:t>en</w:t>
      </w:r>
      <w:r w:rsidRPr="001A3FBA" w:rsidR="00085EB5">
        <w:t xml:space="preserve"> varios países de la Región</w:t>
      </w:r>
      <w:r w:rsidR="00326155">
        <w:t> </w:t>
      </w:r>
      <w:r w:rsidRPr="001A3FBA" w:rsidR="00085EB5">
        <w:t xml:space="preserve">3 </w:t>
      </w:r>
      <w:r w:rsidRPr="001A3FBA">
        <w:t xml:space="preserve">y en la banda de frecuencias </w:t>
      </w:r>
      <w:r w:rsidR="00150F10">
        <w:br/>
      </w:r>
      <w:r w:rsidRPr="001A3FBA">
        <w:t>7</w:t>
      </w:r>
      <w:r w:rsidR="00463FB5">
        <w:t> </w:t>
      </w:r>
      <w:r w:rsidRPr="001A3FBA">
        <w:t>025-7</w:t>
      </w:r>
      <w:r w:rsidR="00463FB5">
        <w:t> </w:t>
      </w:r>
      <w:r w:rsidRPr="001A3FBA">
        <w:t>125</w:t>
      </w:r>
      <w:r w:rsidR="00463FB5">
        <w:t> </w:t>
      </w:r>
      <w:r w:rsidRPr="001A3FBA">
        <w:t>MHz en todas las Regiones</w:t>
      </w:r>
    </w:p>
    <w:p w:rsidRPr="001A3FBA" w:rsidR="00C86F5B" w:rsidP="00FD12EE" w:rsidRDefault="005250A9" w14:paraId="5A6AB5E6" w14:textId="77777777">
      <w:pPr>
        <w:pStyle w:val="Normalaftertitle"/>
      </w:pPr>
      <w:r w:rsidRPr="001A3FBA">
        <w:t>La Conferencia Mundial de Radiocomunicaciones (Dubái, 2023),</w:t>
      </w:r>
    </w:p>
    <w:p w:rsidRPr="001A3FBA" w:rsidR="00C86F5B" w:rsidP="00FD12EE" w:rsidRDefault="005250A9" w14:paraId="4AD11C95" w14:textId="77777777">
      <w:pPr>
        <w:pStyle w:val="Call"/>
      </w:pPr>
      <w:r w:rsidRPr="001A3FBA">
        <w:t>considerando</w:t>
      </w:r>
    </w:p>
    <w:p w:rsidRPr="001A3FBA" w:rsidR="00C86F5B" w:rsidP="00FD12EE" w:rsidRDefault="005250A9" w14:paraId="53426CC6" w14:textId="77777777">
      <w:r w:rsidRPr="001A3FBA">
        <w:rPr>
          <w:i/>
          <w:iCs/>
        </w:rPr>
        <w:t>a)</w:t>
      </w:r>
      <w:r w:rsidRPr="001A3FBA">
        <w:rPr>
          <w:i/>
          <w:iCs/>
        </w:rPr>
        <w:tab/>
      </w:r>
      <w:r w:rsidRPr="001A3FBA">
        <w:t>que las telecomunicaciones móviles internacionales (IMT), incluidas las IMT</w:t>
      </w:r>
      <w:r w:rsidRPr="001A3FBA">
        <w:noBreakHyphen/>
        <w:t>2000, IMT</w:t>
      </w:r>
      <w:r w:rsidRPr="001A3FBA">
        <w:noBreakHyphen/>
        <w:t>Avanzadas e IMT</w:t>
      </w:r>
      <w:r w:rsidRPr="001A3FBA">
        <w:noBreakHyphen/>
        <w:t>2020, constituyen la visión de la UIT sobre el acceso móvil a escala mundial y tienen por objeto proporcionar servicios de telecomunicaciones a escala mundial, con independencia de la ubicación y el tipo de red o de terminal;</w:t>
      </w:r>
    </w:p>
    <w:p w:rsidRPr="001A3FBA" w:rsidR="00C86F5B" w:rsidP="00FD12EE" w:rsidRDefault="005250A9" w14:paraId="3653D04E" w14:textId="77777777">
      <w:r w:rsidRPr="001A3FBA">
        <w:rPr>
          <w:i/>
          <w:iCs/>
        </w:rPr>
        <w:t>b)</w:t>
      </w:r>
      <w:r w:rsidRPr="001A3FBA">
        <w:tab/>
        <w:t>que es conveniente definir bandas de frecuencias armonizadas a escala mundial para las IMT a fin de lograr la itinerancia mundial y aprovechar las economías de escala;</w:t>
      </w:r>
    </w:p>
    <w:p w:rsidRPr="001A3FBA" w:rsidR="00C86F5B" w:rsidP="00FD12EE" w:rsidRDefault="005250A9" w14:paraId="486B1B26" w14:textId="77777777">
      <w:r w:rsidRPr="001A3FBA">
        <w:rPr>
          <w:i/>
          <w:iCs/>
        </w:rPr>
        <w:t>c)</w:t>
      </w:r>
      <w:r w:rsidRPr="001A3FBA">
        <w:tab/>
        <w:t>que la identificación de bandas de frecuencias atribuidas al servicio móvil de las IMT puede alterar la situación de compartición respecto de las aplicaciones de servicios a los que la banda de frecuencias ya está atribuida, y puede obligar a tomar medidas reglamentarias adicionales;</w:t>
      </w:r>
    </w:p>
    <w:p w:rsidRPr="001A3FBA" w:rsidR="00C86F5B" w:rsidP="00085EB5" w:rsidRDefault="005250A9" w14:paraId="4665B3C9" w14:textId="02E1554A">
      <w:pPr>
        <w:rPr>
          <w:i/>
          <w:iCs/>
        </w:rPr>
      </w:pPr>
      <w:r w:rsidRPr="001A3FBA">
        <w:rPr>
          <w:i/>
          <w:iCs/>
        </w:rPr>
        <w:t>d)</w:t>
      </w:r>
      <w:r w:rsidRPr="001A3FBA">
        <w:tab/>
        <w:t>que, en el marco de la preparación de la CMR-23, el UIT-R ha estudiado la compartición y compatibilidad con los servicios a que está</w:t>
      </w:r>
      <w:r w:rsidRPr="001A3FBA" w:rsidR="00085EB5">
        <w:t>n</w:t>
      </w:r>
      <w:r w:rsidRPr="001A3FBA">
        <w:t xml:space="preserve"> atribuida</w:t>
      </w:r>
      <w:r w:rsidRPr="001A3FBA" w:rsidR="00085EB5">
        <w:t>s</w:t>
      </w:r>
      <w:r w:rsidRPr="001A3FBA">
        <w:t xml:space="preserve"> la banda 6</w:t>
      </w:r>
      <w:r w:rsidR="00463FB5">
        <w:t> </w:t>
      </w:r>
      <w:r w:rsidRPr="001A3FBA">
        <w:t>425-7</w:t>
      </w:r>
      <w:r w:rsidR="00463FB5">
        <w:t> </w:t>
      </w:r>
      <w:r w:rsidRPr="001A3FBA">
        <w:t>125</w:t>
      </w:r>
      <w:r w:rsidR="00463FB5">
        <w:t> </w:t>
      </w:r>
      <w:r w:rsidRPr="001A3FBA">
        <w:t>MHz y sus bandas adyacentes, según proceda, sobre la base de las características disponibles en ese momento, y que los resultados podrán ser distintos de cambiar dichas características;</w:t>
      </w:r>
    </w:p>
    <w:p w:rsidRPr="001A3FBA" w:rsidR="00C86F5B" w:rsidP="00FD12EE" w:rsidRDefault="005250A9" w14:paraId="46AEF91D" w14:textId="77777777">
      <w:r w:rsidRPr="001A3FBA">
        <w:rPr>
          <w:i/>
          <w:iCs/>
        </w:rPr>
        <w:t>e)</w:t>
      </w:r>
      <w:r w:rsidRPr="001A3FBA">
        <w:tab/>
        <w:t>que se supone que un número muy limitado de estaciones base IMT se comunicará apuntando con un ángulo de elevación positivo hacia estaciones móviles IMT en interiores;</w:t>
      </w:r>
    </w:p>
    <w:p w:rsidRPr="001A3FBA" w:rsidR="00C86F5B" w:rsidP="00FD12EE" w:rsidRDefault="005250A9" w14:paraId="629F2D8A" w14:textId="3E6AB9E5">
      <w:r w:rsidRPr="001A3FBA">
        <w:rPr>
          <w:i/>
          <w:iCs/>
        </w:rPr>
        <w:t>f)</w:t>
      </w:r>
      <w:r w:rsidRPr="001A3FBA">
        <w:tab/>
        <w:t>que la banda de frecuencias 6</w:t>
      </w:r>
      <w:r w:rsidR="00463FB5">
        <w:t> </w:t>
      </w:r>
      <w:r w:rsidRPr="001A3FBA">
        <w:t>425-7</w:t>
      </w:r>
      <w:r w:rsidR="00463FB5">
        <w:t> </w:t>
      </w:r>
      <w:r w:rsidRPr="001A3FBA">
        <w:t>125</w:t>
      </w:r>
      <w:r w:rsidR="00463FB5">
        <w:t> </w:t>
      </w:r>
      <w:r w:rsidRPr="001A3FBA">
        <w:t>MHz, o partes de la misma, está atribuida a título primario al servicio fijo, al servicio móvil, al servicio fijo por satélite (Tierra-espacio y espacio</w:t>
      </w:r>
      <w:r w:rsidRPr="001A3FBA">
        <w:noBreakHyphen/>
        <w:t>Tierra) y al servicio de operaciones espaciales (Tierra-espacio)</w:t>
      </w:r>
      <w:r w:rsidRPr="001A3FBA" w:rsidR="00085EB5">
        <w:t>,</w:t>
      </w:r>
    </w:p>
    <w:p w:rsidRPr="001A3FBA" w:rsidR="00C86F5B" w:rsidP="00FD12EE" w:rsidRDefault="005250A9" w14:paraId="0FA2ECD0" w14:textId="77777777">
      <w:pPr>
        <w:pStyle w:val="Call"/>
      </w:pPr>
      <w:r w:rsidRPr="001A3FBA">
        <w:t>observando</w:t>
      </w:r>
    </w:p>
    <w:p w:rsidRPr="001A3FBA" w:rsidR="00C86F5B" w:rsidP="007711FD" w:rsidRDefault="005250A9" w14:paraId="7863ADB1" w14:textId="4F90FD77">
      <w:r w:rsidRPr="001A3FBA">
        <w:rPr>
          <w:i/>
          <w:iCs/>
        </w:rPr>
        <w:t>a)</w:t>
      </w:r>
      <w:r w:rsidRPr="001A3FBA">
        <w:tab/>
        <w:t>las Resoluciones</w:t>
      </w:r>
      <w:r w:rsidR="00463FB5">
        <w:t> </w:t>
      </w:r>
      <w:r w:rsidRPr="001A3FBA">
        <w:rPr>
          <w:b/>
          <w:bCs/>
        </w:rPr>
        <w:t>223 (Rev.CMR-19)</w:t>
      </w:r>
      <w:r w:rsidRPr="001A3FBA">
        <w:t xml:space="preserve">, </w:t>
      </w:r>
      <w:r w:rsidRPr="001A3FBA">
        <w:rPr>
          <w:b/>
          <w:bCs/>
        </w:rPr>
        <w:t>224 (Rev.CMR-19)</w:t>
      </w:r>
      <w:r w:rsidRPr="001A3FBA">
        <w:t xml:space="preserve">, </w:t>
      </w:r>
      <w:r w:rsidRPr="001A3FBA">
        <w:rPr>
          <w:b/>
          <w:bCs/>
        </w:rPr>
        <w:t>225 (Rev.CMR-12)</w:t>
      </w:r>
      <w:r w:rsidRPr="001A3FBA">
        <w:t xml:space="preserve">, </w:t>
      </w:r>
      <w:r w:rsidRPr="001A3FBA">
        <w:rPr>
          <w:b/>
          <w:bCs/>
        </w:rPr>
        <w:t>241 (CMR-19)</w:t>
      </w:r>
      <w:r w:rsidRPr="001A3FBA">
        <w:t xml:space="preserve">, </w:t>
      </w:r>
      <w:r w:rsidRPr="001A3FBA">
        <w:rPr>
          <w:b/>
          <w:bCs/>
        </w:rPr>
        <w:t>242 (CMR-19)</w:t>
      </w:r>
      <w:r w:rsidRPr="001A3FBA">
        <w:t xml:space="preserve"> y </w:t>
      </w:r>
      <w:r w:rsidRPr="001A3FBA">
        <w:rPr>
          <w:b/>
          <w:bCs/>
        </w:rPr>
        <w:t>243 (CMR-19)</w:t>
      </w:r>
      <w:r w:rsidRPr="001A3FBA">
        <w:t>, también relativas a las IMT;</w:t>
      </w:r>
    </w:p>
    <w:p w:rsidRPr="001A3FBA" w:rsidR="00C86F5B" w:rsidP="00FD12EE" w:rsidRDefault="005250A9" w14:paraId="230B601B" w14:textId="77777777">
      <w:r w:rsidRPr="001A3FBA">
        <w:rPr>
          <w:i/>
          <w:iCs/>
        </w:rPr>
        <w:t>b)</w:t>
      </w:r>
      <w:r w:rsidRPr="001A3FBA">
        <w:tab/>
        <w:t>que se prevé que las interfaces radioeléctricas terrenales de las IMT, definidas en las Recomendaciones UIT-R M.1457, UIT-R M.2012 y UIT-R M.2150, evolucionen dentro del marco del UIT-R más allá de lo ya especificado para ofrecer servicios mejorados y servicios que superan los previsto en la implementación inicial;</w:t>
      </w:r>
    </w:p>
    <w:p w:rsidRPr="001A3FBA" w:rsidR="00C86F5B" w:rsidP="003B6103" w:rsidRDefault="005250A9" w14:paraId="33FECCA2" w14:textId="485AD5CD">
      <w:r w:rsidRPr="00D378A5">
        <w:rPr>
          <w:i/>
          <w:iCs/>
        </w:rPr>
        <w:t>c)</w:t>
      </w:r>
      <w:r w:rsidRPr="00D378A5">
        <w:tab/>
      </w:r>
      <w:r w:rsidRPr="001A3FBA">
        <w:t>que el UIT-R ha desarrollado su perspectiva definiendo el marco y los objetivos globales de las IMT de cara a 2030 y años posteriores para orientar el futuro desarrollo de las IMT,</w:t>
      </w:r>
    </w:p>
    <w:p w:rsidRPr="001A3FBA" w:rsidR="00C86F5B" w:rsidP="00FD12EE" w:rsidRDefault="005250A9" w14:paraId="50FD393E" w14:textId="77777777">
      <w:pPr>
        <w:pStyle w:val="Call"/>
      </w:pPr>
      <w:r w:rsidRPr="001A3FBA">
        <w:t>reconociendo</w:t>
      </w:r>
    </w:p>
    <w:p w:rsidRPr="001A3FBA" w:rsidR="00C86F5B" w:rsidP="00FD12EE" w:rsidRDefault="005250A9" w14:paraId="1D89E9ED" w14:textId="77777777">
      <w:r w:rsidRPr="001A3FBA">
        <w:rPr>
          <w:i/>
          <w:iCs/>
        </w:rPr>
        <w:t>a)</w:t>
      </w:r>
      <w:r w:rsidRPr="001A3FBA">
        <w:tab/>
        <w:t>que la identificación de una banda de frecuencias para las IMT no establece prioridad alguna en el Reglamento de Radiocomunicaciones ni impide la utilización de esta banda de frecuencias por cualquier otra aplicación de los servicios a los que está atribuida;</w:t>
      </w:r>
    </w:p>
    <w:p w:rsidRPr="001A3FBA" w:rsidR="00C86F5B" w:rsidP="00A162BB" w:rsidRDefault="005250A9" w14:paraId="7CB649BA" w14:textId="5E0989F7">
      <w:r w:rsidRPr="001A3FBA">
        <w:rPr>
          <w:i/>
          <w:iCs/>
        </w:rPr>
        <w:t>b)</w:t>
      </w:r>
      <w:r w:rsidRPr="001A3FBA">
        <w:tab/>
        <w:t>que los estudios han demostrado que para proteger los enlaces de conexión del SFS no OSG (espacio-Tierra) se deben determinar distancias de protección que oscilan entre unos pocos kilómetros y decenas de kilómetros. Estas distancias de protección serán específicas de cada emplazamiento y dependerán de varios elementos, como los parámetros de propagación, la topografía local del terreno, la estación y los parámetros orbitales de los enlaces de conexión del</w:t>
      </w:r>
      <w:r w:rsidR="00A74D77">
        <w:t> </w:t>
      </w:r>
      <w:r w:rsidRPr="001A3FBA">
        <w:t>SFS no OSG (espacio-Tierra)</w:t>
      </w:r>
      <w:r w:rsidR="00420C7A">
        <w:t>;</w:t>
      </w:r>
    </w:p>
    <w:p w:rsidRPr="00420C7A" w:rsidR="00ED0ABC" w:rsidP="00420C7A" w:rsidRDefault="00ED0ABC" w14:paraId="34162BAC" w14:textId="121970BF">
      <w:r w:rsidRPr="00420C7A">
        <w:rPr>
          <w:i/>
          <w:iCs/>
        </w:rPr>
        <w:t>c)</w:t>
      </w:r>
      <w:r w:rsidRPr="00420C7A">
        <w:tab/>
        <w:t>que algunas administraciones han previsto utilizar la banda de frecuencias 6</w:t>
      </w:r>
      <w:r w:rsidR="00420C7A">
        <w:t> </w:t>
      </w:r>
      <w:r w:rsidRPr="00420C7A">
        <w:t>425</w:t>
      </w:r>
      <w:r w:rsidR="00420C7A">
        <w:noBreakHyphen/>
      </w:r>
      <w:r w:rsidRPr="00420C7A">
        <w:t>7 125</w:t>
      </w:r>
      <w:r w:rsidR="00420C7A">
        <w:t> </w:t>
      </w:r>
      <w:r w:rsidRPr="00420C7A">
        <w:t>MHz, o partes de la misma, para las IMT;</w:t>
      </w:r>
    </w:p>
    <w:p w:rsidRPr="00420C7A" w:rsidR="00ED0ABC" w:rsidP="00420C7A" w:rsidRDefault="00ED0ABC" w14:paraId="697CE359" w14:textId="387B5334">
      <w:r w:rsidRPr="00420C7A">
        <w:rPr>
          <w:i/>
          <w:iCs/>
        </w:rPr>
        <w:t>d)</w:t>
      </w:r>
      <w:r w:rsidRPr="00420C7A">
        <w:tab/>
        <w:t>que algunas administraciones están utilizando y planificando la banda de frecuencias 6</w:t>
      </w:r>
      <w:r w:rsidR="00420C7A">
        <w:t> </w:t>
      </w:r>
      <w:r w:rsidRPr="00420C7A">
        <w:t>425-7</w:t>
      </w:r>
      <w:r w:rsidR="00420C7A">
        <w:t> </w:t>
      </w:r>
      <w:r w:rsidRPr="00420C7A">
        <w:t>125</w:t>
      </w:r>
      <w:r w:rsidR="00420C7A">
        <w:t> </w:t>
      </w:r>
      <w:r w:rsidRPr="00420C7A">
        <w:t>MHz, o partes de la misma, para otras aplicaciones del servicio móvil, incluidos otros sistemas de acceso inalámbrico,</w:t>
      </w:r>
    </w:p>
    <w:p w:rsidRPr="001A3FBA" w:rsidR="00C86F5B" w:rsidP="00FD12EE" w:rsidRDefault="005250A9" w14:paraId="4C4E9EA1" w14:textId="71D3E81F">
      <w:pPr>
        <w:pStyle w:val="Call"/>
      </w:pPr>
      <w:r w:rsidRPr="001A3FBA">
        <w:t>resuelve</w:t>
      </w:r>
    </w:p>
    <w:p w:rsidRPr="001A3FBA" w:rsidR="00C86F5B" w:rsidP="00FD12EE" w:rsidRDefault="005250A9" w14:paraId="7F2869C4" w14:textId="2DAAACD6">
      <w:r w:rsidRPr="001A3FBA">
        <w:t>1</w:t>
      </w:r>
      <w:r w:rsidRPr="001A3FBA">
        <w:tab/>
        <w:t>que las administraciones que deseen implementar las IMT consideren la posibilidad de utilizar la banda de frecuencias 6 425-7 025</w:t>
      </w:r>
      <w:r w:rsidR="00463FB5">
        <w:t> </w:t>
      </w:r>
      <w:r w:rsidRPr="001A3FBA">
        <w:t xml:space="preserve">MHz identificada para las IMT </w:t>
      </w:r>
      <w:r w:rsidRPr="001A3FBA">
        <w:rPr>
          <w:bCs/>
        </w:rPr>
        <w:t>en la Región</w:t>
      </w:r>
      <w:r w:rsidR="00463FB5">
        <w:rPr>
          <w:bCs/>
        </w:rPr>
        <w:t> </w:t>
      </w:r>
      <w:r w:rsidRPr="001A3FBA">
        <w:rPr>
          <w:bCs/>
        </w:rPr>
        <w:t xml:space="preserve">1 </w:t>
      </w:r>
      <w:r w:rsidRPr="001A3FBA" w:rsidR="00672433">
        <w:t>en virtud del número </w:t>
      </w:r>
      <w:r w:rsidRPr="001A3FBA" w:rsidR="00672433">
        <w:rPr>
          <w:rStyle w:val="Artref"/>
          <w:b/>
          <w:bCs/>
        </w:rPr>
        <w:t>5.B12</w:t>
      </w:r>
      <w:r w:rsidRPr="001A3FBA" w:rsidR="00672433">
        <w:t xml:space="preserve"> </w:t>
      </w:r>
      <w:r w:rsidRPr="001A3FBA" w:rsidR="00ED0ABC">
        <w:rPr>
          <w:bCs/>
        </w:rPr>
        <w:t xml:space="preserve">y </w:t>
      </w:r>
      <w:r w:rsidRPr="001A3FBA" w:rsidR="00672433">
        <w:rPr>
          <w:bCs/>
        </w:rPr>
        <w:t>en diversos países de la Región</w:t>
      </w:r>
      <w:r w:rsidR="00463FB5">
        <w:rPr>
          <w:bCs/>
        </w:rPr>
        <w:t> </w:t>
      </w:r>
      <w:r w:rsidRPr="001A3FBA" w:rsidR="00672433">
        <w:rPr>
          <w:bCs/>
        </w:rPr>
        <w:t xml:space="preserve">3 </w:t>
      </w:r>
      <w:r w:rsidRPr="001A3FBA" w:rsidR="00ED0ABC">
        <w:rPr>
          <w:bCs/>
        </w:rPr>
        <w:t>en</w:t>
      </w:r>
      <w:r w:rsidRPr="001A3FBA" w:rsidR="00672433">
        <w:rPr>
          <w:bCs/>
        </w:rPr>
        <w:t xml:space="preserve"> virtud</w:t>
      </w:r>
      <w:r w:rsidRPr="001A3FBA" w:rsidR="00ED0ABC">
        <w:rPr>
          <w:bCs/>
        </w:rPr>
        <w:t xml:space="preserve"> </w:t>
      </w:r>
      <w:r w:rsidRPr="001A3FBA" w:rsidR="00672433">
        <w:rPr>
          <w:bCs/>
        </w:rPr>
        <w:t>d</w:t>
      </w:r>
      <w:r w:rsidRPr="001A3FBA" w:rsidR="00ED0ABC">
        <w:rPr>
          <w:bCs/>
        </w:rPr>
        <w:t>el número</w:t>
      </w:r>
      <w:r w:rsidR="00420C7A">
        <w:rPr>
          <w:bCs/>
        </w:rPr>
        <w:t> </w:t>
      </w:r>
      <w:r w:rsidRPr="00420C7A" w:rsidR="00ED0ABC">
        <w:rPr>
          <w:rStyle w:val="Artref"/>
          <w:b/>
          <w:bCs/>
        </w:rPr>
        <w:t>5.X12</w:t>
      </w:r>
      <w:r w:rsidRPr="001A3FBA" w:rsidR="00ED0ABC">
        <w:rPr>
          <w:bCs/>
        </w:rPr>
        <w:t xml:space="preserve">, así como </w:t>
      </w:r>
      <w:r w:rsidRPr="001A3FBA">
        <w:rPr>
          <w:bCs/>
        </w:rPr>
        <w:t xml:space="preserve">la </w:t>
      </w:r>
      <w:r w:rsidRPr="001A3FBA">
        <w:rPr>
          <w:bCs/>
        </w:rPr>
        <w:t>banda de frecuencias</w:t>
      </w:r>
      <w:r w:rsidRPr="001A3FBA">
        <w:t xml:space="preserve"> 7 025-7 125 MHz identificada para las IMT en todas las </w:t>
      </w:r>
      <w:r w:rsidRPr="001A3FBA" w:rsidR="00ED0ABC">
        <w:t>Regiones</w:t>
      </w:r>
      <w:r w:rsidRPr="001A3FBA" w:rsidR="00672433">
        <w:t xml:space="preserve"> en virtud del número </w:t>
      </w:r>
      <w:r w:rsidRPr="001A3FBA" w:rsidR="00672433">
        <w:rPr>
          <w:rStyle w:val="Artref"/>
          <w:b/>
          <w:bCs/>
        </w:rPr>
        <w:t>5.C12</w:t>
      </w:r>
      <w:r w:rsidRPr="001A3FBA">
        <w:t>, teniendo en cuenta las Recomendaciones UIT-R pertinentes más recientes;</w:t>
      </w:r>
    </w:p>
    <w:p w:rsidRPr="001A3FBA" w:rsidR="00C86F5B" w:rsidP="00FD12EE" w:rsidRDefault="005250A9" w14:paraId="06B6BFC6" w14:textId="77777777">
      <w:r w:rsidRPr="001A3FBA">
        <w:t>2</w:t>
      </w:r>
      <w:r w:rsidRPr="001A3FBA">
        <w:tab/>
        <w:t>que las administraciones que deseen implementar las IMT en la banda de frecuencias 6 425-7 075 apliquen a las IMT las siguientes condiciones para garantizar la protección, la utilización continua y el futuro desarrollo del servicio fijo por satélite (Tierra-espacio):</w:t>
      </w:r>
    </w:p>
    <w:p w:rsidRPr="001A3FBA" w:rsidR="00C86F5B" w:rsidP="008E1C49" w:rsidRDefault="005250A9" w14:paraId="7AD7A155" w14:textId="50A4E6BB">
      <w:pPr>
        <w:spacing w:after="120"/>
      </w:pPr>
      <w:r w:rsidRPr="001A3FBA">
        <w:t>2.1</w:t>
      </w:r>
      <w:r w:rsidRPr="001A3FBA">
        <w:tab/>
        <w:t>que el nivel esperado de potencia isotrópica radiada equivalente (p.i.r.e.) emitido por una estación base IMT que es una función de ángulo vertical por encima del horizonte en la banda de frecuencias 6 425-7 </w:t>
      </w:r>
      <w:r w:rsidRPr="001A3FBA" w:rsidR="00ED0ABC">
        <w:t>075</w:t>
      </w:r>
      <w:r w:rsidR="00463FB5">
        <w:t> </w:t>
      </w:r>
      <w:r w:rsidRPr="001A3FBA">
        <w:t>MHz</w:t>
      </w:r>
      <w:r w:rsidRPr="001A3FBA" w:rsidR="00ED0ABC">
        <w:t>,</w:t>
      </w:r>
      <w:r w:rsidRPr="001A3FBA">
        <w:t xml:space="preserve"> o en parte de ella</w:t>
      </w:r>
      <w:r w:rsidRPr="001A3FBA" w:rsidR="00ED0ABC">
        <w:t>,</w:t>
      </w:r>
      <w:r w:rsidRPr="001A3FBA">
        <w:t xml:space="preserve"> no rebasará los valores siguientes: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814"/>
        <w:gridCol w:w="4815"/>
      </w:tblGrid>
      <w:tr w:rsidRPr="001A3FBA" w:rsidR="007704DB" w:rsidTr="00D07C16" w14:paraId="500BF102" w14:textId="77777777">
        <w:tc>
          <w:tcPr>
            <w:tcW w:w="4814"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1A3FBA" w:rsidR="00C86F5B" w:rsidP="00A162BB" w:rsidRDefault="005250A9" w14:paraId="3D552BD8" w14:textId="77777777">
            <w:pPr>
              <w:pStyle w:val="Tablehead"/>
            </w:pPr>
            <w:r w:rsidRPr="001A3FBA">
              <w:t xml:space="preserve">Ventana de medición del ángulo vertical </w:t>
            </w:r>
            <w:r w:rsidRPr="001A3FBA">
              <w:br/>
              <w:t>θ</w:t>
            </w:r>
            <w:r w:rsidRPr="001A3FBA">
              <w:rPr>
                <w:i/>
                <w:iCs/>
                <w:vertAlign w:val="subscript"/>
              </w:rPr>
              <w:t>L</w:t>
            </w:r>
            <w:r w:rsidRPr="001A3FBA">
              <w:t> ≤ θ &lt; θ</w:t>
            </w:r>
            <w:r w:rsidRPr="001A3FBA">
              <w:rPr>
                <w:i/>
                <w:iCs/>
                <w:vertAlign w:val="subscript"/>
              </w:rPr>
              <w:t>H</w:t>
            </w:r>
            <w:r w:rsidRPr="001A3FBA">
              <w:br/>
              <w:t>(ángulo vertical θ por encima del horizonte)</w:t>
            </w:r>
          </w:p>
        </w:tc>
        <w:tc>
          <w:tcPr>
            <w:tcW w:w="4815"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1A3FBA" w:rsidR="00C86F5B" w:rsidP="00A162BB" w:rsidRDefault="005250A9" w14:paraId="077FE1F4" w14:textId="77777777">
            <w:pPr>
              <w:pStyle w:val="Tablehead"/>
            </w:pPr>
            <w:r w:rsidRPr="001A3FBA">
              <w:t xml:space="preserve">p.i.r.e. prevista </w:t>
            </w:r>
            <w:r w:rsidRPr="001A3FBA">
              <w:br/>
              <w:t xml:space="preserve">(dBm/MHz) </w:t>
            </w:r>
            <w:r w:rsidRPr="001A3FBA">
              <w:br/>
              <w:t>(NOTA 1)</w:t>
            </w:r>
          </w:p>
        </w:tc>
      </w:tr>
      <w:tr w:rsidRPr="001A3FBA" w:rsidR="00ED0ABC" w:rsidTr="00D07C16" w14:paraId="55EB55BD" w14:textId="77777777">
        <w:tc>
          <w:tcPr>
            <w:tcW w:w="4814"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7529A95F" w14:textId="47BF799D">
            <w:pPr>
              <w:pStyle w:val="Tabletext"/>
              <w:jc w:val="center"/>
            </w:pPr>
            <w:r w:rsidRPr="001A3FBA">
              <w:t>0</w:t>
            </w:r>
            <w:r w:rsidRPr="001A3FBA">
              <w:sym w:font="Symbol" w:char="F0B0"/>
            </w:r>
            <w:r w:rsidRPr="001A3FBA">
              <w:t xml:space="preserve"> </w:t>
            </w:r>
            <w:r w:rsidRPr="001A3FBA">
              <w:rPr>
                <w:lang w:eastAsia="zh-CN"/>
              </w:rPr>
              <w:t>≤</w:t>
            </w:r>
            <w:r w:rsidRPr="001A3FBA">
              <w:rPr>
                <w:i/>
                <w:iCs/>
                <w:lang w:eastAsia="zh-CN"/>
              </w:rPr>
              <w:t xml:space="preserve"> </w:t>
            </w:r>
            <w:r w:rsidRPr="001A3FBA">
              <w:rPr>
                <w:lang w:eastAsia="zh-CN"/>
              </w:rPr>
              <w:t>θ &lt;</w:t>
            </w:r>
            <w:r w:rsidRPr="001A3FBA">
              <w:t xml:space="preserve"> 5</w:t>
            </w:r>
            <w:r w:rsidRPr="001A3FBA">
              <w:sym w:font="Symbol" w:char="F0B0"/>
            </w:r>
            <w:r w:rsidRPr="001A3FBA">
              <w:t xml:space="preserve"> </w:t>
            </w:r>
          </w:p>
        </w:tc>
        <w:tc>
          <w:tcPr>
            <w:tcW w:w="4815"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5A53A4EF" w14:textId="54451B95">
            <w:pPr>
              <w:pStyle w:val="Tabletext"/>
              <w:jc w:val="center"/>
            </w:pPr>
            <w:r w:rsidRPr="001A3FBA">
              <w:t>32</w:t>
            </w:r>
          </w:p>
        </w:tc>
      </w:tr>
      <w:tr w:rsidRPr="001A3FBA" w:rsidR="00ED0ABC" w:rsidTr="00D07C16" w14:paraId="62A8C35F" w14:textId="77777777">
        <w:tc>
          <w:tcPr>
            <w:tcW w:w="4814"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40452999" w14:textId="06F1E413">
            <w:pPr>
              <w:pStyle w:val="Tabletext"/>
              <w:jc w:val="center"/>
            </w:pPr>
            <w:r w:rsidRPr="001A3FBA">
              <w:t>5</w:t>
            </w:r>
            <w:r w:rsidRPr="001A3FBA">
              <w:sym w:font="Symbol" w:char="F0B0"/>
            </w:r>
            <w:r w:rsidRPr="001A3FBA">
              <w:t xml:space="preserve"> </w:t>
            </w:r>
            <w:r w:rsidRPr="001A3FBA">
              <w:rPr>
                <w:lang w:eastAsia="zh-CN"/>
              </w:rPr>
              <w:t>≤</w:t>
            </w:r>
            <w:r w:rsidRPr="001A3FBA">
              <w:rPr>
                <w:i/>
                <w:iCs/>
                <w:lang w:eastAsia="zh-CN"/>
              </w:rPr>
              <w:t xml:space="preserve"> </w:t>
            </w:r>
            <w:r w:rsidRPr="001A3FBA">
              <w:rPr>
                <w:lang w:eastAsia="zh-CN"/>
              </w:rPr>
              <w:t>θ</w:t>
            </w:r>
            <w:r w:rsidRPr="001A3FBA">
              <w:rPr>
                <w:i/>
                <w:iCs/>
                <w:lang w:eastAsia="zh-CN"/>
              </w:rPr>
              <w:t xml:space="preserve"> </w:t>
            </w:r>
            <w:r w:rsidRPr="001A3FBA">
              <w:rPr>
                <w:lang w:eastAsia="zh-CN"/>
              </w:rPr>
              <w:t>&lt;</w:t>
            </w:r>
            <w:r w:rsidRPr="001A3FBA">
              <w:t xml:space="preserve"> 10</w:t>
            </w:r>
            <w:r w:rsidRPr="001A3FBA">
              <w:sym w:font="Symbol" w:char="F0B0"/>
            </w:r>
          </w:p>
        </w:tc>
        <w:tc>
          <w:tcPr>
            <w:tcW w:w="4815"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3859A8AD" w14:textId="65C32426">
            <w:pPr>
              <w:pStyle w:val="Tabletext"/>
              <w:jc w:val="center"/>
            </w:pPr>
            <w:r w:rsidRPr="001A3FBA">
              <w:t>28</w:t>
            </w:r>
          </w:p>
        </w:tc>
      </w:tr>
      <w:tr w:rsidRPr="001A3FBA" w:rsidR="00ED0ABC" w:rsidTr="00D07C16" w14:paraId="4DFF7692" w14:textId="77777777">
        <w:tc>
          <w:tcPr>
            <w:tcW w:w="4814"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7F5BFB22" w14:textId="05C8092F">
            <w:pPr>
              <w:pStyle w:val="Tabletext"/>
              <w:jc w:val="center"/>
            </w:pPr>
            <w:r w:rsidRPr="001A3FBA">
              <w:t>10</w:t>
            </w:r>
            <w:r w:rsidRPr="001A3FBA">
              <w:sym w:font="Symbol" w:char="F0B0"/>
            </w:r>
            <w:r w:rsidRPr="001A3FBA">
              <w:t xml:space="preserve"> </w:t>
            </w:r>
            <w:r w:rsidRPr="001A3FBA">
              <w:rPr>
                <w:lang w:eastAsia="zh-CN"/>
              </w:rPr>
              <w:t>≤ θ</w:t>
            </w:r>
            <w:r w:rsidRPr="001A3FBA">
              <w:rPr>
                <w:i/>
                <w:iCs/>
                <w:lang w:eastAsia="zh-CN"/>
              </w:rPr>
              <w:t xml:space="preserve"> </w:t>
            </w:r>
            <w:r w:rsidRPr="001A3FBA">
              <w:rPr>
                <w:lang w:eastAsia="zh-CN"/>
              </w:rPr>
              <w:t>&lt;</w:t>
            </w:r>
            <w:r w:rsidRPr="001A3FBA">
              <w:t xml:space="preserve"> 15</w:t>
            </w:r>
            <w:r w:rsidRPr="001A3FBA">
              <w:sym w:font="Symbol" w:char="F0B0"/>
            </w:r>
          </w:p>
        </w:tc>
        <w:tc>
          <w:tcPr>
            <w:tcW w:w="4815"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06BE4F93" w14:textId="51F36A57">
            <w:pPr>
              <w:pStyle w:val="Tabletext"/>
              <w:jc w:val="center"/>
            </w:pPr>
            <w:r w:rsidRPr="001A3FBA">
              <w:t>24</w:t>
            </w:r>
          </w:p>
        </w:tc>
      </w:tr>
      <w:tr w:rsidRPr="001A3FBA" w:rsidR="00ED0ABC" w:rsidTr="00D07C16" w14:paraId="05098085" w14:textId="77777777">
        <w:tc>
          <w:tcPr>
            <w:tcW w:w="4814"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5C749368" w14:textId="6D4FE6D4">
            <w:pPr>
              <w:pStyle w:val="Tabletext"/>
              <w:jc w:val="center"/>
            </w:pPr>
            <w:r w:rsidRPr="001A3FBA">
              <w:t>15</w:t>
            </w:r>
            <w:r w:rsidRPr="001A3FBA">
              <w:sym w:font="Symbol" w:char="F0B0"/>
            </w:r>
            <w:r w:rsidRPr="001A3FBA">
              <w:t xml:space="preserve"> </w:t>
            </w:r>
            <w:r w:rsidRPr="001A3FBA">
              <w:rPr>
                <w:lang w:eastAsia="zh-CN"/>
              </w:rPr>
              <w:t>≤ θ &lt;</w:t>
            </w:r>
            <w:r w:rsidRPr="001A3FBA">
              <w:t xml:space="preserve"> 20</w:t>
            </w:r>
            <w:r w:rsidRPr="001A3FBA">
              <w:sym w:font="Symbol" w:char="F0B0"/>
            </w:r>
          </w:p>
        </w:tc>
        <w:tc>
          <w:tcPr>
            <w:tcW w:w="4815"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7F47EAD9" w14:textId="05B9A6B8">
            <w:pPr>
              <w:pStyle w:val="Tabletext"/>
              <w:jc w:val="center"/>
            </w:pPr>
            <w:r w:rsidRPr="001A3FBA">
              <w:t>24</w:t>
            </w:r>
          </w:p>
        </w:tc>
      </w:tr>
      <w:tr w:rsidRPr="001A3FBA" w:rsidR="00ED0ABC" w:rsidTr="00D07C16" w14:paraId="7A57A522" w14:textId="77777777">
        <w:tc>
          <w:tcPr>
            <w:tcW w:w="4814"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58942131" w14:textId="5AA3C8A4">
            <w:pPr>
              <w:pStyle w:val="Tabletext"/>
              <w:jc w:val="center"/>
            </w:pPr>
            <w:r w:rsidRPr="001A3FBA">
              <w:t>20</w:t>
            </w:r>
            <w:r w:rsidRPr="001A3FBA">
              <w:sym w:font="Symbol" w:char="F0B0"/>
            </w:r>
            <w:r w:rsidRPr="001A3FBA">
              <w:t xml:space="preserve"> </w:t>
            </w:r>
            <w:r w:rsidRPr="001A3FBA">
              <w:rPr>
                <w:lang w:eastAsia="zh-CN"/>
              </w:rPr>
              <w:t>≤ θ &lt;</w:t>
            </w:r>
            <w:r w:rsidRPr="001A3FBA">
              <w:t xml:space="preserve"> 30</w:t>
            </w:r>
            <w:r w:rsidRPr="001A3FBA">
              <w:sym w:font="Symbol" w:char="F0B0"/>
            </w:r>
          </w:p>
        </w:tc>
        <w:tc>
          <w:tcPr>
            <w:tcW w:w="4815"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45CA3B74" w14:textId="56ACF2CE">
            <w:pPr>
              <w:pStyle w:val="Tabletext"/>
              <w:jc w:val="center"/>
            </w:pPr>
            <w:r w:rsidRPr="001A3FBA">
              <w:t>20</w:t>
            </w:r>
          </w:p>
        </w:tc>
      </w:tr>
      <w:tr w:rsidRPr="001A3FBA" w:rsidR="00ED0ABC" w:rsidTr="00D07C16" w14:paraId="67183AAF" w14:textId="77777777">
        <w:tc>
          <w:tcPr>
            <w:tcW w:w="4814"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0F66FAF2" w14:textId="42A9EE90">
            <w:pPr>
              <w:pStyle w:val="Tabletext"/>
              <w:jc w:val="center"/>
            </w:pPr>
            <w:r w:rsidRPr="001A3FBA">
              <w:t>30</w:t>
            </w:r>
            <w:r w:rsidRPr="001A3FBA">
              <w:sym w:font="Symbol" w:char="F0B0"/>
            </w:r>
            <w:r w:rsidRPr="001A3FBA">
              <w:t xml:space="preserve"> </w:t>
            </w:r>
            <w:r w:rsidRPr="001A3FBA">
              <w:rPr>
                <w:lang w:eastAsia="zh-CN"/>
              </w:rPr>
              <w:t>≤ θ &lt;</w:t>
            </w:r>
            <w:r w:rsidRPr="001A3FBA">
              <w:t xml:space="preserve"> 60</w:t>
            </w:r>
            <w:r w:rsidRPr="001A3FBA">
              <w:sym w:font="Symbol" w:char="F0B0"/>
            </w:r>
          </w:p>
        </w:tc>
        <w:tc>
          <w:tcPr>
            <w:tcW w:w="4815"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7CB5D779" w14:textId="6F69B097">
            <w:pPr>
              <w:pStyle w:val="Tabletext"/>
              <w:jc w:val="center"/>
            </w:pPr>
            <w:r w:rsidRPr="001A3FBA">
              <w:t>18</w:t>
            </w:r>
          </w:p>
        </w:tc>
      </w:tr>
      <w:tr w:rsidRPr="001A3FBA" w:rsidR="00ED0ABC" w:rsidTr="009F5354" w14:paraId="0DEFF27F" w14:textId="77777777">
        <w:tc>
          <w:tcPr>
            <w:tcW w:w="4814"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279043FC" w14:textId="0F50BAF7">
            <w:pPr>
              <w:pStyle w:val="Tabletext"/>
              <w:jc w:val="center"/>
            </w:pPr>
            <w:r w:rsidRPr="001A3FBA">
              <w:t>60</w:t>
            </w:r>
            <w:r w:rsidRPr="001A3FBA">
              <w:sym w:font="Symbol" w:char="F0B0"/>
            </w:r>
            <w:r w:rsidRPr="001A3FBA">
              <w:t xml:space="preserve"> </w:t>
            </w:r>
            <w:r w:rsidRPr="001A3FBA">
              <w:rPr>
                <w:lang w:eastAsia="zh-CN"/>
              </w:rPr>
              <w:t>≤ θ</w:t>
            </w:r>
            <w:r w:rsidRPr="001A3FBA">
              <w:rPr>
                <w:i/>
                <w:iCs/>
                <w:lang w:eastAsia="zh-CN"/>
              </w:rPr>
              <w:t xml:space="preserve"> </w:t>
            </w:r>
            <w:r w:rsidRPr="001A3FBA">
              <w:rPr>
                <w:lang w:eastAsia="zh-CN"/>
              </w:rPr>
              <w:t>≤</w:t>
            </w:r>
            <w:r w:rsidRPr="001A3FBA">
              <w:t xml:space="preserve"> 90</w:t>
            </w:r>
            <w:r w:rsidRPr="001A3FBA">
              <w:sym w:font="Symbol" w:char="F0B0"/>
            </w:r>
          </w:p>
        </w:tc>
        <w:tc>
          <w:tcPr>
            <w:tcW w:w="4815" w:type="dxa"/>
            <w:tcBorders>
              <w:top w:val="single" w:color="auto" w:sz="4" w:space="0"/>
              <w:left w:val="single" w:color="auto" w:sz="4" w:space="0"/>
              <w:bottom w:val="single" w:color="auto" w:sz="4" w:space="0"/>
              <w:right w:val="single" w:color="auto" w:sz="4" w:space="0"/>
            </w:tcBorders>
            <w:shd w:val="clear" w:color="auto" w:fill="auto"/>
            <w:hideMark/>
          </w:tcPr>
          <w:p w:rsidRPr="001A3FBA" w:rsidR="00ED0ABC" w:rsidP="00ED0ABC" w:rsidRDefault="00ED0ABC" w14:paraId="648CF06A" w14:textId="42AEEBAD">
            <w:pPr>
              <w:pStyle w:val="Tabletext"/>
              <w:jc w:val="center"/>
            </w:pPr>
            <w:r w:rsidRPr="001A3FBA">
              <w:t>17</w:t>
            </w:r>
          </w:p>
        </w:tc>
      </w:tr>
      <w:tr w:rsidRPr="001A3FBA" w:rsidR="007704DB" w:rsidTr="009F5354" w14:paraId="644A8DBA" w14:textId="77777777">
        <w:tc>
          <w:tcPr>
            <w:tcW w:w="9629" w:type="dxa"/>
            <w:gridSpan w:val="2"/>
            <w:tcBorders>
              <w:top w:val="single" w:color="auto" w:sz="4" w:space="0"/>
              <w:left w:val="nil"/>
              <w:bottom w:val="nil"/>
              <w:right w:val="nil"/>
            </w:tcBorders>
            <w:shd w:val="clear" w:color="auto" w:fill="auto"/>
            <w:hideMark/>
          </w:tcPr>
          <w:p w:rsidRPr="001A3FBA" w:rsidR="00C86F5B" w:rsidP="00D42DDC" w:rsidRDefault="005250A9" w14:paraId="49369966" w14:textId="77777777">
            <w:pPr>
              <w:pStyle w:val="Tablelegend"/>
            </w:pPr>
            <w:r w:rsidRPr="00D42DDC">
              <w:t>NOTA</w:t>
            </w:r>
            <w:r w:rsidRPr="001A3FBA">
              <w:t xml:space="preserve"> 1: La p.i.r.e. prevista es el valor promedio de la p.i.r.e., teniendo en cuenta que el promedio se calcula:</w:t>
            </w:r>
          </w:p>
          <w:p w:rsidRPr="001A3FBA" w:rsidR="00C86F5B" w:rsidP="00D42DDC" w:rsidRDefault="005250A9" w14:paraId="4EA7BEC9" w14:textId="0188BC7D">
            <w:pPr>
              <w:pStyle w:val="Tablelegend"/>
              <w:spacing w:before="40"/>
              <w:ind w:left="567" w:hanging="567"/>
            </w:pPr>
            <w:r w:rsidRPr="001A3FBA">
              <w:t>–</w:t>
            </w:r>
            <w:r w:rsidRPr="001A3FBA">
              <w:tab/>
              <w:t>con ángulos horizontales entre –180</w:t>
            </w:r>
            <w:r w:rsidRPr="001A3FBA">
              <w:sym w:font="Symbol" w:char="F0B0"/>
            </w:r>
            <w:r w:rsidRPr="001A3FBA">
              <w:t xml:space="preserve"> y +180</w:t>
            </w:r>
            <w:r w:rsidRPr="001A3FBA">
              <w:sym w:font="Symbol" w:char="F0B0"/>
            </w:r>
            <w:r w:rsidRPr="001A3FBA">
              <w:t>, y con la estación base IMT funcionando en una dirección concreta dentro de su gama de dirección</w:t>
            </w:r>
            <w:r w:rsidR="00150F10">
              <w:t>;</w:t>
            </w:r>
          </w:p>
          <w:p w:rsidRPr="001A3FBA" w:rsidR="00C86F5B" w:rsidP="00D42DDC" w:rsidRDefault="005250A9" w14:paraId="144F11F8" w14:textId="77777777">
            <w:pPr>
              <w:pStyle w:val="Tablelegend"/>
              <w:spacing w:before="40"/>
            </w:pPr>
            <w:r w:rsidRPr="001A3FBA">
              <w:t>–</w:t>
            </w:r>
            <w:r w:rsidRPr="001A3FBA">
              <w:tab/>
              <w:t>con diferentes direcciones de conformación del haz dentro de la gama de dirección de la estación base IMT, y</w:t>
            </w:r>
          </w:p>
          <w:p w:rsidRPr="001A3FBA" w:rsidR="00C86F5B" w:rsidP="00D42DDC" w:rsidRDefault="005250A9" w14:paraId="38710E9E" w14:textId="77777777">
            <w:pPr>
              <w:pStyle w:val="Tablelegend"/>
              <w:spacing w:before="40"/>
            </w:pPr>
            <w:r w:rsidRPr="001A3FBA">
              <w:t>–</w:t>
            </w:r>
            <w:r w:rsidRPr="001A3FBA">
              <w:tab/>
              <w:t>con la ventana de medición del ángulo vertical especificada (θ</w:t>
            </w:r>
            <w:r w:rsidRPr="001A3FBA">
              <w:rPr>
                <w:i/>
                <w:iCs/>
                <w:vertAlign w:val="subscript"/>
              </w:rPr>
              <w:t>L</w:t>
            </w:r>
            <w:r w:rsidRPr="001A3FBA">
              <w:t> ≤ θ &lt; θ</w:t>
            </w:r>
            <w:r w:rsidRPr="001A3FBA">
              <w:rPr>
                <w:i/>
                <w:iCs/>
                <w:vertAlign w:val="subscript"/>
              </w:rPr>
              <w:t>H</w:t>
            </w:r>
            <w:r w:rsidRPr="001A3FBA">
              <w:t>).</w:t>
            </w:r>
          </w:p>
        </w:tc>
      </w:tr>
    </w:tbl>
    <w:p w:rsidRPr="001A3FBA" w:rsidR="00C86F5B" w:rsidP="00FD12EE" w:rsidRDefault="005250A9" w14:paraId="4B9F0750" w14:textId="77777777">
      <w:pPr>
        <w:pStyle w:val="Call"/>
      </w:pPr>
      <w:r w:rsidRPr="001A3FBA">
        <w:t>invita a las administraciones</w:t>
      </w:r>
    </w:p>
    <w:p w:rsidRPr="001A3FBA" w:rsidR="00C86F5B" w:rsidP="00F57823" w:rsidRDefault="005250A9" w14:paraId="2EE8662C" w14:textId="45FA7170">
      <w:r w:rsidRPr="001A3FBA">
        <w:t>a tener en cuenta los beneficios de la utilización armonizada del espectro para l</w:t>
      </w:r>
      <w:r w:rsidRPr="001A3FBA" w:rsidR="00ED0ABC">
        <w:t>a</w:t>
      </w:r>
      <w:r w:rsidRPr="001A3FBA">
        <w:t xml:space="preserve"> componente terrenal de las IMT,</w:t>
      </w:r>
    </w:p>
    <w:p w:rsidRPr="001A3FBA" w:rsidR="00C86F5B" w:rsidP="00FD12EE" w:rsidRDefault="005250A9" w14:paraId="24A48538" w14:textId="77777777">
      <w:pPr>
        <w:pStyle w:val="Call"/>
      </w:pPr>
      <w:r w:rsidRPr="001A3FBA">
        <w:t>invita al Sector de Radiocomunicaciones de la UIT</w:t>
      </w:r>
    </w:p>
    <w:p w:rsidRPr="001A3FBA" w:rsidR="00C86F5B" w:rsidP="00452500" w:rsidRDefault="005250A9" w14:paraId="56978A03" w14:textId="08C822A7">
      <w:r w:rsidRPr="001A3FBA">
        <w:t>1</w:t>
      </w:r>
      <w:r w:rsidRPr="001A3FBA">
        <w:tab/>
        <w:t>a elaborar disposiciones de frecuencias armonizadas para facilitar el despliegue de las</w:t>
      </w:r>
      <w:r w:rsidR="00150F10">
        <w:t> </w:t>
      </w:r>
      <w:r w:rsidRPr="001A3FBA">
        <w:t>IMT en la banda de frecuencias 6 425-7 025</w:t>
      </w:r>
      <w:r w:rsidR="00150F10">
        <w:t> </w:t>
      </w:r>
      <w:r w:rsidRPr="001A3FBA">
        <w:t>MHz en la Región</w:t>
      </w:r>
      <w:r w:rsidR="00150F10">
        <w:t> </w:t>
      </w:r>
      <w:r w:rsidRPr="001A3FBA">
        <w:t>1</w:t>
      </w:r>
      <w:r w:rsidRPr="001A3FBA" w:rsidR="00ED0ABC">
        <w:t xml:space="preserve"> y en varios países de la Región</w:t>
      </w:r>
      <w:r w:rsidR="00150F10">
        <w:t> </w:t>
      </w:r>
      <w:r w:rsidRPr="001A3FBA" w:rsidR="00ED0ABC">
        <w:t>3</w:t>
      </w:r>
      <w:r w:rsidRPr="001A3FBA">
        <w:t xml:space="preserve"> y en la banda de frecuencias 7 025</w:t>
      </w:r>
      <w:r w:rsidRPr="001A3FBA">
        <w:noBreakHyphen/>
        <w:t>7 125 MHz en todas las Regiones;</w:t>
      </w:r>
    </w:p>
    <w:p w:rsidRPr="001A3FBA" w:rsidR="00C86F5B" w:rsidP="00452500" w:rsidRDefault="005250A9" w14:paraId="0E9678AC" w14:textId="77777777">
      <w:r w:rsidRPr="001A3FBA">
        <w:t>2</w:t>
      </w:r>
      <w:r w:rsidRPr="001A3FBA">
        <w:tab/>
        <w:t>a seguir dando orientaciones para garantizar que las IMT pueden ajustarse a las necesidades de telecomunicación de los países en desarrollo;</w:t>
      </w:r>
    </w:p>
    <w:p w:rsidRPr="001A3FBA" w:rsidR="00ED0ABC" w:rsidP="00FD12EE" w:rsidRDefault="005250A9" w14:paraId="0704319D" w14:textId="0099373D">
      <w:r w:rsidRPr="001A3FBA">
        <w:t>3</w:t>
      </w:r>
      <w:r w:rsidRPr="001A3FBA">
        <w:tab/>
      </w:r>
      <w:r w:rsidRPr="001A3FBA" w:rsidR="00ED0ABC">
        <w:t xml:space="preserve">a elaborar una Recomendación sobre métodos de determinación de zonas geográficas para la coexistencia entre estaciones base IMT en la banda de frecuencias </w:t>
      </w:r>
      <w:r w:rsidRPr="001A3FBA" w:rsidR="00B02670">
        <w:t>6</w:t>
      </w:r>
      <w:r w:rsidR="00150F10">
        <w:t> </w:t>
      </w:r>
      <w:r w:rsidRPr="001A3FBA" w:rsidR="00B02670">
        <w:t>425-7 125 </w:t>
      </w:r>
      <w:r w:rsidRPr="001A3FBA" w:rsidR="00ED0ABC">
        <w:t xml:space="preserve">MHz y estaciones terrenas no OSG en la banda de frecuencias </w:t>
      </w:r>
      <w:r w:rsidRPr="001A3FBA" w:rsidR="00B02670">
        <w:t>6</w:t>
      </w:r>
      <w:r w:rsidR="00150F10">
        <w:t> </w:t>
      </w:r>
      <w:r w:rsidRPr="001A3FBA" w:rsidR="00B02670">
        <w:t>700-7 075 </w:t>
      </w:r>
      <w:r w:rsidRPr="001A3FBA" w:rsidR="00ED0ABC">
        <w:t>MHz;</w:t>
      </w:r>
    </w:p>
    <w:p w:rsidRPr="001A3FBA" w:rsidR="00B02670" w:rsidP="00B02670" w:rsidRDefault="00B02670" w14:paraId="143A09B7" w14:textId="08570931">
      <w:r w:rsidRPr="001A3FBA">
        <w:t>4</w:t>
      </w:r>
      <w:r w:rsidRPr="001A3FBA" w:rsidR="005250A9">
        <w:rPr>
          <w:lang w:eastAsia="ja-JP"/>
        </w:rPr>
        <w:tab/>
        <w:t xml:space="preserve">a actualizar las Recomendaciones </w:t>
      </w:r>
      <w:r w:rsidRPr="001A3FBA">
        <w:rPr>
          <w:lang w:eastAsia="ja-JP"/>
        </w:rPr>
        <w:t xml:space="preserve">y/o Informes </w:t>
      </w:r>
      <w:r w:rsidRPr="001A3FBA" w:rsidR="005250A9">
        <w:rPr>
          <w:lang w:eastAsia="ja-JP"/>
        </w:rPr>
        <w:t>UIT-R existentes o elaborar Recomendaciones UIT</w:t>
      </w:r>
      <w:r w:rsidRPr="001A3FBA" w:rsidR="005250A9">
        <w:rPr>
          <w:lang w:eastAsia="ja-JP"/>
        </w:rPr>
        <w:noBreakHyphen/>
        <w:t>R</w:t>
      </w:r>
      <w:r w:rsidRPr="001A3FBA" w:rsidR="001A3FBA">
        <w:rPr>
          <w:lang w:eastAsia="ja-JP"/>
        </w:rPr>
        <w:t xml:space="preserve"> nuevas</w:t>
      </w:r>
      <w:r w:rsidRPr="001A3FBA" w:rsidR="005250A9">
        <w:rPr>
          <w:lang w:eastAsia="ja-JP"/>
        </w:rPr>
        <w:t xml:space="preserve">, según proceda, para </w:t>
      </w:r>
      <w:r w:rsidRPr="001A3FBA">
        <w:rPr>
          <w:lang w:eastAsia="ja-JP"/>
        </w:rPr>
        <w:t>facilitar</w:t>
      </w:r>
      <w:r w:rsidRPr="001A3FBA" w:rsidR="005250A9">
        <w:rPr>
          <w:lang w:eastAsia="ja-JP"/>
        </w:rPr>
        <w:t xml:space="preserve"> información</w:t>
      </w:r>
      <w:r w:rsidRPr="001A3FBA">
        <w:rPr>
          <w:lang w:eastAsia="ja-JP"/>
        </w:rPr>
        <w:t xml:space="preserve"> y asistencia a las administraciones interesadas</w:t>
      </w:r>
      <w:r w:rsidRPr="001A3FBA" w:rsidR="005250A9">
        <w:rPr>
          <w:lang w:eastAsia="ja-JP"/>
        </w:rPr>
        <w:t xml:space="preserve"> sobre posibles medidas de coordinación de estaciones del </w:t>
      </w:r>
      <w:r w:rsidRPr="001A3FBA">
        <w:rPr>
          <w:lang w:eastAsia="ja-JP"/>
        </w:rPr>
        <w:t>servicio fijo</w:t>
      </w:r>
      <w:r w:rsidRPr="001A3FBA" w:rsidR="005250A9">
        <w:rPr>
          <w:lang w:eastAsia="ja-JP"/>
        </w:rPr>
        <w:t xml:space="preserve"> con estaciones IMT en la banda de frecuencias 6 425</w:t>
      </w:r>
      <w:r w:rsidRPr="001A3FBA" w:rsidR="005250A9">
        <w:rPr>
          <w:lang w:eastAsia="ja-JP"/>
        </w:rPr>
        <w:noBreakHyphen/>
        <w:t>7</w:t>
      </w:r>
      <w:r w:rsidR="00150F10">
        <w:rPr>
          <w:lang w:eastAsia="ja-JP"/>
        </w:rPr>
        <w:t> </w:t>
      </w:r>
      <w:r w:rsidRPr="001A3FBA" w:rsidR="005250A9">
        <w:rPr>
          <w:lang w:eastAsia="ja-JP"/>
        </w:rPr>
        <w:t>125</w:t>
      </w:r>
      <w:r w:rsidR="00150F10">
        <w:rPr>
          <w:lang w:eastAsia="ja-JP"/>
        </w:rPr>
        <w:t> </w:t>
      </w:r>
      <w:r w:rsidRPr="001A3FBA" w:rsidR="005250A9">
        <w:rPr>
          <w:lang w:eastAsia="ja-JP"/>
        </w:rPr>
        <w:t>MHz</w:t>
      </w:r>
      <w:r w:rsidRPr="001A3FBA">
        <w:t>;</w:t>
      </w:r>
    </w:p>
    <w:p w:rsidRPr="001A3FBA" w:rsidR="00B02670" w:rsidP="00B02670" w:rsidRDefault="00B02670" w14:paraId="119379CB" w14:textId="23ED34EB">
      <w:r w:rsidRPr="001A3FBA">
        <w:rPr>
          <w:lang w:eastAsia="ja-JP"/>
        </w:rPr>
        <w:t>5</w:t>
      </w:r>
      <w:r w:rsidRPr="001A3FBA">
        <w:rPr>
          <w:lang w:eastAsia="ja-JP"/>
        </w:rPr>
        <w:tab/>
        <w:t>a elaborar Recomendaciones y/o Informes UIT-R, según proceda, para ayudar a las administraciones a garantizar la utilización eficiente de la banda de frecuencias 6</w:t>
      </w:r>
      <w:r w:rsidR="00150F10">
        <w:rPr>
          <w:lang w:eastAsia="ja-JP"/>
        </w:rPr>
        <w:t> </w:t>
      </w:r>
      <w:r w:rsidRPr="001A3FBA">
        <w:rPr>
          <w:lang w:eastAsia="ja-JP"/>
        </w:rPr>
        <w:t>425-7 125</w:t>
      </w:r>
      <w:r w:rsidR="00150F10">
        <w:rPr>
          <w:lang w:eastAsia="ja-JP"/>
        </w:rPr>
        <w:t> </w:t>
      </w:r>
      <w:r w:rsidRPr="001A3FBA">
        <w:rPr>
          <w:lang w:eastAsia="ja-JP"/>
        </w:rPr>
        <w:t>MHz mediante mecanismos de coexistencia entre las IMT y otras aplicaciones del servicio móvil, incluidos otros sistemas de acceso inalámbrico</w:t>
      </w:r>
      <w:r w:rsidRPr="001A3FBA">
        <w:t>,</w:t>
      </w:r>
    </w:p>
    <w:p w:rsidRPr="001A3FBA" w:rsidR="00C86F5B" w:rsidP="00FD12EE" w:rsidRDefault="005250A9" w14:paraId="380E0E95" w14:textId="77777777">
      <w:pPr>
        <w:pStyle w:val="Call"/>
      </w:pPr>
      <w:r w:rsidRPr="001A3FBA">
        <w:t>encarga al Director de la Oficina de Radiocomunicaciones</w:t>
      </w:r>
    </w:p>
    <w:p w:rsidRPr="001A3FBA" w:rsidR="00C86F5B" w:rsidP="00FD12EE" w:rsidRDefault="005250A9" w14:paraId="0E523775" w14:textId="77777777">
      <w:r w:rsidRPr="001A3FBA">
        <w:t>que señale la presente Resolución a la atención de las organizaciones internacionales pertinentes.</w:t>
      </w:r>
    </w:p>
    <w:sectPr>
      <w:pgSz w:w="11907"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9C9D6" w14:textId="77777777" w:rsidR="00666B37" w:rsidRDefault="00666B37">
      <w:r>
        <w:separator/>
      </w:r>
    </w:p>
  </w:endnote>
  <w:endnote w:type="continuationSeparator" w:id="0">
    <w:p w14:paraId="4EB9A7D6" w14:textId="77777777" w:rsidR="00666B37" w:rsidRDefault="00666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54328" w14:textId="77777777" w:rsidR="00666B37" w:rsidRDefault="00666B37">
      <w:r>
        <w:rPr>
          <w:b/>
        </w:rPr>
        <w:t>_______________</w:t>
      </w:r>
    </w:p>
  </w:footnote>
  <w:footnote w:type="continuationSeparator" w:id="0">
    <w:p w14:paraId="4BCAFED1" w14:textId="77777777" w:rsidR="00666B37" w:rsidRDefault="00666B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66C6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70E9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1EE9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6A9A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E4AF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6290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240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7E80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2CD5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7F4F0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num w:numId="1" w16cid:durableId="23795208">
    <w:abstractNumId w:val="8"/>
  </w:num>
  <w:num w:numId="2" w16cid:durableId="273098600">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399325936">
    <w:abstractNumId w:val="9"/>
  </w:num>
  <w:num w:numId="4" w16cid:durableId="945313622">
    <w:abstractNumId w:val="7"/>
  </w:num>
  <w:num w:numId="5" w16cid:durableId="1319722075">
    <w:abstractNumId w:val="6"/>
  </w:num>
  <w:num w:numId="6" w16cid:durableId="1843005986">
    <w:abstractNumId w:val="5"/>
  </w:num>
  <w:num w:numId="7" w16cid:durableId="990452043">
    <w:abstractNumId w:val="4"/>
  </w:num>
  <w:num w:numId="8" w16cid:durableId="1400059618">
    <w:abstractNumId w:val="3"/>
  </w:num>
  <w:num w:numId="9" w16cid:durableId="1881480771">
    <w:abstractNumId w:val="2"/>
  </w:num>
  <w:num w:numId="10" w16cid:durableId="472253185">
    <w:abstractNumId w:val="1"/>
  </w:num>
  <w:num w:numId="11" w16cid:durableId="713235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NDI2NDOyNDA0NbAwMDRQ0lEKTi0uzszPAykwqgUAxvHv/ywAAAA="/>
  </w:docVars>
  <w:rsids>
    <w:rsidRoot w:val="0090121B"/>
    <w:rsid w:val="0002785D"/>
    <w:rsid w:val="00085EB5"/>
    <w:rsid w:val="00087AE8"/>
    <w:rsid w:val="00091054"/>
    <w:rsid w:val="0009386E"/>
    <w:rsid w:val="000A2A7D"/>
    <w:rsid w:val="000A5B9A"/>
    <w:rsid w:val="000E5BF9"/>
    <w:rsid w:val="000F0E6D"/>
    <w:rsid w:val="000F40D9"/>
    <w:rsid w:val="00121170"/>
    <w:rsid w:val="00123CC5"/>
    <w:rsid w:val="00150F10"/>
    <w:rsid w:val="0015142D"/>
    <w:rsid w:val="001616DC"/>
    <w:rsid w:val="00163962"/>
    <w:rsid w:val="00191A97"/>
    <w:rsid w:val="0019729C"/>
    <w:rsid w:val="001A083F"/>
    <w:rsid w:val="001A3FBA"/>
    <w:rsid w:val="001B18CC"/>
    <w:rsid w:val="001C41FA"/>
    <w:rsid w:val="001E2B52"/>
    <w:rsid w:val="001E3F27"/>
    <w:rsid w:val="001E7D42"/>
    <w:rsid w:val="0023659C"/>
    <w:rsid w:val="00236D2A"/>
    <w:rsid w:val="0024569E"/>
    <w:rsid w:val="00255F12"/>
    <w:rsid w:val="00262C09"/>
    <w:rsid w:val="002A791F"/>
    <w:rsid w:val="002C1A52"/>
    <w:rsid w:val="002C1B26"/>
    <w:rsid w:val="002C5D6C"/>
    <w:rsid w:val="002E701F"/>
    <w:rsid w:val="003248A9"/>
    <w:rsid w:val="00324FFA"/>
    <w:rsid w:val="00326155"/>
    <w:rsid w:val="0032680B"/>
    <w:rsid w:val="00363A65"/>
    <w:rsid w:val="003B1E8C"/>
    <w:rsid w:val="003B6103"/>
    <w:rsid w:val="003B6509"/>
    <w:rsid w:val="003C0613"/>
    <w:rsid w:val="003C2508"/>
    <w:rsid w:val="003D0AA3"/>
    <w:rsid w:val="003E2086"/>
    <w:rsid w:val="003F7F66"/>
    <w:rsid w:val="00420C7A"/>
    <w:rsid w:val="00440B3A"/>
    <w:rsid w:val="0044375A"/>
    <w:rsid w:val="0045384C"/>
    <w:rsid w:val="00454553"/>
    <w:rsid w:val="00463FB5"/>
    <w:rsid w:val="00472A86"/>
    <w:rsid w:val="004B124A"/>
    <w:rsid w:val="004B3095"/>
    <w:rsid w:val="004D2749"/>
    <w:rsid w:val="004D2C7C"/>
    <w:rsid w:val="005133B5"/>
    <w:rsid w:val="00524392"/>
    <w:rsid w:val="005250A9"/>
    <w:rsid w:val="00525995"/>
    <w:rsid w:val="00532097"/>
    <w:rsid w:val="0058350F"/>
    <w:rsid w:val="00583C7E"/>
    <w:rsid w:val="0059098E"/>
    <w:rsid w:val="005D46FB"/>
    <w:rsid w:val="005F2605"/>
    <w:rsid w:val="005F3B0E"/>
    <w:rsid w:val="005F3DB8"/>
    <w:rsid w:val="005F559C"/>
    <w:rsid w:val="00602857"/>
    <w:rsid w:val="006124AD"/>
    <w:rsid w:val="00624009"/>
    <w:rsid w:val="00624FE2"/>
    <w:rsid w:val="00662BA0"/>
    <w:rsid w:val="00666B37"/>
    <w:rsid w:val="00672433"/>
    <w:rsid w:val="0067344B"/>
    <w:rsid w:val="00684A94"/>
    <w:rsid w:val="00692AAE"/>
    <w:rsid w:val="006A6EC6"/>
    <w:rsid w:val="006C0E38"/>
    <w:rsid w:val="006D6E67"/>
    <w:rsid w:val="006E1A13"/>
    <w:rsid w:val="00701C20"/>
    <w:rsid w:val="00702F3D"/>
    <w:rsid w:val="0070518E"/>
    <w:rsid w:val="007354E9"/>
    <w:rsid w:val="007424E8"/>
    <w:rsid w:val="0074579D"/>
    <w:rsid w:val="00750295"/>
    <w:rsid w:val="00765578"/>
    <w:rsid w:val="00766333"/>
    <w:rsid w:val="0077084A"/>
    <w:rsid w:val="007952C7"/>
    <w:rsid w:val="007C0B95"/>
    <w:rsid w:val="007C2317"/>
    <w:rsid w:val="007D330A"/>
    <w:rsid w:val="0080079E"/>
    <w:rsid w:val="008504C2"/>
    <w:rsid w:val="00866AE6"/>
    <w:rsid w:val="008750A8"/>
    <w:rsid w:val="008D3316"/>
    <w:rsid w:val="008E5AF2"/>
    <w:rsid w:val="0090121B"/>
    <w:rsid w:val="009144C9"/>
    <w:rsid w:val="0094091F"/>
    <w:rsid w:val="00954539"/>
    <w:rsid w:val="00957F6F"/>
    <w:rsid w:val="00962171"/>
    <w:rsid w:val="00973754"/>
    <w:rsid w:val="0097736C"/>
    <w:rsid w:val="009C0BED"/>
    <w:rsid w:val="009E11EC"/>
    <w:rsid w:val="009F1BD5"/>
    <w:rsid w:val="00A021CC"/>
    <w:rsid w:val="00A118DB"/>
    <w:rsid w:val="00A232FD"/>
    <w:rsid w:val="00A4450C"/>
    <w:rsid w:val="00A74D77"/>
    <w:rsid w:val="00AA5E6C"/>
    <w:rsid w:val="00AC49B1"/>
    <w:rsid w:val="00AE5677"/>
    <w:rsid w:val="00AE658F"/>
    <w:rsid w:val="00AF2F78"/>
    <w:rsid w:val="00B02670"/>
    <w:rsid w:val="00B239FA"/>
    <w:rsid w:val="00B372AB"/>
    <w:rsid w:val="00B47331"/>
    <w:rsid w:val="00B52D55"/>
    <w:rsid w:val="00B8288C"/>
    <w:rsid w:val="00B86034"/>
    <w:rsid w:val="00BE2E80"/>
    <w:rsid w:val="00BE5EDD"/>
    <w:rsid w:val="00BE6A1F"/>
    <w:rsid w:val="00C126C4"/>
    <w:rsid w:val="00C22730"/>
    <w:rsid w:val="00C44E9E"/>
    <w:rsid w:val="00C53535"/>
    <w:rsid w:val="00C63EB5"/>
    <w:rsid w:val="00C86F5B"/>
    <w:rsid w:val="00C87DA7"/>
    <w:rsid w:val="00CA4945"/>
    <w:rsid w:val="00CB7FAF"/>
    <w:rsid w:val="00CC01E0"/>
    <w:rsid w:val="00CD5FEE"/>
    <w:rsid w:val="00CE60D2"/>
    <w:rsid w:val="00CE7431"/>
    <w:rsid w:val="00CF1A8F"/>
    <w:rsid w:val="00D00CA8"/>
    <w:rsid w:val="00D0288A"/>
    <w:rsid w:val="00D378A5"/>
    <w:rsid w:val="00D42DDC"/>
    <w:rsid w:val="00D72A5D"/>
    <w:rsid w:val="00DA71A3"/>
    <w:rsid w:val="00DC1922"/>
    <w:rsid w:val="00DC629B"/>
    <w:rsid w:val="00DE1C31"/>
    <w:rsid w:val="00DF68A7"/>
    <w:rsid w:val="00E05BFF"/>
    <w:rsid w:val="00E262F1"/>
    <w:rsid w:val="00E3176A"/>
    <w:rsid w:val="00E36CE4"/>
    <w:rsid w:val="00E54754"/>
    <w:rsid w:val="00E56612"/>
    <w:rsid w:val="00E56BD3"/>
    <w:rsid w:val="00E71D14"/>
    <w:rsid w:val="00EA77F0"/>
    <w:rsid w:val="00ED0ABC"/>
    <w:rsid w:val="00F12B2B"/>
    <w:rsid w:val="00F32316"/>
    <w:rsid w:val="00F60099"/>
    <w:rsid w:val="00F66597"/>
    <w:rsid w:val="00F675D0"/>
    <w:rsid w:val="00F8150C"/>
    <w:rsid w:val="00FD03C4"/>
    <w:rsid w:val="00FE45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5BC1D67"/>
  <w15:docId w15:val="{F24AB253-8331-4FF1-9D65-8FFFE0BF6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3F27"/>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s-ES_tradnl" w:eastAsia="en-US"/>
    </w:rPr>
  </w:style>
  <w:style w:type="paragraph" w:styleId="Heading1">
    <w:name w:val="heading 1"/>
    <w:basedOn w:val="Normal"/>
    <w:next w:val="Normal"/>
    <w:qFormat/>
    <w:pPr>
      <w:keepNext/>
      <w:keepLines/>
      <w:spacing w:before="280"/>
      <w:ind w:left="1134" w:hanging="1134"/>
      <w:outlineLvl w:val="0"/>
    </w:pPr>
    <w:rPr>
      <w:b/>
      <w:sz w:val="28"/>
    </w:rPr>
  </w:style>
  <w:style w:type="paragraph" w:styleId="Heading2">
    <w:name w:val="heading 2"/>
    <w:basedOn w:val="Heading1"/>
    <w:next w:val="Normal"/>
    <w:qFormat/>
    <w:pPr>
      <w:spacing w:before="200"/>
      <w:outlineLvl w:val="1"/>
    </w:pPr>
    <w:rPr>
      <w:sz w:val="24"/>
    </w:rPr>
  </w:style>
  <w:style w:type="paragraph" w:styleId="Heading3">
    <w:name w:val="heading 3"/>
    <w:basedOn w:val="Heading1"/>
    <w:next w:val="Normal"/>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Annexref"/>
    <w:pPr>
      <w:keepNext/>
      <w:keepLines/>
      <w:spacing w:before="480" w:after="80"/>
      <w:jc w:val="center"/>
    </w:pPr>
    <w:rPr>
      <w:caps/>
      <w:sz w:val="28"/>
    </w:rPr>
  </w:style>
  <w:style w:type="paragraph" w:customStyle="1" w:styleId="Annexref">
    <w:name w:val="Annex_ref"/>
    <w:basedOn w:val="Normal"/>
    <w:next w:val="Annextitle"/>
    <w:pPr>
      <w:keepNext/>
      <w:keepLines/>
      <w:spacing w:after="280"/>
      <w:jc w:val="center"/>
    </w:pPr>
  </w:style>
  <w:style w:type="paragraph" w:customStyle="1" w:styleId="Annextitle">
    <w:name w:val="Annex_title"/>
    <w:basedOn w:val="Normal"/>
    <w:next w:val="Normalaftertitle"/>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style>
  <w:style w:type="paragraph" w:customStyle="1" w:styleId="Appendixref">
    <w:name w:val="Appendix_ref"/>
    <w:basedOn w:val="Annexref"/>
    <w:next w:val="Annextitle"/>
  </w:style>
  <w:style w:type="paragraph" w:customStyle="1" w:styleId="Appendixtitle">
    <w:name w:val="Appendix_title"/>
    <w:basedOn w:val="Annextitle"/>
    <w:next w:val="Normalaftertitle"/>
  </w:style>
  <w:style w:type="paragraph" w:customStyle="1" w:styleId="Artheading">
    <w:name w:val="Art_heading"/>
    <w:basedOn w:val="Normal"/>
    <w:next w:val="Normalaftertitle"/>
    <w:pPr>
      <w:spacing w:before="480"/>
      <w:jc w:val="center"/>
    </w:pPr>
    <w:rPr>
      <w:rFonts w:ascii="Times New Roman Bold" w:hAnsi="Times New Roman Bold"/>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Call">
    <w:name w:val="Call"/>
    <w:basedOn w:val="Normal"/>
    <w:next w:val="Normal"/>
    <w:pPr>
      <w:keepNext/>
      <w:keepLines/>
      <w:spacing w:before="160"/>
      <w:ind w:left="1134"/>
    </w:pPr>
    <w:rPr>
      <w:i/>
    </w:rPr>
  </w:style>
  <w:style w:type="paragraph" w:customStyle="1" w:styleId="ChapNo">
    <w:name w:val="Chap_No"/>
    <w:basedOn w:val="ArtNo"/>
    <w:next w:val="Chaptitle"/>
    <w:rPr>
      <w:rFonts w:ascii="Times New Roman Bold" w:hAnsi="Times New Roman Bold"/>
      <w:b/>
    </w:rPr>
  </w:style>
  <w:style w:type="paragraph" w:customStyle="1" w:styleId="Chaptitle">
    <w:name w:val="Chap_title"/>
    <w:basedOn w:val="Arttitle"/>
    <w:next w:val="Normalaftertitle"/>
  </w:style>
  <w:style w:type="paragraph" w:customStyle="1" w:styleId="ddate">
    <w:name w:val="ddate"/>
    <w:basedOn w:val="Normal"/>
    <w:pPr>
      <w:framePr w:hSpace="181" w:wrap="around" w:vAnchor="page" w:hAnchor="margin" w:y="852"/>
      <w:shd w:val="solid" w:color="FFFFFF" w:fill="FFFFFF"/>
      <w:spacing w:before="0"/>
    </w:pPr>
    <w:rPr>
      <w:b/>
      <w:bCs/>
    </w:rPr>
  </w:style>
  <w:style w:type="paragraph" w:customStyle="1" w:styleId="dnum">
    <w:name w:val="dnum"/>
    <w:basedOn w:val="Normal"/>
    <w:pPr>
      <w:framePr w:hSpace="181" w:wrap="around" w:vAnchor="page" w:hAnchor="margin" w:y="852"/>
      <w:shd w:val="solid" w:color="FFFFFF" w:fill="FFFFFF"/>
    </w:pPr>
    <w:rPr>
      <w:b/>
      <w:bCs/>
    </w:rPr>
  </w:style>
  <w:style w:type="paragraph" w:customStyle="1" w:styleId="dorlang">
    <w:name w:val="dorlang"/>
    <w:basedOn w:val="Normal"/>
    <w:pPr>
      <w:framePr w:hSpace="181" w:wrap="around" w:vAnchor="page" w:hAnchor="margin" w:y="852"/>
      <w:shd w:val="solid" w:color="FFFFFF" w:fill="FFFFFF"/>
      <w:spacing w:before="0"/>
    </w:pPr>
    <w:rPr>
      <w:b/>
      <w:bCs/>
    </w:rPr>
  </w:style>
  <w:style w:type="character" w:styleId="EndnoteReference">
    <w:name w:val="endnote reference"/>
    <w:basedOn w:val="DefaultParagraphFont"/>
    <w:semiHidden/>
    <w:rPr>
      <w:vertAlign w:val="superscript"/>
    </w:rPr>
  </w:style>
  <w:style w:type="paragraph" w:customStyle="1" w:styleId="enumlev1">
    <w:name w:val="enumlev1"/>
    <w:basedOn w:val="Normal"/>
    <w:pPr>
      <w:tabs>
        <w:tab w:val="clear" w:pos="2268"/>
        <w:tab w:val="left" w:pos="2608"/>
        <w:tab w:val="left" w:pos="3345"/>
      </w:tabs>
      <w:spacing w:before="80"/>
      <w:ind w:left="1134" w:hanging="1134"/>
    </w:pPr>
  </w:style>
  <w:style w:type="paragraph" w:customStyle="1" w:styleId="enumlev2">
    <w:name w:val="enumlev2"/>
    <w:basedOn w:val="enumlev1"/>
    <w:pPr>
      <w:ind w:left="1871" w:hanging="737"/>
    </w:pPr>
  </w:style>
  <w:style w:type="paragraph" w:customStyle="1" w:styleId="enumlev3">
    <w:name w:val="enumlev3"/>
    <w:basedOn w:val="enumlev2"/>
    <w:pPr>
      <w:ind w:left="2268" w:hanging="397"/>
    </w:pPr>
  </w:style>
  <w:style w:type="paragraph" w:customStyle="1" w:styleId="Equation">
    <w:name w:val="Equation"/>
    <w:basedOn w:val="Normal"/>
    <w:pPr>
      <w:tabs>
        <w:tab w:val="clear" w:pos="1871"/>
        <w:tab w:val="clear" w:pos="2268"/>
        <w:tab w:val="center" w:pos="4820"/>
        <w:tab w:val="right" w:pos="9639"/>
      </w:tabs>
    </w:pPr>
  </w:style>
  <w:style w:type="paragraph" w:styleId="NormalIndent">
    <w:name w:val="Normal Indent"/>
    <w:basedOn w:val="Normal"/>
    <w:pPr>
      <w:ind w:left="1134"/>
    </w:pPr>
  </w:style>
  <w:style w:type="paragraph" w:customStyle="1" w:styleId="Equationlegend">
    <w:name w:val="Equation_legend"/>
    <w:basedOn w:val="NormalIndent"/>
    <w:pPr>
      <w:tabs>
        <w:tab w:val="clear" w:pos="1134"/>
        <w:tab w:val="clear" w:pos="2268"/>
        <w:tab w:val="right" w:pos="1871"/>
        <w:tab w:val="left" w:pos="2041"/>
      </w:tabs>
      <w:spacing w:before="80"/>
      <w:ind w:left="2041" w:hanging="2041"/>
    </w:pPr>
  </w:style>
  <w:style w:type="paragraph" w:customStyle="1" w:styleId="Figurelegend">
    <w:name w:val="Figure_legend"/>
    <w:basedOn w:val="Normal"/>
    <w:pPr>
      <w:keepNext/>
      <w:keepLines/>
      <w:spacing w:before="20" w:after="20"/>
    </w:pPr>
    <w:rPr>
      <w:sz w:val="18"/>
    </w:rPr>
  </w:style>
  <w:style w:type="paragraph" w:customStyle="1" w:styleId="FigureNo">
    <w:name w:val="Figure_No"/>
    <w:basedOn w:val="Normal"/>
    <w:next w:val="Figuretitle"/>
    <w:pPr>
      <w:keepNext/>
      <w:keepLines/>
      <w:spacing w:before="480" w:after="120"/>
      <w:jc w:val="center"/>
    </w:pPr>
    <w:rPr>
      <w:caps/>
      <w:sz w:val="20"/>
    </w:rPr>
  </w:style>
  <w:style w:type="paragraph" w:customStyle="1" w:styleId="Figuretitle">
    <w:name w:val="Figure_title"/>
    <w:basedOn w:val="Normal"/>
    <w:next w:val="Normal"/>
    <w:rsid w:val="002E701F"/>
    <w:pPr>
      <w:spacing w:after="480"/>
    </w:pPr>
  </w:style>
  <w:style w:type="paragraph" w:customStyle="1" w:styleId="Figurewithouttitle">
    <w:name w:val="Figure_without_title"/>
    <w:basedOn w:val="FigureNo"/>
    <w:next w:val="Normal"/>
    <w:pPr>
      <w:keepNext w:val="0"/>
    </w:pPr>
  </w:style>
  <w:style w:type="paragraph" w:styleId="Footer">
    <w:name w:val="footer"/>
    <w:basedOn w:val="Normal"/>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Pr>
      <w:position w:val="6"/>
      <w:sz w:val="18"/>
    </w:rPr>
  </w:style>
  <w:style w:type="paragraph" w:styleId="FootnoteText">
    <w:name w:val="footnote text"/>
    <w:basedOn w:val="Normal"/>
    <w:pPr>
      <w:keepLines/>
      <w:tabs>
        <w:tab w:val="left" w:pos="255"/>
      </w:tabs>
    </w:pPr>
  </w:style>
  <w:style w:type="paragraph" w:styleId="Header">
    <w:name w:val="header"/>
    <w:basedOn w:val="Normal"/>
    <w:pPr>
      <w:spacing w:before="0"/>
      <w:jc w:val="center"/>
    </w:pPr>
    <w:rPr>
      <w:sz w:val="18"/>
    </w:rPr>
  </w:style>
  <w:style w:type="paragraph" w:customStyle="1" w:styleId="Headingb">
    <w:name w:val="Heading_b"/>
    <w:basedOn w:val="Normal"/>
    <w:next w:val="Normal"/>
    <w:qFormat/>
    <w:pPr>
      <w:keepNext/>
      <w:spacing w:before="160"/>
    </w:pPr>
    <w:rPr>
      <w:rFonts w:ascii="Times" w:hAnsi="Times"/>
      <w:b/>
    </w:rPr>
  </w:style>
  <w:style w:type="paragraph" w:customStyle="1" w:styleId="Headingi">
    <w:name w:val="Heading_i"/>
    <w:basedOn w:val="Normal"/>
    <w:next w:val="Normal"/>
    <w:pPr>
      <w:keepNext/>
      <w:spacing w:before="160"/>
    </w:pPr>
    <w:rPr>
      <w:rFonts w:ascii="Times" w:hAnsi="Times"/>
      <w:i/>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IndexHeading">
    <w:name w:val="index heading"/>
    <w:basedOn w:val="Normal"/>
    <w:next w:val="Index1"/>
    <w:semiHidden/>
  </w:style>
  <w:style w:type="character" w:styleId="LineNumber">
    <w:name w:val="line number"/>
    <w:basedOn w:val="DefaultParagraphFont"/>
  </w:style>
  <w:style w:type="paragraph" w:customStyle="1" w:styleId="Normalaftertitle">
    <w:name w:val="Normal after title"/>
    <w:basedOn w:val="Normal"/>
    <w:next w:val="Normal"/>
    <w:pPr>
      <w:spacing w:before="280"/>
    </w:pPr>
  </w:style>
  <w:style w:type="paragraph" w:customStyle="1" w:styleId="Note">
    <w:name w:val="Note"/>
    <w:basedOn w:val="Normal"/>
    <w:pPr>
      <w:tabs>
        <w:tab w:val="left" w:pos="284"/>
      </w:tabs>
      <w:spacing w:before="80"/>
    </w:pPr>
  </w:style>
  <w:style w:type="paragraph" w:customStyle="1" w:styleId="PartNo">
    <w:name w:val="Part_No"/>
    <w:basedOn w:val="AnnexNo"/>
    <w:next w:val="Normal"/>
  </w:style>
  <w:style w:type="paragraph" w:customStyle="1" w:styleId="Parttitle">
    <w:name w:val="Part_title"/>
    <w:basedOn w:val="Annextitle"/>
    <w:next w:val="Normalaftertitle"/>
  </w:style>
  <w:style w:type="paragraph" w:customStyle="1" w:styleId="RecNo">
    <w:name w:val="Rec_No"/>
    <w:basedOn w:val="Normal"/>
    <w:next w:val="Rectitle"/>
    <w:pPr>
      <w:keepNext/>
      <w:keepLines/>
      <w:spacing w:before="480"/>
      <w:jc w:val="center"/>
    </w:pPr>
    <w:rPr>
      <w:caps/>
      <w:sz w:val="28"/>
    </w:rPr>
  </w:style>
  <w:style w:type="paragraph" w:customStyle="1" w:styleId="Rectitle">
    <w:name w:val="Rec_title"/>
    <w:basedOn w:val="RecNo"/>
    <w:next w:val="Recref"/>
    <w:pPr>
      <w:spacing w:before="240"/>
    </w:pPr>
    <w:rPr>
      <w:rFonts w:ascii="Times New Roman Bold" w:hAnsi="Times New Roman Bold"/>
      <w:b/>
      <w:caps w:val="0"/>
    </w:rPr>
  </w:style>
  <w:style w:type="paragraph" w:customStyle="1" w:styleId="Recref">
    <w:name w:val="Rec_ref"/>
    <w:basedOn w:val="Rectitle"/>
    <w:next w:val="Recdate"/>
    <w:pPr>
      <w:spacing w:before="120"/>
    </w:pPr>
    <w:rPr>
      <w:rFonts w:ascii="Times New Roman" w:hAnsi="Times New Roman"/>
      <w:b w:val="0"/>
      <w:sz w:val="24"/>
    </w:rPr>
  </w:style>
  <w:style w:type="paragraph" w:customStyle="1" w:styleId="Recdate">
    <w:name w:val="Rec_date"/>
    <w:basedOn w:val="Recref"/>
    <w:next w:val="Normalaftertitle"/>
    <w:pPr>
      <w:jc w:val="right"/>
    </w:pPr>
    <w:rPr>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Normal"/>
  </w:style>
  <w:style w:type="paragraph" w:customStyle="1" w:styleId="Reftext">
    <w:name w:val="Ref_text"/>
    <w:basedOn w:val="Normal"/>
    <w:pPr>
      <w:ind w:left="1134" w:hanging="1134"/>
    </w:pPr>
  </w:style>
  <w:style w:type="paragraph" w:customStyle="1" w:styleId="Reftitle">
    <w:name w:val="Ref_title"/>
    <w:basedOn w:val="Normal"/>
    <w:next w:val="Reftext"/>
    <w:pPr>
      <w:spacing w:before="480"/>
      <w:jc w:val="center"/>
    </w:pPr>
    <w:rPr>
      <w:caps/>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Normal"/>
  </w:style>
  <w:style w:type="paragraph" w:customStyle="1" w:styleId="Resref">
    <w:name w:val="Res_ref"/>
    <w:basedOn w:val="Recref"/>
    <w:next w:val="Resdate"/>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qFormat/>
  </w:style>
  <w:style w:type="character" w:customStyle="1" w:styleId="Recdef">
    <w:name w:val="Rec_def"/>
    <w:basedOn w:val="DefaultParagraphFont"/>
    <w:rPr>
      <w:b/>
    </w:rPr>
  </w:style>
  <w:style w:type="character" w:customStyle="1" w:styleId="Resdef">
    <w:name w:val="Res_def"/>
    <w:basedOn w:val="DefaultParagraphFont"/>
    <w:rPr>
      <w:rFonts w:ascii="Times New Roman" w:hAnsi="Times New Roman"/>
      <w:b/>
    </w:rPr>
  </w:style>
  <w:style w:type="character" w:styleId="PageNumber">
    <w:name w:val="page number"/>
    <w:basedOn w:val="DefaultParagraphFont"/>
  </w:style>
  <w:style w:type="paragraph" w:customStyle="1" w:styleId="Reasons">
    <w:name w:val="Reasons"/>
    <w:basedOn w:val="Normal"/>
    <w:qFormat/>
    <w:pPr>
      <w:tabs>
        <w:tab w:val="clear" w:pos="1871"/>
        <w:tab w:val="clear" w:pos="2268"/>
        <w:tab w:val="left" w:pos="1588"/>
        <w:tab w:val="left" w:pos="1985"/>
      </w:tabs>
    </w:pPr>
  </w:style>
  <w:style w:type="paragraph" w:customStyle="1" w:styleId="Border">
    <w:name w:val="Border"/>
    <w:basedOn w:val="Normal"/>
    <w:rsid w:val="002E701F"/>
    <w:pPr>
      <w:pBdr>
        <w:bottom w:val="single" w:sz="6" w:space="0" w:color="auto"/>
      </w:pBdr>
      <w:tabs>
        <w:tab w:val="clear" w:pos="1134"/>
        <w:tab w:val="clear" w:pos="2268"/>
        <w:tab w:val="left" w:pos="170"/>
        <w:tab w:val="left" w:pos="737"/>
        <w:tab w:val="left" w:pos="2977"/>
        <w:tab w:val="left" w:pos="3266"/>
      </w:tabs>
      <w:spacing w:before="0" w:line="10" w:lineRule="exact"/>
      <w:ind w:left="28" w:right="28"/>
      <w:jc w:val="center"/>
    </w:pPr>
    <w:rPr>
      <w:b/>
      <w:noProof/>
    </w:rPr>
  </w:style>
  <w:style w:type="character" w:styleId="CommentReference">
    <w:name w:val="annotation reference"/>
    <w:basedOn w:val="DefaultParagraphFont"/>
    <w:semiHidden/>
    <w:rPr>
      <w:sz w:val="16"/>
      <w:szCs w:val="16"/>
    </w:rPr>
  </w:style>
  <w:style w:type="paragraph" w:customStyle="1" w:styleId="Proposal">
    <w:name w:val="Proposal"/>
    <w:basedOn w:val="Normal"/>
    <w:next w:val="Normal"/>
    <w:rsid w:val="005F3B0E"/>
    <w:pPr>
      <w:keepNext/>
      <w:spacing w:before="240"/>
    </w:pPr>
    <w:rPr>
      <w:rFonts w:hAnsi="Times New Roman Bold"/>
      <w:b/>
    </w:rPr>
  </w:style>
  <w:style w:type="paragraph" w:styleId="CommentText">
    <w:name w:val="annotation text"/>
    <w:basedOn w:val="Normal"/>
    <w:semiHidden/>
    <w:rPr>
      <w:sz w:val="20"/>
    </w:rPr>
  </w:style>
  <w:style w:type="paragraph" w:customStyle="1" w:styleId="Figure">
    <w:name w:val="Figure"/>
    <w:basedOn w:val="Normal"/>
    <w:next w:val="Figuretitle"/>
    <w:pPr>
      <w:keepNext/>
      <w:keepLines/>
      <w:jc w:val="center"/>
    </w:pPr>
  </w:style>
  <w:style w:type="paragraph" w:customStyle="1" w:styleId="Agendaitem">
    <w:name w:val="Agenda_item"/>
    <w:basedOn w:val="Normal"/>
    <w:next w:val="Normalaftertitle"/>
    <w:qFormat/>
    <w:rsid w:val="002E701F"/>
    <w:pPr>
      <w:overflowPunct/>
      <w:autoSpaceDE/>
      <w:autoSpaceDN/>
      <w:adjustRightInd/>
      <w:spacing w:before="240"/>
      <w:jc w:val="center"/>
      <w:textAlignment w:val="auto"/>
    </w:pPr>
    <w:rPr>
      <w:sz w:val="28"/>
    </w:rPr>
  </w:style>
  <w:style w:type="paragraph" w:customStyle="1" w:styleId="Part1">
    <w:name w:val="Part_1"/>
    <w:basedOn w:val="Normal"/>
    <w:qFormat/>
    <w:rsid w:val="002E701F"/>
    <w:pPr>
      <w:tabs>
        <w:tab w:val="clear" w:pos="1134"/>
        <w:tab w:val="clear" w:pos="1871"/>
        <w:tab w:val="clear" w:pos="2268"/>
        <w:tab w:val="center" w:pos="4820"/>
      </w:tabs>
      <w:spacing w:before="360"/>
      <w:jc w:val="center"/>
    </w:pPr>
    <w:rPr>
      <w:b/>
    </w:rPr>
  </w:style>
  <w:style w:type="paragraph" w:customStyle="1" w:styleId="Normalend">
    <w:name w:val="Normal_end"/>
    <w:basedOn w:val="Normal"/>
    <w:qFormat/>
    <w:rsid w:val="007C2317"/>
  </w:style>
  <w:style w:type="paragraph" w:customStyle="1" w:styleId="ApptoAnnex">
    <w:name w:val="App_to_Annex"/>
    <w:basedOn w:val="AppendixNo"/>
    <w:qFormat/>
    <w:rsid w:val="007C2317"/>
  </w:style>
  <w:style w:type="character" w:customStyle="1" w:styleId="Tablefreq">
    <w:name w:val="Table_freq"/>
    <w:basedOn w:val="DefaultParagraphFont"/>
    <w:rsid w:val="00973754"/>
    <w:rPr>
      <w:b/>
      <w:color w:val="auto"/>
      <w:sz w:val="20"/>
    </w:rPr>
  </w:style>
  <w:style w:type="paragraph" w:customStyle="1" w:styleId="Tabletext">
    <w:name w:val="Table_text"/>
    <w:basedOn w:val="Normal"/>
    <w:rsid w:val="0097375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Tablehead">
    <w:name w:val="Table_head"/>
    <w:basedOn w:val="Tabletext"/>
    <w:next w:val="Tabletext"/>
    <w:rsid w:val="00973754"/>
    <w:pPr>
      <w:keepNext/>
      <w:spacing w:before="80" w:after="80"/>
      <w:jc w:val="center"/>
    </w:pPr>
    <w:rPr>
      <w:b/>
    </w:rPr>
  </w:style>
  <w:style w:type="paragraph" w:customStyle="1" w:styleId="Tablelegend">
    <w:name w:val="Table_legend"/>
    <w:basedOn w:val="Tabletext"/>
    <w:rsid w:val="00973754"/>
    <w:pPr>
      <w:tabs>
        <w:tab w:val="clear" w:pos="284"/>
      </w:tabs>
      <w:spacing w:before="120"/>
    </w:pPr>
  </w:style>
  <w:style w:type="paragraph" w:customStyle="1" w:styleId="TableNo">
    <w:name w:val="Table_No"/>
    <w:basedOn w:val="Normal"/>
    <w:next w:val="Normal"/>
    <w:rsid w:val="00973754"/>
    <w:pPr>
      <w:keepNext/>
      <w:spacing w:before="560" w:after="120"/>
      <w:jc w:val="center"/>
    </w:pPr>
    <w:rPr>
      <w:caps/>
      <w:sz w:val="20"/>
    </w:rPr>
  </w:style>
  <w:style w:type="paragraph" w:customStyle="1" w:styleId="Tableref">
    <w:name w:val="Table_ref"/>
    <w:basedOn w:val="Normal"/>
    <w:next w:val="Normal"/>
    <w:rsid w:val="00973754"/>
    <w:pPr>
      <w:keepNext/>
      <w:spacing w:before="560"/>
      <w:jc w:val="center"/>
    </w:pPr>
    <w:rPr>
      <w:sz w:val="20"/>
    </w:rPr>
  </w:style>
  <w:style w:type="paragraph" w:customStyle="1" w:styleId="TableTextS5">
    <w:name w:val="Table_TextS5"/>
    <w:basedOn w:val="Normal"/>
    <w:rsid w:val="00766333"/>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Tabletitle">
    <w:name w:val="Table_title"/>
    <w:basedOn w:val="Normal"/>
    <w:next w:val="Tabletext"/>
    <w:rsid w:val="00973754"/>
    <w:pPr>
      <w:keepNext/>
      <w:keepLines/>
      <w:spacing w:before="0" w:after="120"/>
      <w:jc w:val="center"/>
    </w:pPr>
    <w:rPr>
      <w:rFonts w:ascii="Times New Roman Bold" w:hAnsi="Times New Roman Bold"/>
      <w:b/>
      <w:sz w:val="20"/>
    </w:rPr>
  </w:style>
  <w:style w:type="paragraph" w:customStyle="1" w:styleId="Section1">
    <w:name w:val="Section_1"/>
    <w:basedOn w:val="Normal"/>
    <w:rsid w:val="004B124A"/>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4B124A"/>
    <w:rPr>
      <w:b w:val="0"/>
      <w:i/>
    </w:rPr>
  </w:style>
  <w:style w:type="paragraph" w:customStyle="1" w:styleId="Section3">
    <w:name w:val="Section_3"/>
    <w:basedOn w:val="Section1"/>
    <w:rsid w:val="004B124A"/>
    <w:rPr>
      <w:b w:val="0"/>
    </w:rPr>
  </w:style>
  <w:style w:type="paragraph" w:customStyle="1" w:styleId="SectionNo">
    <w:name w:val="Section_No"/>
    <w:basedOn w:val="AnnexNo"/>
    <w:next w:val="Normal"/>
    <w:rsid w:val="004B124A"/>
  </w:style>
  <w:style w:type="paragraph" w:customStyle="1" w:styleId="Sectiontitle">
    <w:name w:val="Section_title"/>
    <w:basedOn w:val="Annextitle"/>
    <w:next w:val="Normalaftertitle"/>
    <w:rsid w:val="004B124A"/>
  </w:style>
  <w:style w:type="paragraph" w:customStyle="1" w:styleId="Source">
    <w:name w:val="Source"/>
    <w:basedOn w:val="Normal"/>
    <w:next w:val="Normal"/>
    <w:rsid w:val="004B124A"/>
    <w:pPr>
      <w:spacing w:before="840"/>
      <w:jc w:val="center"/>
    </w:pPr>
    <w:rPr>
      <w:b/>
      <w:sz w:val="28"/>
    </w:rPr>
  </w:style>
  <w:style w:type="paragraph" w:customStyle="1" w:styleId="Title1">
    <w:name w:val="Title 1"/>
    <w:basedOn w:val="Source"/>
    <w:next w:val="Normal"/>
    <w:rsid w:val="00E262F1"/>
    <w:pPr>
      <w:tabs>
        <w:tab w:val="left" w:pos="567"/>
        <w:tab w:val="left" w:pos="1701"/>
        <w:tab w:val="left" w:pos="2835"/>
      </w:tabs>
      <w:spacing w:before="240"/>
    </w:pPr>
    <w:rPr>
      <w:b w:val="0"/>
      <w:caps/>
    </w:rPr>
  </w:style>
  <w:style w:type="paragraph" w:customStyle="1" w:styleId="Title2">
    <w:name w:val="Title 2"/>
    <w:basedOn w:val="Source"/>
    <w:next w:val="Normal"/>
    <w:rsid w:val="00E262F1"/>
    <w:pPr>
      <w:overflowPunct/>
      <w:autoSpaceDE/>
      <w:autoSpaceDN/>
      <w:adjustRightInd/>
      <w:spacing w:before="480"/>
      <w:textAlignment w:val="auto"/>
    </w:pPr>
    <w:rPr>
      <w:b w:val="0"/>
      <w:caps/>
    </w:rPr>
  </w:style>
  <w:style w:type="paragraph" w:customStyle="1" w:styleId="Title3">
    <w:name w:val="Title 3"/>
    <w:basedOn w:val="Title2"/>
    <w:next w:val="Normal"/>
    <w:rsid w:val="00E262F1"/>
    <w:pPr>
      <w:spacing w:before="240"/>
    </w:pPr>
    <w:rPr>
      <w:caps w:val="0"/>
    </w:rPr>
  </w:style>
  <w:style w:type="paragraph" w:customStyle="1" w:styleId="Title4">
    <w:name w:val="Title 4"/>
    <w:basedOn w:val="Title3"/>
    <w:next w:val="Heading1"/>
    <w:rsid w:val="00E262F1"/>
    <w:rPr>
      <w:b/>
    </w:rPr>
  </w:style>
  <w:style w:type="paragraph" w:customStyle="1" w:styleId="toc0">
    <w:name w:val="toc 0"/>
    <w:basedOn w:val="Normal"/>
    <w:next w:val="TOC1"/>
    <w:rsid w:val="00F8150C"/>
    <w:pPr>
      <w:tabs>
        <w:tab w:val="clear" w:pos="1134"/>
        <w:tab w:val="clear" w:pos="1871"/>
        <w:tab w:val="clear" w:pos="2268"/>
        <w:tab w:val="right" w:pos="9781"/>
      </w:tabs>
    </w:pPr>
    <w:rPr>
      <w:b/>
    </w:rPr>
  </w:style>
  <w:style w:type="paragraph" w:styleId="TOC1">
    <w:name w:val="toc 1"/>
    <w:basedOn w:val="Normal"/>
    <w:rsid w:val="00F8150C"/>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F8150C"/>
    <w:pPr>
      <w:spacing w:before="120"/>
    </w:pPr>
  </w:style>
  <w:style w:type="paragraph" w:styleId="TOC3">
    <w:name w:val="toc 3"/>
    <w:basedOn w:val="TOC2"/>
    <w:rsid w:val="00F8150C"/>
  </w:style>
  <w:style w:type="paragraph" w:styleId="TOC4">
    <w:name w:val="toc 4"/>
    <w:basedOn w:val="TOC3"/>
    <w:rsid w:val="00F8150C"/>
  </w:style>
  <w:style w:type="paragraph" w:styleId="TOC5">
    <w:name w:val="toc 5"/>
    <w:basedOn w:val="TOC4"/>
    <w:rsid w:val="00F8150C"/>
  </w:style>
  <w:style w:type="paragraph" w:styleId="TOC6">
    <w:name w:val="toc 6"/>
    <w:basedOn w:val="TOC4"/>
    <w:rsid w:val="00F8150C"/>
  </w:style>
  <w:style w:type="paragraph" w:styleId="TOC7">
    <w:name w:val="toc 7"/>
    <w:basedOn w:val="TOC4"/>
    <w:rsid w:val="00F8150C"/>
  </w:style>
  <w:style w:type="paragraph" w:styleId="TOC8">
    <w:name w:val="toc 8"/>
    <w:basedOn w:val="TOC4"/>
    <w:rsid w:val="00F8150C"/>
  </w:style>
  <w:style w:type="paragraph" w:customStyle="1" w:styleId="Partref">
    <w:name w:val="Part_ref"/>
    <w:basedOn w:val="Annexref"/>
    <w:next w:val="Parttitle"/>
    <w:rsid w:val="0032680B"/>
  </w:style>
  <w:style w:type="paragraph" w:customStyle="1" w:styleId="Questionref">
    <w:name w:val="Question_ref"/>
    <w:basedOn w:val="Recref"/>
    <w:next w:val="Questiondate"/>
    <w:rsid w:val="006D6E67"/>
  </w:style>
  <w:style w:type="paragraph" w:customStyle="1" w:styleId="Restitle">
    <w:name w:val="Res_title"/>
    <w:basedOn w:val="Rectitle"/>
    <w:next w:val="Resref"/>
    <w:rsid w:val="009E11EC"/>
  </w:style>
  <w:style w:type="paragraph" w:customStyle="1" w:styleId="SpecialFooter">
    <w:name w:val="Special Footer"/>
    <w:basedOn w:val="Footer"/>
    <w:rsid w:val="00262C09"/>
    <w:pPr>
      <w:tabs>
        <w:tab w:val="left" w:pos="567"/>
        <w:tab w:val="left" w:pos="1134"/>
        <w:tab w:val="left" w:pos="1701"/>
        <w:tab w:val="left" w:pos="2268"/>
        <w:tab w:val="left" w:pos="2835"/>
      </w:tabs>
      <w:jc w:val="both"/>
    </w:pPr>
    <w:rPr>
      <w:caps w:val="0"/>
      <w:noProof w:val="0"/>
    </w:rPr>
  </w:style>
  <w:style w:type="paragraph" w:customStyle="1" w:styleId="Subsection1">
    <w:name w:val="Subsection_1"/>
    <w:basedOn w:val="Section1"/>
    <w:next w:val="Normalaftertitle"/>
    <w:qFormat/>
    <w:rsid w:val="00262C09"/>
  </w:style>
  <w:style w:type="paragraph" w:customStyle="1" w:styleId="AppArttitle">
    <w:name w:val="App_Art_title"/>
    <w:basedOn w:val="Arttitle"/>
    <w:next w:val="Normalaftertitle"/>
    <w:qFormat/>
    <w:rsid w:val="00163962"/>
  </w:style>
  <w:style w:type="paragraph" w:customStyle="1" w:styleId="AppArtNo">
    <w:name w:val="App_Art_No"/>
    <w:basedOn w:val="ArtNo"/>
    <w:next w:val="AppArttitle"/>
    <w:qFormat/>
    <w:rsid w:val="00163962"/>
  </w:style>
  <w:style w:type="paragraph" w:customStyle="1" w:styleId="Volumetitle">
    <w:name w:val="Volume_title"/>
    <w:basedOn w:val="ArtNo"/>
    <w:qFormat/>
    <w:rsid w:val="009144C9"/>
  </w:style>
  <w:style w:type="paragraph" w:customStyle="1" w:styleId="Committee">
    <w:name w:val="Committee"/>
    <w:basedOn w:val="Normal"/>
    <w:qFormat/>
    <w:rsid w:val="00624009"/>
    <w:pPr>
      <w:framePr w:hSpace="180" w:wrap="around" w:hAnchor="margin" w:y="-675"/>
      <w:tabs>
        <w:tab w:val="left" w:pos="851"/>
      </w:tabs>
      <w:spacing w:before="0" w:line="240" w:lineRule="atLeast"/>
    </w:pPr>
    <w:rPr>
      <w:rFonts w:ascii="Verdana" w:hAnsi="Verdana" w:cstheme="minorHAnsi"/>
      <w:b/>
      <w:sz w:val="20"/>
      <w:szCs w:val="24"/>
      <w:lang w:val="en-GB"/>
    </w:rPr>
  </w:style>
  <w:style w:type="paragraph" w:customStyle="1" w:styleId="Headingsplit">
    <w:name w:val="Heading_split"/>
    <w:basedOn w:val="Headingi"/>
    <w:next w:val="Normal"/>
    <w:qFormat/>
    <w:rsid w:val="004D2C7C"/>
    <w:rPr>
      <w:color w:val="000000"/>
    </w:rPr>
  </w:style>
  <w:style w:type="character" w:customStyle="1" w:styleId="Provsplit">
    <w:name w:val="Prov_split"/>
    <w:basedOn w:val="DefaultParagraphFont"/>
    <w:uiPriority w:val="1"/>
    <w:qFormat/>
    <w:rsid w:val="004D2C7C"/>
  </w:style>
  <w:style w:type="paragraph" w:customStyle="1" w:styleId="MethodHeadingb">
    <w:name w:val="Method_Headingb"/>
    <w:basedOn w:val="Headingb"/>
    <w:qFormat/>
    <w:rsid w:val="0019729C"/>
  </w:style>
  <w:style w:type="paragraph" w:customStyle="1" w:styleId="Methodheading1">
    <w:name w:val="Method_heading1"/>
    <w:basedOn w:val="Heading1"/>
    <w:next w:val="Normal"/>
    <w:qFormat/>
    <w:rsid w:val="002C1A52"/>
  </w:style>
  <w:style w:type="paragraph" w:customStyle="1" w:styleId="Methodheading2">
    <w:name w:val="Method_heading2"/>
    <w:basedOn w:val="Heading2"/>
    <w:next w:val="Normal"/>
    <w:qFormat/>
    <w:rsid w:val="002C1A52"/>
  </w:style>
  <w:style w:type="paragraph" w:customStyle="1" w:styleId="Methodheading3">
    <w:name w:val="Method_heading3"/>
    <w:basedOn w:val="Heading3"/>
    <w:next w:val="Normal"/>
    <w:qFormat/>
    <w:rsid w:val="002C1A52"/>
  </w:style>
  <w:style w:type="paragraph" w:customStyle="1" w:styleId="Methodheading4">
    <w:name w:val="Method_heading4"/>
    <w:basedOn w:val="Heading4"/>
    <w:next w:val="Normal"/>
    <w:qFormat/>
    <w:rsid w:val="002C1A52"/>
  </w:style>
  <w:style w:type="character" w:customStyle="1" w:styleId="href">
    <w:name w:val="href"/>
    <w:basedOn w:val="DefaultParagraphFont"/>
    <w:rsid w:val="009B463A"/>
  </w:style>
  <w:style w:type="paragraph" w:customStyle="1" w:styleId="Tablefin">
    <w:name w:val="Table_fin"/>
    <w:basedOn w:val="Tabletext"/>
    <w:qFormat/>
    <w:rsid w:val="007704DB"/>
    <w:pPr>
      <w:tabs>
        <w:tab w:val="clear" w:pos="1871"/>
      </w:tabs>
      <w:overflowPunct/>
      <w:autoSpaceDE/>
      <w:autoSpaceDN/>
      <w:adjustRightInd/>
      <w:textAlignment w:val="auto"/>
    </w:pPr>
    <w:rPr>
      <w:rFonts w:cs="Angsana New"/>
      <w:sz w:val="22"/>
      <w:szCs w:val="22"/>
      <w:lang w:eastAsia="ja-JP"/>
    </w:rPr>
  </w:style>
  <w:style w:type="character" w:styleId="Hyperlink">
    <w:name w:val="Hyperlink"/>
    <w:basedOn w:val="DefaultParagraphFont"/>
    <w:unhideWhenUsed/>
    <w:rPr>
      <w:color w:val="0000FF" w:themeColor="hyperlink"/>
      <w:u w:val="single"/>
    </w:rPr>
  </w:style>
  <w:style w:type="character" w:styleId="UnresolvedMention">
    <w:name w:val="Unresolved Mention"/>
    <w:basedOn w:val="DefaultParagraphFont"/>
    <w:uiPriority w:val="99"/>
    <w:semiHidden/>
    <w:unhideWhenUsed/>
    <w:rsid w:val="009F1BD5"/>
    <w:rPr>
      <w:color w:val="605E5C"/>
      <w:shd w:val="clear" w:color="auto" w:fill="E1DFDD"/>
    </w:rPr>
  </w:style>
  <w:style w:type="paragraph" w:styleId="Revision">
    <w:name w:val="Revision"/>
    <w:hidden/>
    <w:uiPriority w:val="99"/>
    <w:semiHidden/>
    <w:rsid w:val="00A232FD"/>
    <w:rPr>
      <w:rFonts w:ascii="Times New Roman" w:hAnsi="Times New Roman"/>
      <w:sz w:val="24"/>
      <w:lang w:val="es-ES_tradnl" w:eastAsia="en-US"/>
    </w:rPr>
  </w:style>
  <w:style w:type="character" w:styleId="FollowedHyperlink">
    <w:name w:val="FollowedHyperlink"/>
    <w:basedOn w:val="DefaultParagraphFont"/>
    <w:semiHidden/>
    <w:unhideWhenUsed/>
    <w:rsid w:val="001B18CC"/>
    <w:rPr>
      <w:color w:val="800080" w:themeColor="followedHyperlink"/>
      <w:u w:val="single"/>
    </w:rPr>
  </w:style>
</w:styles>
</file>

<file path=word/_rels/document.xml.rels>&#65279;<?xml version="1.0" encoding="utf-8"?><Relationships xmlns="http://schemas.openxmlformats.org/package/2006/relationships"><Relationship Type="http://schemas.openxmlformats.org/officeDocument/2006/relationships/footnotes" Target="/word/footnotes.xml" Id="R109f2e023b2a452e" /><Relationship Type="http://schemas.openxmlformats.org/officeDocument/2006/relationships/styles" Target="/word/styles.xml" Id="Rd043b0b669fb4519" /><Relationship Type="http://schemas.openxmlformats.org/officeDocument/2006/relationships/theme" Target="/word/theme/theme1.xml" Id="Rfc79a864ed2744be" /><Relationship Type="http://schemas.openxmlformats.org/officeDocument/2006/relationships/fontTable" Target="/word/fontTable.xml" Id="Refd3be12cfe6446d" /><Relationship Type="http://schemas.openxmlformats.org/officeDocument/2006/relationships/numbering" Target="/word/numbering.xml" Id="R92b447382897409a" /><Relationship Type="http://schemas.openxmlformats.org/officeDocument/2006/relationships/endnotes" Target="/word/endnotes.xml" Id="R687e7e506e6f4826" /><Relationship Type="http://schemas.openxmlformats.org/officeDocument/2006/relationships/settings" Target="/word/settings.xml" Id="R1dc0709639ed498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