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C66AC5" w14:paraId="1F6CE935" w14:textId="77777777" w:rsidTr="00F320AA">
        <w:trPr>
          <w:cantSplit/>
        </w:trPr>
        <w:tc>
          <w:tcPr>
            <w:tcW w:w="1418" w:type="dxa"/>
            <w:vAlign w:val="center"/>
          </w:tcPr>
          <w:p w14:paraId="07C49AB5" w14:textId="77777777" w:rsidR="00F320AA" w:rsidRPr="00C66AC5" w:rsidRDefault="00F320AA" w:rsidP="00F320AA">
            <w:pPr>
              <w:spacing w:before="0"/>
              <w:rPr>
                <w:rFonts w:ascii="Verdana" w:hAnsi="Verdana"/>
                <w:position w:val="6"/>
              </w:rPr>
            </w:pPr>
            <w:r w:rsidRPr="00C66AC5">
              <w:drawing>
                <wp:inline distT="0" distB="0" distL="0" distR="0" wp14:anchorId="0E1BE910" wp14:editId="5FC8CE79">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1C6FCED3" w14:textId="77777777" w:rsidR="00F320AA" w:rsidRPr="00C66AC5" w:rsidRDefault="00F320AA" w:rsidP="00F320AA">
            <w:pPr>
              <w:spacing w:before="400" w:after="48" w:line="240" w:lineRule="atLeast"/>
              <w:rPr>
                <w:rFonts w:ascii="Verdana" w:hAnsi="Verdana"/>
                <w:position w:val="6"/>
              </w:rPr>
            </w:pPr>
            <w:r w:rsidRPr="00C66AC5">
              <w:rPr>
                <w:rFonts w:ascii="Verdana" w:hAnsi="Verdana" w:cs="Times"/>
                <w:b/>
                <w:position w:val="6"/>
                <w:sz w:val="22"/>
                <w:szCs w:val="22"/>
              </w:rPr>
              <w:t>World Radiocommunication Conference (WRC-23)</w:t>
            </w:r>
            <w:r w:rsidRPr="00C66AC5">
              <w:rPr>
                <w:rFonts w:ascii="Verdana" w:hAnsi="Verdana" w:cs="Times"/>
                <w:b/>
                <w:position w:val="6"/>
                <w:sz w:val="26"/>
                <w:szCs w:val="26"/>
              </w:rPr>
              <w:br/>
            </w:r>
            <w:r w:rsidRPr="00C66AC5">
              <w:rPr>
                <w:rFonts w:ascii="Verdana" w:hAnsi="Verdana"/>
                <w:b/>
                <w:bCs/>
                <w:position w:val="6"/>
                <w:sz w:val="18"/>
                <w:szCs w:val="18"/>
              </w:rPr>
              <w:t>Dubai, 20 November - 15 December 2023</w:t>
            </w:r>
          </w:p>
        </w:tc>
        <w:tc>
          <w:tcPr>
            <w:tcW w:w="1951" w:type="dxa"/>
            <w:vAlign w:val="center"/>
          </w:tcPr>
          <w:p w14:paraId="085E298E" w14:textId="77777777" w:rsidR="00F320AA" w:rsidRPr="00C66AC5" w:rsidRDefault="00EB0812" w:rsidP="00F320AA">
            <w:pPr>
              <w:spacing w:before="0" w:line="240" w:lineRule="atLeast"/>
            </w:pPr>
            <w:r w:rsidRPr="00C66AC5">
              <w:drawing>
                <wp:inline distT="0" distB="0" distL="0" distR="0" wp14:anchorId="35A5D29F" wp14:editId="358DEF5C">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C66AC5" w14:paraId="01E854A7" w14:textId="77777777">
        <w:trPr>
          <w:cantSplit/>
        </w:trPr>
        <w:tc>
          <w:tcPr>
            <w:tcW w:w="6911" w:type="dxa"/>
            <w:gridSpan w:val="2"/>
            <w:tcBorders>
              <w:bottom w:val="single" w:sz="12" w:space="0" w:color="auto"/>
            </w:tcBorders>
          </w:tcPr>
          <w:p w14:paraId="303B47B5" w14:textId="77777777" w:rsidR="00A066F1" w:rsidRPr="00C66AC5"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6D3AC018" w14:textId="77777777" w:rsidR="00A066F1" w:rsidRPr="00C66AC5" w:rsidRDefault="00A066F1" w:rsidP="00A066F1">
            <w:pPr>
              <w:spacing w:before="0" w:line="240" w:lineRule="atLeast"/>
              <w:rPr>
                <w:rFonts w:ascii="Verdana" w:hAnsi="Verdana"/>
                <w:szCs w:val="24"/>
              </w:rPr>
            </w:pPr>
          </w:p>
        </w:tc>
      </w:tr>
      <w:tr w:rsidR="00A066F1" w:rsidRPr="00C66AC5" w14:paraId="6042676F" w14:textId="77777777">
        <w:trPr>
          <w:cantSplit/>
        </w:trPr>
        <w:tc>
          <w:tcPr>
            <w:tcW w:w="6911" w:type="dxa"/>
            <w:gridSpan w:val="2"/>
            <w:tcBorders>
              <w:top w:val="single" w:sz="12" w:space="0" w:color="auto"/>
            </w:tcBorders>
          </w:tcPr>
          <w:p w14:paraId="49044EED" w14:textId="77777777" w:rsidR="00A066F1" w:rsidRPr="00C66AC5"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554C626" w14:textId="77777777" w:rsidR="00A066F1" w:rsidRPr="00C66AC5" w:rsidRDefault="00A066F1" w:rsidP="00A066F1">
            <w:pPr>
              <w:spacing w:before="0" w:line="240" w:lineRule="atLeast"/>
              <w:rPr>
                <w:rFonts w:ascii="Verdana" w:hAnsi="Verdana"/>
                <w:sz w:val="20"/>
              </w:rPr>
            </w:pPr>
          </w:p>
        </w:tc>
      </w:tr>
      <w:tr w:rsidR="00A066F1" w:rsidRPr="00C66AC5" w14:paraId="041162B4" w14:textId="77777777">
        <w:trPr>
          <w:cantSplit/>
          <w:trHeight w:val="23"/>
        </w:trPr>
        <w:tc>
          <w:tcPr>
            <w:tcW w:w="6911" w:type="dxa"/>
            <w:gridSpan w:val="2"/>
            <w:shd w:val="clear" w:color="auto" w:fill="auto"/>
          </w:tcPr>
          <w:p w14:paraId="6E870009" w14:textId="77777777" w:rsidR="00A066F1" w:rsidRPr="00C66AC5"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C66AC5">
              <w:rPr>
                <w:rFonts w:ascii="Verdana" w:hAnsi="Verdana"/>
                <w:sz w:val="20"/>
                <w:szCs w:val="20"/>
              </w:rPr>
              <w:t>PLENARY MEETING</w:t>
            </w:r>
          </w:p>
        </w:tc>
        <w:tc>
          <w:tcPr>
            <w:tcW w:w="3120" w:type="dxa"/>
            <w:gridSpan w:val="2"/>
          </w:tcPr>
          <w:p w14:paraId="4C195CFE" w14:textId="77777777" w:rsidR="00A066F1" w:rsidRPr="00C66AC5" w:rsidRDefault="00E55816" w:rsidP="00AA666F">
            <w:pPr>
              <w:tabs>
                <w:tab w:val="left" w:pos="851"/>
              </w:tabs>
              <w:spacing w:before="0" w:line="240" w:lineRule="atLeast"/>
              <w:rPr>
                <w:rFonts w:ascii="Verdana" w:hAnsi="Verdana"/>
                <w:sz w:val="20"/>
              </w:rPr>
            </w:pPr>
            <w:r w:rsidRPr="00C66AC5">
              <w:rPr>
                <w:rFonts w:ascii="Verdana" w:hAnsi="Verdana"/>
                <w:b/>
                <w:sz w:val="20"/>
              </w:rPr>
              <w:t>Addendum 6 to</w:t>
            </w:r>
            <w:r w:rsidRPr="00C66AC5">
              <w:rPr>
                <w:rFonts w:ascii="Verdana" w:hAnsi="Verdana"/>
                <w:b/>
                <w:sz w:val="20"/>
              </w:rPr>
              <w:br/>
              <w:t>Document 65</w:t>
            </w:r>
            <w:r w:rsidR="00A066F1" w:rsidRPr="00C66AC5">
              <w:rPr>
                <w:rFonts w:ascii="Verdana" w:hAnsi="Verdana"/>
                <w:b/>
                <w:sz w:val="20"/>
              </w:rPr>
              <w:t>-</w:t>
            </w:r>
            <w:r w:rsidR="005E10C9" w:rsidRPr="00C66AC5">
              <w:rPr>
                <w:rFonts w:ascii="Verdana" w:hAnsi="Verdana"/>
                <w:b/>
                <w:sz w:val="20"/>
              </w:rPr>
              <w:t>E</w:t>
            </w:r>
          </w:p>
        </w:tc>
      </w:tr>
      <w:tr w:rsidR="00A066F1" w:rsidRPr="00C66AC5" w14:paraId="75C6343A" w14:textId="77777777">
        <w:trPr>
          <w:cantSplit/>
          <w:trHeight w:val="23"/>
        </w:trPr>
        <w:tc>
          <w:tcPr>
            <w:tcW w:w="6911" w:type="dxa"/>
            <w:gridSpan w:val="2"/>
            <w:shd w:val="clear" w:color="auto" w:fill="auto"/>
          </w:tcPr>
          <w:p w14:paraId="2A04527B" w14:textId="77777777" w:rsidR="00A066F1" w:rsidRPr="00C66AC5"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02DD1047" w14:textId="77777777" w:rsidR="00A066F1" w:rsidRPr="00C66AC5" w:rsidRDefault="00420873" w:rsidP="00A066F1">
            <w:pPr>
              <w:tabs>
                <w:tab w:val="left" w:pos="993"/>
              </w:tabs>
              <w:spacing w:before="0"/>
              <w:rPr>
                <w:rFonts w:ascii="Verdana" w:hAnsi="Verdana"/>
                <w:sz w:val="20"/>
              </w:rPr>
            </w:pPr>
            <w:r w:rsidRPr="00C66AC5">
              <w:rPr>
                <w:rFonts w:ascii="Verdana" w:hAnsi="Verdana"/>
                <w:b/>
                <w:sz w:val="20"/>
              </w:rPr>
              <w:t>29 September 2023</w:t>
            </w:r>
          </w:p>
        </w:tc>
      </w:tr>
      <w:tr w:rsidR="00A066F1" w:rsidRPr="00C66AC5" w14:paraId="499D9353" w14:textId="77777777">
        <w:trPr>
          <w:cantSplit/>
          <w:trHeight w:val="23"/>
        </w:trPr>
        <w:tc>
          <w:tcPr>
            <w:tcW w:w="6911" w:type="dxa"/>
            <w:gridSpan w:val="2"/>
            <w:shd w:val="clear" w:color="auto" w:fill="auto"/>
          </w:tcPr>
          <w:p w14:paraId="4FCE9D5E" w14:textId="77777777" w:rsidR="00A066F1" w:rsidRPr="00C66AC5"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4477F923" w14:textId="77777777" w:rsidR="00A066F1" w:rsidRPr="00C66AC5" w:rsidRDefault="00E55816" w:rsidP="00A066F1">
            <w:pPr>
              <w:tabs>
                <w:tab w:val="left" w:pos="993"/>
              </w:tabs>
              <w:spacing w:before="0"/>
              <w:rPr>
                <w:rFonts w:ascii="Verdana" w:hAnsi="Verdana"/>
                <w:b/>
                <w:sz w:val="20"/>
              </w:rPr>
            </w:pPr>
            <w:r w:rsidRPr="00C66AC5">
              <w:rPr>
                <w:rFonts w:ascii="Verdana" w:hAnsi="Verdana"/>
                <w:b/>
                <w:sz w:val="20"/>
              </w:rPr>
              <w:t>Original: English</w:t>
            </w:r>
          </w:p>
        </w:tc>
      </w:tr>
      <w:tr w:rsidR="00A066F1" w:rsidRPr="00C66AC5" w14:paraId="022A60F4" w14:textId="77777777" w:rsidTr="00025864">
        <w:trPr>
          <w:cantSplit/>
          <w:trHeight w:val="23"/>
        </w:trPr>
        <w:tc>
          <w:tcPr>
            <w:tcW w:w="10031" w:type="dxa"/>
            <w:gridSpan w:val="4"/>
            <w:shd w:val="clear" w:color="auto" w:fill="auto"/>
          </w:tcPr>
          <w:p w14:paraId="3D29A84D" w14:textId="77777777" w:rsidR="00A066F1" w:rsidRPr="00C66AC5" w:rsidRDefault="00A066F1" w:rsidP="00A066F1">
            <w:pPr>
              <w:tabs>
                <w:tab w:val="left" w:pos="993"/>
              </w:tabs>
              <w:spacing w:before="0"/>
              <w:rPr>
                <w:rFonts w:ascii="Verdana" w:hAnsi="Verdana"/>
                <w:b/>
                <w:sz w:val="20"/>
              </w:rPr>
            </w:pPr>
          </w:p>
        </w:tc>
      </w:tr>
      <w:tr w:rsidR="00E55816" w:rsidRPr="00C66AC5" w14:paraId="6509C90A" w14:textId="77777777" w:rsidTr="00025864">
        <w:trPr>
          <w:cantSplit/>
          <w:trHeight w:val="23"/>
        </w:trPr>
        <w:tc>
          <w:tcPr>
            <w:tcW w:w="10031" w:type="dxa"/>
            <w:gridSpan w:val="4"/>
            <w:shd w:val="clear" w:color="auto" w:fill="auto"/>
          </w:tcPr>
          <w:p w14:paraId="2ED60EFD" w14:textId="77777777" w:rsidR="00E55816" w:rsidRPr="00C66AC5" w:rsidRDefault="00884D60" w:rsidP="00E55816">
            <w:pPr>
              <w:pStyle w:val="Source"/>
            </w:pPr>
            <w:r w:rsidRPr="00C66AC5">
              <w:t>European Common Proposals</w:t>
            </w:r>
          </w:p>
        </w:tc>
      </w:tr>
      <w:tr w:rsidR="00E55816" w:rsidRPr="00C66AC5" w14:paraId="1AAF7F4E" w14:textId="77777777" w:rsidTr="00025864">
        <w:trPr>
          <w:cantSplit/>
          <w:trHeight w:val="23"/>
        </w:trPr>
        <w:tc>
          <w:tcPr>
            <w:tcW w:w="10031" w:type="dxa"/>
            <w:gridSpan w:val="4"/>
            <w:shd w:val="clear" w:color="auto" w:fill="auto"/>
          </w:tcPr>
          <w:p w14:paraId="43728044" w14:textId="77777777" w:rsidR="00E55816" w:rsidRPr="00C66AC5" w:rsidRDefault="007D5320" w:rsidP="00E55816">
            <w:pPr>
              <w:pStyle w:val="Title1"/>
            </w:pPr>
            <w:r w:rsidRPr="00C66AC5">
              <w:t>Proposals for the work of the conference</w:t>
            </w:r>
          </w:p>
        </w:tc>
      </w:tr>
      <w:tr w:rsidR="00E55816" w:rsidRPr="00C66AC5" w14:paraId="5A63E769" w14:textId="77777777" w:rsidTr="00025864">
        <w:trPr>
          <w:cantSplit/>
          <w:trHeight w:val="23"/>
        </w:trPr>
        <w:tc>
          <w:tcPr>
            <w:tcW w:w="10031" w:type="dxa"/>
            <w:gridSpan w:val="4"/>
            <w:shd w:val="clear" w:color="auto" w:fill="auto"/>
          </w:tcPr>
          <w:p w14:paraId="59B39B91" w14:textId="77777777" w:rsidR="00E55816" w:rsidRPr="00C66AC5" w:rsidRDefault="00E55816" w:rsidP="00E55816">
            <w:pPr>
              <w:pStyle w:val="Title2"/>
            </w:pPr>
          </w:p>
        </w:tc>
      </w:tr>
      <w:tr w:rsidR="00A538A6" w:rsidRPr="00C66AC5" w14:paraId="470425D4" w14:textId="77777777" w:rsidTr="00025864">
        <w:trPr>
          <w:cantSplit/>
          <w:trHeight w:val="23"/>
        </w:trPr>
        <w:tc>
          <w:tcPr>
            <w:tcW w:w="10031" w:type="dxa"/>
            <w:gridSpan w:val="4"/>
            <w:shd w:val="clear" w:color="auto" w:fill="auto"/>
          </w:tcPr>
          <w:p w14:paraId="45B189E6" w14:textId="77777777" w:rsidR="00A538A6" w:rsidRPr="00C66AC5" w:rsidRDefault="004B13CB" w:rsidP="004B13CB">
            <w:pPr>
              <w:pStyle w:val="Agendaitem"/>
              <w:rPr>
                <w:lang w:val="en-GB"/>
              </w:rPr>
            </w:pPr>
            <w:r w:rsidRPr="00C66AC5">
              <w:rPr>
                <w:lang w:val="en-GB"/>
              </w:rPr>
              <w:t>Agenda item 1.6</w:t>
            </w:r>
          </w:p>
        </w:tc>
      </w:tr>
    </w:tbl>
    <w:bookmarkEnd w:id="4"/>
    <w:bookmarkEnd w:id="5"/>
    <w:p w14:paraId="052C17BA" w14:textId="37949E11" w:rsidR="00187BD9" w:rsidRPr="00C66AC5" w:rsidRDefault="0036764F" w:rsidP="005B2EE2">
      <w:r w:rsidRPr="00C66AC5">
        <w:t>1.6</w:t>
      </w:r>
      <w:r w:rsidRPr="00C66AC5">
        <w:tab/>
        <w:t>to consider, in accordance with Resolution</w:t>
      </w:r>
      <w:r w:rsidR="009A3E9E" w:rsidRPr="00C66AC5">
        <w:rPr>
          <w:b/>
          <w:bCs/>
        </w:rPr>
        <w:t> </w:t>
      </w:r>
      <w:r w:rsidRPr="00C66AC5">
        <w:rPr>
          <w:b/>
          <w:bCs/>
        </w:rPr>
        <w:t>772 (WRC</w:t>
      </w:r>
      <w:r w:rsidRPr="00C66AC5">
        <w:rPr>
          <w:b/>
          <w:bCs/>
        </w:rPr>
        <w:noBreakHyphen/>
        <w:t>19)</w:t>
      </w:r>
      <w:r w:rsidRPr="00C66AC5">
        <w:t>, regulatory provisions to facilitate radiocommunications for sub-orbital vehicles;</w:t>
      </w:r>
    </w:p>
    <w:p w14:paraId="4DEDCBE9" w14:textId="77777777" w:rsidR="00F01103" w:rsidRPr="00C66AC5" w:rsidRDefault="00F01103" w:rsidP="00F01103">
      <w:pPr>
        <w:pStyle w:val="Headingb"/>
        <w:rPr>
          <w:lang w:val="en-GB"/>
        </w:rPr>
      </w:pPr>
      <w:r w:rsidRPr="00C66AC5">
        <w:rPr>
          <w:lang w:val="en-GB"/>
        </w:rPr>
        <w:t>Introduction</w:t>
      </w:r>
    </w:p>
    <w:p w14:paraId="36B48E59" w14:textId="29ED1981" w:rsidR="00F01103" w:rsidRPr="00C66AC5" w:rsidRDefault="00F01103" w:rsidP="00F01103">
      <w:r w:rsidRPr="00C66AC5">
        <w:t>To address this agenda item, the ITU</w:t>
      </w:r>
      <w:r w:rsidR="009A3E9E" w:rsidRPr="00C66AC5">
        <w:noBreakHyphen/>
      </w:r>
      <w:r w:rsidRPr="00C66AC5">
        <w:t>R undertook studies pursuant to Resolution</w:t>
      </w:r>
      <w:r w:rsidR="009A3E9E" w:rsidRPr="00C66AC5">
        <w:t> </w:t>
      </w:r>
      <w:r w:rsidRPr="00C66AC5">
        <w:rPr>
          <w:b/>
          <w:bCs/>
        </w:rPr>
        <w:t>772 (WRC-19)</w:t>
      </w:r>
      <w:r w:rsidRPr="00C66AC5">
        <w:t>. In particular, the ITU</w:t>
      </w:r>
      <w:r w:rsidR="009A3E9E" w:rsidRPr="00C66AC5">
        <w:noBreakHyphen/>
      </w:r>
      <w:r w:rsidRPr="00C66AC5">
        <w:t>R was invited to study the spectrum needs for stations on board sub-orbital vehicles, any appropriate modification to the Radio Regulations (RR), excluding any new allocations or changes to the existing allocations in RR Article</w:t>
      </w:r>
      <w:r w:rsidR="009A3E9E" w:rsidRPr="00C66AC5">
        <w:t> </w:t>
      </w:r>
      <w:r w:rsidRPr="00C66AC5">
        <w:rPr>
          <w:b/>
          <w:bCs/>
        </w:rPr>
        <w:t>5</w:t>
      </w:r>
      <w:r w:rsidRPr="00C66AC5">
        <w:t>, and to identify whether there is a need for access to additional spectrum.</w:t>
      </w:r>
    </w:p>
    <w:p w14:paraId="0796E8A8" w14:textId="4D5DD4B5" w:rsidR="00241FA2" w:rsidRPr="00C66AC5" w:rsidRDefault="00F01103" w:rsidP="00E828AC">
      <w:pPr>
        <w:pStyle w:val="Headingb"/>
        <w:rPr>
          <w:lang w:val="en-GB"/>
        </w:rPr>
      </w:pPr>
      <w:r w:rsidRPr="00C66AC5">
        <w:rPr>
          <w:lang w:val="en-GB"/>
        </w:rPr>
        <w:t>Proposals</w:t>
      </w:r>
    </w:p>
    <w:p w14:paraId="608422D3" w14:textId="77777777" w:rsidR="00662541" w:rsidRPr="00C66AC5" w:rsidRDefault="00662541" w:rsidP="00662541"/>
    <w:p w14:paraId="43681D58" w14:textId="77777777" w:rsidR="00187BD9" w:rsidRPr="00C66AC5" w:rsidRDefault="00187BD9" w:rsidP="00187BD9">
      <w:pPr>
        <w:tabs>
          <w:tab w:val="clear" w:pos="1134"/>
          <w:tab w:val="clear" w:pos="1871"/>
          <w:tab w:val="clear" w:pos="2268"/>
        </w:tabs>
        <w:overflowPunct/>
        <w:autoSpaceDE/>
        <w:autoSpaceDN/>
        <w:adjustRightInd/>
        <w:spacing w:before="0"/>
        <w:textAlignment w:val="auto"/>
      </w:pPr>
      <w:r w:rsidRPr="00C66AC5">
        <w:br w:type="page"/>
      </w:r>
    </w:p>
    <w:p w14:paraId="70B11C4F" w14:textId="77777777" w:rsidR="008359A7" w:rsidRPr="00C66AC5" w:rsidRDefault="008359A7" w:rsidP="008359A7">
      <w:pPr>
        <w:pStyle w:val="Proposal"/>
      </w:pPr>
      <w:bookmarkStart w:id="6" w:name="_Toc451865278"/>
      <w:bookmarkStart w:id="7" w:name="_Toc42842370"/>
      <w:r w:rsidRPr="00C66AC5">
        <w:rPr>
          <w:u w:val="single"/>
        </w:rPr>
        <w:lastRenderedPageBreak/>
        <w:t>NOC</w:t>
      </w:r>
      <w:r w:rsidRPr="00C66AC5">
        <w:tab/>
        <w:t>EUR/65A6/1</w:t>
      </w:r>
      <w:r w:rsidRPr="00C66AC5">
        <w:rPr>
          <w:vanish/>
          <w:color w:val="7F7F7F" w:themeColor="text1" w:themeTint="80"/>
          <w:vertAlign w:val="superscript"/>
        </w:rPr>
        <w:t>#1585</w:t>
      </w:r>
    </w:p>
    <w:p w14:paraId="3C86B33C" w14:textId="77777777" w:rsidR="002D4495" w:rsidRPr="00C66AC5" w:rsidRDefault="0036764F" w:rsidP="005410BF">
      <w:pPr>
        <w:pStyle w:val="Volumetitle"/>
      </w:pPr>
      <w:r w:rsidRPr="00C66AC5">
        <w:t>ARTICLES</w:t>
      </w:r>
      <w:bookmarkEnd w:id="6"/>
      <w:bookmarkEnd w:id="7"/>
    </w:p>
    <w:p w14:paraId="1696E7EE" w14:textId="77777777" w:rsidR="00086C10" w:rsidRPr="00C66AC5" w:rsidRDefault="00086C10">
      <w:pPr>
        <w:pStyle w:val="Reasons"/>
      </w:pPr>
    </w:p>
    <w:p w14:paraId="0EAA0657" w14:textId="77777777" w:rsidR="005F2B7C" w:rsidRPr="00C66AC5" w:rsidRDefault="005F2B7C" w:rsidP="005F2B7C">
      <w:pPr>
        <w:pStyle w:val="Proposal"/>
      </w:pPr>
      <w:r w:rsidRPr="00C66AC5">
        <w:t>ADD</w:t>
      </w:r>
      <w:r w:rsidRPr="00C66AC5">
        <w:tab/>
        <w:t>EUR/65A6/2</w:t>
      </w:r>
      <w:r w:rsidRPr="00C66AC5">
        <w:rPr>
          <w:vanish/>
          <w:color w:val="7F7F7F" w:themeColor="text1" w:themeTint="80"/>
          <w:vertAlign w:val="superscript"/>
        </w:rPr>
        <w:t>#1588</w:t>
      </w:r>
    </w:p>
    <w:p w14:paraId="295FFC4C" w14:textId="547625B0" w:rsidR="002D4495" w:rsidRPr="00C66AC5" w:rsidRDefault="004A2459" w:rsidP="00391DF2">
      <w:pPr>
        <w:pStyle w:val="ResNo"/>
      </w:pPr>
      <w:r w:rsidRPr="00C66AC5">
        <w:t>Draft New Resolution [EUR-A16-SUB-Orbital-operations] (WRC</w:t>
      </w:r>
      <w:r w:rsidR="00B83267" w:rsidRPr="00C66AC5">
        <w:noBreakHyphen/>
      </w:r>
      <w:r w:rsidRPr="00C66AC5">
        <w:t>23)</w:t>
      </w:r>
    </w:p>
    <w:p w14:paraId="625EC5ED" w14:textId="77777777" w:rsidR="002D4495" w:rsidRPr="00C66AC5" w:rsidRDefault="0036764F" w:rsidP="00391DF2">
      <w:pPr>
        <w:pStyle w:val="Restitle"/>
      </w:pPr>
      <w:r w:rsidRPr="00C66AC5">
        <w:t xml:space="preserve">Regulatory provisions for the operation of radiocommunications </w:t>
      </w:r>
      <w:r w:rsidRPr="00C66AC5">
        <w:br/>
        <w:t>on sub-orbital vehicles</w:t>
      </w:r>
    </w:p>
    <w:p w14:paraId="68DBF886" w14:textId="77777777" w:rsidR="002D4495" w:rsidRPr="00C66AC5" w:rsidRDefault="0036764F" w:rsidP="00391DF2">
      <w:pPr>
        <w:pStyle w:val="Normalaftertitle0"/>
      </w:pPr>
      <w:r w:rsidRPr="00C66AC5">
        <w:t xml:space="preserve">The World Radiocommunication Conference (Dubai, 2023), </w:t>
      </w:r>
    </w:p>
    <w:p w14:paraId="0C3722A7" w14:textId="77777777" w:rsidR="001A1141" w:rsidRPr="00C66AC5" w:rsidRDefault="001A1141" w:rsidP="001A1141">
      <w:pPr>
        <w:pStyle w:val="Call"/>
        <w:rPr>
          <w:rFonts w:eastAsia="TimesNewRoman,Italic"/>
          <w:lang w:eastAsia="zh-CN"/>
        </w:rPr>
      </w:pPr>
      <w:r w:rsidRPr="00C66AC5">
        <w:rPr>
          <w:rFonts w:eastAsia="TimesNewRoman,Italic"/>
          <w:lang w:eastAsia="zh-CN"/>
        </w:rPr>
        <w:t>considering</w:t>
      </w:r>
    </w:p>
    <w:p w14:paraId="3A391F89" w14:textId="77777777" w:rsidR="001A1141" w:rsidRPr="00C66AC5" w:rsidRDefault="001A1141" w:rsidP="001A1141">
      <w:pPr>
        <w:rPr>
          <w:rFonts w:eastAsia="BatangChe"/>
        </w:rPr>
      </w:pPr>
      <w:r w:rsidRPr="00C66AC5">
        <w:rPr>
          <w:i/>
          <w:iCs/>
        </w:rPr>
        <w:t>a)</w:t>
      </w:r>
      <w:r w:rsidRPr="00C66AC5">
        <w:tab/>
        <w:t>that sub-orbital vehicles operate at altitudes above those used by conventional aircraft and sounding balloons</w:t>
      </w:r>
      <w:r w:rsidRPr="00C66AC5">
        <w:rPr>
          <w:rFonts w:eastAsia="BatangChe"/>
        </w:rPr>
        <w:t>;</w:t>
      </w:r>
    </w:p>
    <w:p w14:paraId="3C7B8D75" w14:textId="77777777" w:rsidR="001A1141" w:rsidRPr="00C66AC5" w:rsidRDefault="001A1141" w:rsidP="001A1141">
      <w:r w:rsidRPr="00C66AC5">
        <w:rPr>
          <w:i/>
          <w:iCs/>
        </w:rPr>
        <w:t>b)</w:t>
      </w:r>
      <w:r w:rsidRPr="00C66AC5">
        <w:tab/>
        <w:t>that sub-orbital vehicles will transit through the lower levels of the atmosphere, where some may operate in the same airspace as conventional aircraft;</w:t>
      </w:r>
    </w:p>
    <w:p w14:paraId="6AEE8E4E" w14:textId="77777777" w:rsidR="001A1141" w:rsidRPr="00C66AC5" w:rsidRDefault="001A1141" w:rsidP="001A1141">
      <w:pPr>
        <w:rPr>
          <w:rFonts w:eastAsia="BatangChe"/>
        </w:rPr>
      </w:pPr>
      <w:r w:rsidRPr="00C66AC5">
        <w:rPr>
          <w:i/>
          <w:iCs/>
        </w:rPr>
        <w:t>c)</w:t>
      </w:r>
      <w:r w:rsidRPr="00C66AC5">
        <w:tab/>
        <w:t>that sub-orbital vehicles may perform various missions such as conducting scientific research or providing transportation</w:t>
      </w:r>
      <w:r w:rsidRPr="00C66AC5">
        <w:rPr>
          <w:rFonts w:eastAsia="BatangChe"/>
        </w:rPr>
        <w:t>;</w:t>
      </w:r>
    </w:p>
    <w:p w14:paraId="5CD62724" w14:textId="77777777" w:rsidR="001A1141" w:rsidRPr="00C66AC5" w:rsidRDefault="001A1141" w:rsidP="001A1141">
      <w:pPr>
        <w:rPr>
          <w:rFonts w:eastAsia="BatangChe"/>
        </w:rPr>
      </w:pPr>
      <w:r w:rsidRPr="00C66AC5">
        <w:rPr>
          <w:i/>
        </w:rPr>
        <w:t>d</w:t>
      </w:r>
      <w:r w:rsidRPr="00C66AC5">
        <w:rPr>
          <w:i/>
          <w:iCs/>
        </w:rPr>
        <w:t>)</w:t>
      </w:r>
      <w:r w:rsidRPr="00C66AC5">
        <w:tab/>
        <w:t>that stations on board sub-orbital vehicles are expected to support all or some of the following applications; voice/data communications, navigation, surveillance, and telemetry, tracking and command (TT&amp;C)</w:t>
      </w:r>
      <w:r w:rsidRPr="00C66AC5">
        <w:rPr>
          <w:rFonts w:eastAsia="BatangChe"/>
        </w:rPr>
        <w:t xml:space="preserve">; </w:t>
      </w:r>
    </w:p>
    <w:p w14:paraId="1EA883FF" w14:textId="77777777" w:rsidR="001A1141" w:rsidRPr="00C66AC5" w:rsidRDefault="001A1141" w:rsidP="001A1141">
      <w:r w:rsidRPr="00C66AC5">
        <w:rPr>
          <w:i/>
        </w:rPr>
        <w:t>e)</w:t>
      </w:r>
      <w:r w:rsidRPr="00C66AC5">
        <w:tab/>
        <w:t>that sub-orbital vehicles when transiting through lower levels of the atmosphere must be safely integrated into airspace used by conventional aircraft;</w:t>
      </w:r>
    </w:p>
    <w:p w14:paraId="41DC810A" w14:textId="77777777" w:rsidR="001A1141" w:rsidRPr="00C66AC5" w:rsidRDefault="001A1141" w:rsidP="001A1141">
      <w:r w:rsidRPr="00C66AC5">
        <w:rPr>
          <w:i/>
          <w:iCs/>
        </w:rPr>
        <w:t>f)</w:t>
      </w:r>
      <w:r w:rsidRPr="00C66AC5">
        <w:tab/>
        <w:t>that some stations on board sub-orbital vehicles may need to communicate with air traffic management systems and/or relevant ground control facilities;</w:t>
      </w:r>
    </w:p>
    <w:p w14:paraId="434F2756" w14:textId="77777777" w:rsidR="001A1141" w:rsidRPr="00C66AC5" w:rsidRDefault="001A1141" w:rsidP="001A1141">
      <w:r w:rsidRPr="00C66AC5">
        <w:rPr>
          <w:i/>
          <w:iCs/>
        </w:rPr>
        <w:t>g)</w:t>
      </w:r>
      <w:r w:rsidRPr="00C66AC5">
        <w:tab/>
        <w:t>that some satellite launch rocket systems or components may be considered as a sub-orbital vehicle;</w:t>
      </w:r>
    </w:p>
    <w:p w14:paraId="4EA4EBC1" w14:textId="77777777" w:rsidR="001A1141" w:rsidRPr="00C66AC5" w:rsidRDefault="001A1141" w:rsidP="001A1141">
      <w:r w:rsidRPr="00C66AC5">
        <w:rPr>
          <w:i/>
          <w:iCs/>
        </w:rPr>
        <w:t>h)</w:t>
      </w:r>
      <w:r w:rsidRPr="00C66AC5">
        <w:tab/>
        <w:t>that the stations on board a satellite launch rocket or deep space launch rocket systems may be operated under space operation service without having to apply the provisions contained in this Resolution;</w:t>
      </w:r>
    </w:p>
    <w:p w14:paraId="27F518F7" w14:textId="77777777" w:rsidR="001A1141" w:rsidRPr="00C66AC5" w:rsidRDefault="001A1141" w:rsidP="001A1141">
      <w:r w:rsidRPr="00C66AC5">
        <w:rPr>
          <w:i/>
          <w:iCs/>
        </w:rPr>
        <w:t>i)</w:t>
      </w:r>
      <w:r w:rsidRPr="00C66AC5">
        <w:tab/>
        <w:t>that sub-orbital vehicles moving at very high velocity might generate a plasma sheath that may envelop all or most of the vehicle which could impact communications,</w:t>
      </w:r>
    </w:p>
    <w:p w14:paraId="00CB8B02" w14:textId="77777777" w:rsidR="001A1141" w:rsidRPr="00C66AC5" w:rsidRDefault="001A1141" w:rsidP="001A1141">
      <w:pPr>
        <w:pStyle w:val="Call"/>
        <w:rPr>
          <w:rFonts w:eastAsia="MS Mincho"/>
        </w:rPr>
      </w:pPr>
      <w:r w:rsidRPr="00C66AC5">
        <w:rPr>
          <w:rFonts w:eastAsia="MS Mincho"/>
        </w:rPr>
        <w:t>noting</w:t>
      </w:r>
    </w:p>
    <w:p w14:paraId="1BA085F3" w14:textId="5A173C89" w:rsidR="001A1141" w:rsidRPr="00C66AC5" w:rsidDel="004B6FB1" w:rsidRDefault="001A1141" w:rsidP="001A1141">
      <w:pPr>
        <w:rPr>
          <w:i/>
        </w:rPr>
      </w:pPr>
      <w:r w:rsidRPr="00C66AC5">
        <w:rPr>
          <w:i/>
        </w:rPr>
        <w:t>a)</w:t>
      </w:r>
      <w:r w:rsidRPr="00C66AC5">
        <w:rPr>
          <w:i/>
        </w:rPr>
        <w:tab/>
      </w:r>
      <w:r w:rsidRPr="00C66AC5">
        <w:rPr>
          <w:iCs/>
        </w:rPr>
        <w:t>that the ITU</w:t>
      </w:r>
      <w:r w:rsidR="001E292C" w:rsidRPr="00C66AC5">
        <w:rPr>
          <w:iCs/>
        </w:rPr>
        <w:noBreakHyphen/>
      </w:r>
      <w:r w:rsidRPr="00C66AC5">
        <w:rPr>
          <w:iCs/>
        </w:rPr>
        <w:t>R has produced Report ITU</w:t>
      </w:r>
      <w:r w:rsidRPr="00C66AC5">
        <w:rPr>
          <w:iCs/>
        </w:rPr>
        <w:noBreakHyphen/>
        <w:t>R M.2477 on radiocommunications of sub-orbital vehicles;</w:t>
      </w:r>
    </w:p>
    <w:p w14:paraId="783F73EC" w14:textId="77777777" w:rsidR="001A1141" w:rsidRPr="00C66AC5" w:rsidRDefault="001A1141" w:rsidP="001A1141">
      <w:pPr>
        <w:rPr>
          <w:rFonts w:eastAsia="BatangChe"/>
        </w:rPr>
      </w:pPr>
      <w:r w:rsidRPr="00C66AC5">
        <w:rPr>
          <w:i/>
        </w:rPr>
        <w:t>b</w:t>
      </w:r>
      <w:r w:rsidRPr="00C66AC5">
        <w:rPr>
          <w:i/>
          <w:iCs/>
        </w:rPr>
        <w:t>)</w:t>
      </w:r>
      <w:r w:rsidRPr="00C66AC5">
        <w:tab/>
        <w:t>that the provisions of No. </w:t>
      </w:r>
      <w:r w:rsidRPr="00C66AC5">
        <w:rPr>
          <w:rStyle w:val="Artref"/>
          <w:b/>
          <w:bCs/>
        </w:rPr>
        <w:t>4.10</w:t>
      </w:r>
      <w:r w:rsidRPr="00C66AC5">
        <w:rPr>
          <w:b/>
          <w:bCs/>
        </w:rPr>
        <w:t xml:space="preserve"> </w:t>
      </w:r>
      <w:r w:rsidRPr="00C66AC5">
        <w:t>may apply to certain operations of sub-orbital vehicles;</w:t>
      </w:r>
    </w:p>
    <w:p w14:paraId="354F165D" w14:textId="77777777" w:rsidR="001A1141" w:rsidRPr="00C66AC5" w:rsidRDefault="001A1141" w:rsidP="001A1141">
      <w:pPr>
        <w:rPr>
          <w:rFonts w:eastAsia="BatangChe"/>
        </w:rPr>
      </w:pPr>
      <w:r w:rsidRPr="00C66AC5">
        <w:rPr>
          <w:i/>
          <w:iCs/>
        </w:rPr>
        <w:t>c)</w:t>
      </w:r>
      <w:r w:rsidRPr="00C66AC5">
        <w:tab/>
        <w:t>that the development of conditions of coexistence between International Civil Aviation Organization (ICAO) standardized aeronautical systems is the responsibility of ICAO;</w:t>
      </w:r>
    </w:p>
    <w:p w14:paraId="3619C620" w14:textId="77777777" w:rsidR="001A1141" w:rsidRPr="00C66AC5" w:rsidRDefault="001A1141" w:rsidP="001A1141">
      <w:pPr>
        <w:rPr>
          <w:i/>
          <w:szCs w:val="24"/>
        </w:rPr>
      </w:pPr>
      <w:r w:rsidRPr="00C66AC5">
        <w:rPr>
          <w:i/>
          <w:iCs/>
        </w:rPr>
        <w:t>d)</w:t>
      </w:r>
      <w:r w:rsidRPr="00C66AC5">
        <w:tab/>
        <w:t xml:space="preserve">that ICAO develops, when required, standards and recommended practices (SARPs) to address the coexistence between ICAO aeronautical applications; </w:t>
      </w:r>
    </w:p>
    <w:p w14:paraId="15D29963" w14:textId="738A9D5E" w:rsidR="001A1141" w:rsidRPr="00C66AC5" w:rsidRDefault="001A1141" w:rsidP="001A1141">
      <w:r w:rsidRPr="00C66AC5">
        <w:rPr>
          <w:i/>
          <w:iCs/>
        </w:rPr>
        <w:lastRenderedPageBreak/>
        <w:t>e)</w:t>
      </w:r>
      <w:r w:rsidRPr="00C66AC5">
        <w:tab/>
        <w:t>that the Convention on International Liability for Damage Caused by Space Objects (1972) may apply to sub-orbital vehicles</w:t>
      </w:r>
      <w:r w:rsidR="00C66AC5" w:rsidRPr="00C66AC5">
        <w:t>,</w:t>
      </w:r>
    </w:p>
    <w:p w14:paraId="4B5323AF" w14:textId="77777777" w:rsidR="001A1141" w:rsidRPr="00C66AC5" w:rsidRDefault="001A1141" w:rsidP="001A1141">
      <w:pPr>
        <w:pStyle w:val="Call"/>
        <w:rPr>
          <w:rFonts w:eastAsia="MS Mincho"/>
        </w:rPr>
      </w:pPr>
      <w:r w:rsidRPr="00C66AC5">
        <w:rPr>
          <w:rFonts w:eastAsia="MS Mincho"/>
        </w:rPr>
        <w:t>recognizing</w:t>
      </w:r>
    </w:p>
    <w:p w14:paraId="4F8CDDAB" w14:textId="77777777" w:rsidR="001A1141" w:rsidRPr="00C66AC5" w:rsidRDefault="001A1141" w:rsidP="001A1141">
      <w:pPr>
        <w:rPr>
          <w:rFonts w:eastAsia="BatangChe"/>
        </w:rPr>
      </w:pPr>
      <w:r w:rsidRPr="00C66AC5">
        <w:rPr>
          <w:i/>
        </w:rPr>
        <w:t>a</w:t>
      </w:r>
      <w:r w:rsidRPr="00C66AC5">
        <w:rPr>
          <w:i/>
          <w:iCs/>
        </w:rPr>
        <w:t>)</w:t>
      </w:r>
      <w:r w:rsidRPr="00C66AC5">
        <w:tab/>
        <w:t>that there is no internationally agreed legal demarcation between the Earth’s atmosphere and the space domain, nor between the sovereign airspace and outer space</w:t>
      </w:r>
      <w:r w:rsidRPr="00C66AC5">
        <w:rPr>
          <w:rFonts w:eastAsia="BatangChe"/>
        </w:rPr>
        <w:t>;</w:t>
      </w:r>
    </w:p>
    <w:p w14:paraId="6A20D4F1" w14:textId="77777777" w:rsidR="001A1141" w:rsidRPr="00C66AC5" w:rsidRDefault="001A1141" w:rsidP="001A1141">
      <w:pPr>
        <w:rPr>
          <w:szCs w:val="24"/>
        </w:rPr>
      </w:pPr>
      <w:r w:rsidRPr="00C66AC5">
        <w:rPr>
          <w:i/>
        </w:rPr>
        <w:t>b)</w:t>
      </w:r>
      <w:r w:rsidRPr="00C66AC5">
        <w:tab/>
        <w:t>that Annex 10 to the Convention on International Civil Aviation contains SARPs for some aeronautical radionavigation and radiocommunication systems used by international civil aviation</w:t>
      </w:r>
      <w:r w:rsidRPr="00C66AC5">
        <w:rPr>
          <w:szCs w:val="24"/>
        </w:rPr>
        <w:t>;</w:t>
      </w:r>
    </w:p>
    <w:p w14:paraId="08960A01" w14:textId="27BD4AFF" w:rsidR="001A1141" w:rsidRPr="00C66AC5" w:rsidRDefault="001A1141" w:rsidP="001A1141">
      <w:r w:rsidRPr="00C66AC5">
        <w:rPr>
          <w:i/>
          <w:iCs/>
        </w:rPr>
        <w:t>c)</w:t>
      </w:r>
      <w:r w:rsidRPr="00C66AC5">
        <w:tab/>
        <w:t>that, due to the increase in Doppler shift, emissions from stations on board sub-orbital vehicle</w:t>
      </w:r>
      <w:r w:rsidR="00C66AC5" w:rsidRPr="00C66AC5">
        <w:t>s</w:t>
      </w:r>
      <w:r w:rsidRPr="00C66AC5">
        <w:t xml:space="preserve"> may impact services operating in the same and adjacent or nearby frequency bands;</w:t>
      </w:r>
    </w:p>
    <w:p w14:paraId="7F0A83C7" w14:textId="77777777" w:rsidR="001A1141" w:rsidRPr="00C66AC5" w:rsidRDefault="001A1141" w:rsidP="001A1141">
      <w:r w:rsidRPr="00C66AC5">
        <w:rPr>
          <w:i/>
          <w:iCs/>
        </w:rPr>
        <w:t>d)</w:t>
      </w:r>
      <w:r w:rsidRPr="00C66AC5">
        <w:tab/>
      </w:r>
      <w:r w:rsidRPr="00C66AC5">
        <w:rPr>
          <w:bCs/>
        </w:rPr>
        <w:t xml:space="preserve">that, due to the higher altitude of sub-orbital vehicles </w:t>
      </w:r>
      <w:r w:rsidRPr="00C66AC5">
        <w:t>compared to conventional aircraft, emissions from stations on board sub-orbital vehicles may have a radiocommunication impact on larger areas involving additional territories and/or on space stations,</w:t>
      </w:r>
    </w:p>
    <w:p w14:paraId="516E6B11" w14:textId="77777777" w:rsidR="001A1141" w:rsidRPr="00C66AC5" w:rsidRDefault="001A1141" w:rsidP="001A1141">
      <w:pPr>
        <w:pStyle w:val="Call"/>
        <w:rPr>
          <w:rFonts w:eastAsia="MS Mincho"/>
        </w:rPr>
      </w:pPr>
      <w:r w:rsidRPr="00C66AC5">
        <w:rPr>
          <w:rFonts w:eastAsia="MS Mincho"/>
        </w:rPr>
        <w:t>resolves</w:t>
      </w:r>
    </w:p>
    <w:p w14:paraId="140E5C19" w14:textId="77777777" w:rsidR="001A1141" w:rsidRPr="00C66AC5" w:rsidRDefault="001A1141" w:rsidP="001A1141">
      <w:pPr>
        <w:rPr>
          <w:rFonts w:eastAsia="SimSun"/>
          <w:lang w:eastAsia="zh-CN"/>
        </w:rPr>
      </w:pPr>
      <w:r w:rsidRPr="00C66AC5">
        <w:rPr>
          <w:rFonts w:eastAsia="SimSun"/>
          <w:lang w:eastAsia="zh-CN"/>
        </w:rPr>
        <w:t>1</w:t>
      </w:r>
      <w:r w:rsidRPr="00C66AC5">
        <w:rPr>
          <w:rFonts w:eastAsia="SimSun"/>
          <w:lang w:eastAsia="zh-CN"/>
        </w:rPr>
        <w:tab/>
        <w:t>that for the purpose of this Resolution, a sub-orbital vehicle shall not have the capability to become a satellite (see No. </w:t>
      </w:r>
      <w:r w:rsidRPr="00C66AC5">
        <w:rPr>
          <w:rStyle w:val="Artref"/>
          <w:rFonts w:eastAsia="SimSun"/>
          <w:b/>
          <w:bCs/>
        </w:rPr>
        <w:t>1.179</w:t>
      </w:r>
      <w:r w:rsidRPr="00C66AC5">
        <w:rPr>
          <w:rFonts w:eastAsia="SimSun"/>
          <w:lang w:eastAsia="zh-CN"/>
        </w:rPr>
        <w:t>);</w:t>
      </w:r>
    </w:p>
    <w:p w14:paraId="05EFD44C" w14:textId="77777777" w:rsidR="001A1141" w:rsidRPr="00C66AC5" w:rsidRDefault="001A1141" w:rsidP="001A1141">
      <w:pPr>
        <w:rPr>
          <w:rFonts w:eastAsia="SimSun"/>
          <w:lang w:eastAsia="zh-CN"/>
        </w:rPr>
      </w:pPr>
      <w:r w:rsidRPr="00C66AC5">
        <w:rPr>
          <w:rFonts w:eastAsia="SimSun"/>
          <w:lang w:eastAsia="zh-CN"/>
        </w:rPr>
        <w:t>2</w:t>
      </w:r>
      <w:r w:rsidRPr="00C66AC5">
        <w:rPr>
          <w:rFonts w:eastAsia="SimSun"/>
          <w:lang w:eastAsia="zh-CN"/>
        </w:rPr>
        <w:tab/>
        <w:t xml:space="preserve">that a terrestrial station or an earth station used on board a sub-orbital vehicle when this station is operated at altitudes </w:t>
      </w:r>
      <w:r w:rsidRPr="00C66AC5">
        <w:t>above those used</w:t>
      </w:r>
      <w:r w:rsidRPr="00C66AC5">
        <w:rPr>
          <w:rFonts w:eastAsia="SimSun"/>
          <w:lang w:eastAsia="zh-CN"/>
        </w:rPr>
        <w:t xml:space="preserve"> by conventional aircraft and by sounding balloons, is considered to operate in the same service under which this station is classified when it is used on conventional aircraft only if one of the following conditions is met:</w:t>
      </w:r>
    </w:p>
    <w:p w14:paraId="5CB01756" w14:textId="77777777" w:rsidR="001A1141" w:rsidRPr="00C66AC5" w:rsidRDefault="001A1141" w:rsidP="001A1141">
      <w:pPr>
        <w:rPr>
          <w:rFonts w:eastAsia="SimSun"/>
          <w:lang w:eastAsia="zh-CN"/>
        </w:rPr>
      </w:pPr>
      <w:r w:rsidRPr="00C66AC5">
        <w:rPr>
          <w:rFonts w:eastAsia="SimSun"/>
          <w:lang w:eastAsia="zh-CN"/>
        </w:rPr>
        <w:t>2.1</w:t>
      </w:r>
      <w:r w:rsidRPr="00C66AC5">
        <w:rPr>
          <w:rFonts w:eastAsia="SimSun"/>
          <w:lang w:eastAsia="zh-CN"/>
        </w:rPr>
        <w:tab/>
        <w:t xml:space="preserve">the terrestrial station is required on board a sub-orbital vehicle </w:t>
      </w:r>
      <w:r w:rsidRPr="00C66AC5">
        <w:t xml:space="preserve">to support its safe </w:t>
      </w:r>
      <w:r w:rsidRPr="00C66AC5">
        <w:rPr>
          <w:rFonts w:eastAsia="SimSun"/>
          <w:lang w:eastAsia="zh-CN"/>
        </w:rPr>
        <w:t xml:space="preserve">accommodation or </w:t>
      </w:r>
      <w:r w:rsidRPr="00C66AC5">
        <w:t xml:space="preserve">integration into airspace </w:t>
      </w:r>
      <w:r w:rsidRPr="00C66AC5">
        <w:rPr>
          <w:rFonts w:eastAsia="SimSun"/>
          <w:lang w:eastAsia="zh-CN"/>
        </w:rPr>
        <w:t>where air traffic services are provided</w:t>
      </w:r>
      <w:r w:rsidRPr="00C66AC5">
        <w:t xml:space="preserve">, as decided </w:t>
      </w:r>
      <w:r w:rsidRPr="00C66AC5">
        <w:rPr>
          <w:rFonts w:eastAsia="SimSun"/>
          <w:lang w:eastAsia="zh-CN"/>
        </w:rPr>
        <w:t>by</w:t>
      </w:r>
      <w:r w:rsidRPr="00C66AC5">
        <w:t xml:space="preserve"> the competent aviation authority</w:t>
      </w:r>
      <w:r w:rsidRPr="00C66AC5">
        <w:rPr>
          <w:rFonts w:eastAsia="SimSun"/>
          <w:lang w:eastAsia="zh-CN"/>
        </w:rPr>
        <w:t xml:space="preserve"> of the Member State(s)</w:t>
      </w:r>
      <w:r w:rsidRPr="00C66AC5">
        <w:rPr>
          <w:rStyle w:val="FootnoteReference"/>
          <w:rFonts w:eastAsia="SimSun"/>
          <w:lang w:eastAsia="zh-CN"/>
        </w:rPr>
        <w:footnoteReference w:customMarkFollows="1" w:id="1"/>
        <w:t>1</w:t>
      </w:r>
      <w:r w:rsidRPr="00C66AC5">
        <w:t>;</w:t>
      </w:r>
    </w:p>
    <w:p w14:paraId="6A7C3321" w14:textId="77777777" w:rsidR="001A1141" w:rsidRPr="00C66AC5" w:rsidRDefault="001A1141" w:rsidP="003B4DFA">
      <w:pPr>
        <w:rPr>
          <w:rFonts w:eastAsia="SimSun"/>
          <w:lang w:eastAsia="zh-CN"/>
        </w:rPr>
      </w:pPr>
      <w:r w:rsidRPr="00C66AC5">
        <w:rPr>
          <w:rFonts w:eastAsia="SimSun"/>
          <w:lang w:eastAsia="zh-CN"/>
        </w:rPr>
        <w:t>2.2</w:t>
      </w:r>
      <w:r w:rsidRPr="00C66AC5">
        <w:rPr>
          <w:rFonts w:eastAsia="SimSun"/>
          <w:lang w:eastAsia="zh-CN"/>
        </w:rPr>
        <w:tab/>
        <w:t xml:space="preserve">the mobile earth station used on a sub-orbital vehicle is associated with either a non-GSO system or a GSO network operating in the mobile satellite service having an appropriate </w:t>
      </w:r>
      <w:r w:rsidRPr="00C66AC5">
        <w:t xml:space="preserve">coordination agreement with concerned administrations and is operated in a manner to remain within the envelope of that coordination agreement when </w:t>
      </w:r>
      <w:proofErr w:type="gramStart"/>
      <w:r w:rsidRPr="00C66AC5">
        <w:rPr>
          <w:lang w:eastAsia="nl-NL"/>
        </w:rPr>
        <w:t>taking into account</w:t>
      </w:r>
      <w:proofErr w:type="gramEnd"/>
      <w:r w:rsidRPr="00C66AC5">
        <w:rPr>
          <w:lang w:eastAsia="nl-NL"/>
        </w:rPr>
        <w:t xml:space="preserve"> </w:t>
      </w:r>
      <w:r w:rsidRPr="00C66AC5">
        <w:rPr>
          <w:i/>
          <w:lang w:eastAsia="nl-NL"/>
        </w:rPr>
        <w:t>recognizing c)</w:t>
      </w:r>
      <w:r w:rsidRPr="00C66AC5">
        <w:rPr>
          <w:lang w:eastAsia="nl-NL"/>
        </w:rPr>
        <w:t xml:space="preserve"> and </w:t>
      </w:r>
      <w:r w:rsidRPr="00C66AC5">
        <w:rPr>
          <w:i/>
          <w:iCs/>
          <w:lang w:eastAsia="nl-NL"/>
        </w:rPr>
        <w:t>d</w:t>
      </w:r>
      <w:r w:rsidRPr="00C66AC5">
        <w:rPr>
          <w:i/>
          <w:lang w:eastAsia="nl-NL"/>
        </w:rPr>
        <w:t>);</w:t>
      </w:r>
    </w:p>
    <w:p w14:paraId="39C2609D" w14:textId="77777777" w:rsidR="001A1141" w:rsidRPr="00C66AC5" w:rsidRDefault="001A1141" w:rsidP="003B4DFA">
      <w:pPr>
        <w:rPr>
          <w:rFonts w:eastAsia="SimSun"/>
          <w:lang w:eastAsia="zh-CN"/>
        </w:rPr>
      </w:pPr>
      <w:r w:rsidRPr="00C66AC5">
        <w:rPr>
          <w:rFonts w:eastAsia="SimSun"/>
          <w:lang w:eastAsia="zh-CN"/>
        </w:rPr>
        <w:t>2.3</w:t>
      </w:r>
      <w:r w:rsidRPr="00C66AC5">
        <w:rPr>
          <w:rFonts w:eastAsia="SimSun"/>
          <w:lang w:eastAsia="zh-CN"/>
        </w:rPr>
        <w:tab/>
        <w:t>the earth station is a receiving earth station operating under the radionavigation-satellite or aeronautical radionavigation-satellite services;</w:t>
      </w:r>
    </w:p>
    <w:p w14:paraId="710148E4" w14:textId="2417B72B" w:rsidR="001A1141" w:rsidRPr="00C66AC5" w:rsidRDefault="001A1141" w:rsidP="0036764F">
      <w:pPr>
        <w:rPr>
          <w:rFonts w:eastAsia="SimSun"/>
          <w:lang w:eastAsia="zh-CN"/>
        </w:rPr>
      </w:pPr>
      <w:r w:rsidRPr="00C66AC5">
        <w:rPr>
          <w:rFonts w:eastAsia="SimSun"/>
          <w:lang w:eastAsia="zh-CN"/>
        </w:rPr>
        <w:t>3</w:t>
      </w:r>
      <w:r w:rsidRPr="00C66AC5">
        <w:rPr>
          <w:rFonts w:eastAsia="SimSun"/>
          <w:lang w:eastAsia="zh-CN"/>
        </w:rPr>
        <w:tab/>
        <w:t xml:space="preserve">that the stations identified in </w:t>
      </w:r>
      <w:r w:rsidRPr="00C66AC5">
        <w:rPr>
          <w:rFonts w:eastAsia="SimSun"/>
          <w:i/>
          <w:lang w:eastAsia="zh-CN"/>
        </w:rPr>
        <w:t>resolves</w:t>
      </w:r>
      <w:r w:rsidR="001E292C" w:rsidRPr="00C66AC5">
        <w:rPr>
          <w:rFonts w:eastAsia="SimSun"/>
          <w:i/>
          <w:lang w:eastAsia="zh-CN"/>
        </w:rPr>
        <w:t> </w:t>
      </w:r>
      <w:r w:rsidRPr="00C66AC5">
        <w:rPr>
          <w:rFonts w:eastAsia="SimSun"/>
          <w:iCs/>
          <w:lang w:eastAsia="zh-CN"/>
        </w:rPr>
        <w:t>2</w:t>
      </w:r>
      <w:r w:rsidRPr="00C66AC5">
        <w:rPr>
          <w:rFonts w:eastAsia="SimSun"/>
          <w:lang w:eastAsia="zh-CN"/>
        </w:rPr>
        <w:t xml:space="preserve"> shall:</w:t>
      </w:r>
    </w:p>
    <w:p w14:paraId="59563535" w14:textId="37814432" w:rsidR="001A1141" w:rsidRPr="00C66AC5" w:rsidRDefault="001A1141" w:rsidP="0036764F">
      <w:pPr>
        <w:rPr>
          <w:rFonts w:eastAsia="SimSun"/>
          <w:lang w:eastAsia="zh-CN"/>
        </w:rPr>
      </w:pPr>
      <w:r w:rsidRPr="00C66AC5">
        <w:rPr>
          <w:rFonts w:eastAsia="SimSun"/>
          <w:lang w:eastAsia="zh-CN"/>
        </w:rPr>
        <w:t>3.1</w:t>
      </w:r>
      <w:r w:rsidRPr="00C66AC5">
        <w:rPr>
          <w:rFonts w:eastAsia="SimSun"/>
          <w:lang w:eastAsia="zh-CN"/>
        </w:rPr>
        <w:tab/>
        <w:t>operate in conformance with ICAO SARPs or other internationally recogn</w:t>
      </w:r>
      <w:r w:rsidR="00C66AC5" w:rsidRPr="00C66AC5">
        <w:rPr>
          <w:rFonts w:eastAsia="SimSun"/>
          <w:lang w:eastAsia="zh-CN"/>
        </w:rPr>
        <w:t>ized</w:t>
      </w:r>
      <w:r w:rsidRPr="00C66AC5">
        <w:rPr>
          <w:rFonts w:eastAsia="SimSun"/>
          <w:lang w:eastAsia="zh-CN"/>
        </w:rPr>
        <w:t xml:space="preserve"> aeronautical standards where they exist and are appropriate;</w:t>
      </w:r>
    </w:p>
    <w:p w14:paraId="5B441F20" w14:textId="77777777" w:rsidR="001A1141" w:rsidRPr="00C66AC5" w:rsidRDefault="001A1141" w:rsidP="001A1141">
      <w:pPr>
        <w:rPr>
          <w:rFonts w:eastAsia="SimSun"/>
          <w:lang w:eastAsia="zh-CN"/>
        </w:rPr>
      </w:pPr>
      <w:r w:rsidRPr="00C66AC5">
        <w:rPr>
          <w:rFonts w:eastAsia="SimSun"/>
          <w:lang w:eastAsia="zh-CN"/>
        </w:rPr>
        <w:t>3.2</w:t>
      </w:r>
      <w:r w:rsidRPr="00C66AC5">
        <w:rPr>
          <w:rFonts w:eastAsia="SimSun"/>
          <w:lang w:eastAsia="zh-CN"/>
        </w:rPr>
        <w:tab/>
        <w:t>not affect the existing and future applications of the same service and/or on other radiocommunication services in the same and adjacent frequency bands more adversely than they would if the same station were fitted and operated on board a conventional aircraft;</w:t>
      </w:r>
    </w:p>
    <w:p w14:paraId="5F6AE58A" w14:textId="0B9896E5" w:rsidR="001A1141" w:rsidRPr="00C66AC5" w:rsidRDefault="001A1141" w:rsidP="001A1141">
      <w:pPr>
        <w:rPr>
          <w:rFonts w:eastAsia="SimSun"/>
          <w:lang w:eastAsia="zh-CN"/>
        </w:rPr>
      </w:pPr>
      <w:r w:rsidRPr="00C66AC5">
        <w:t>4</w:t>
      </w:r>
      <w:r w:rsidRPr="00C66AC5">
        <w:tab/>
        <w:t xml:space="preserve">that terrestrial and earth stations on board a sub-orbital vehicle other that those identified in </w:t>
      </w:r>
      <w:r w:rsidRPr="00C66AC5">
        <w:rPr>
          <w:i/>
        </w:rPr>
        <w:t>resolves</w:t>
      </w:r>
      <w:r w:rsidR="001E292C" w:rsidRPr="00C66AC5">
        <w:rPr>
          <w:i/>
        </w:rPr>
        <w:t> </w:t>
      </w:r>
      <w:r w:rsidRPr="00C66AC5">
        <w:rPr>
          <w:iCs/>
        </w:rPr>
        <w:t>2.1,</w:t>
      </w:r>
      <w:r w:rsidR="001E292C" w:rsidRPr="00C66AC5">
        <w:t> </w:t>
      </w:r>
      <w:r w:rsidRPr="00C66AC5">
        <w:rPr>
          <w:iCs/>
        </w:rPr>
        <w:t>2.2 and</w:t>
      </w:r>
      <w:r w:rsidR="001E292C" w:rsidRPr="00C66AC5">
        <w:rPr>
          <w:iCs/>
        </w:rPr>
        <w:t> </w:t>
      </w:r>
      <w:r w:rsidRPr="00C66AC5">
        <w:rPr>
          <w:iCs/>
        </w:rPr>
        <w:t>2.3</w:t>
      </w:r>
      <w:r w:rsidRPr="00C66AC5">
        <w:t xml:space="preserve"> </w:t>
      </w:r>
      <w:r w:rsidRPr="00C66AC5">
        <w:rPr>
          <w:rFonts w:eastAsia="SimSun"/>
          <w:lang w:eastAsia="zh-CN"/>
        </w:rPr>
        <w:t xml:space="preserve">when operated at altitudes </w:t>
      </w:r>
      <w:r w:rsidRPr="00C66AC5">
        <w:t>above those used</w:t>
      </w:r>
      <w:r w:rsidRPr="00C66AC5">
        <w:rPr>
          <w:rFonts w:eastAsia="SimSun"/>
          <w:lang w:eastAsia="zh-CN"/>
        </w:rPr>
        <w:t xml:space="preserve"> by conventional aircraft and by sounding balloons, </w:t>
      </w:r>
      <w:r w:rsidRPr="00C66AC5">
        <w:t xml:space="preserve">shall not claim protection from nor cause harmful interference to any station operated in </w:t>
      </w:r>
      <w:r w:rsidRPr="00C66AC5">
        <w:rPr>
          <w:rFonts w:eastAsia="SimSun"/>
          <w:lang w:eastAsia="zh-CN"/>
        </w:rPr>
        <w:t>the same or adjacent frequency bands,</w:t>
      </w:r>
    </w:p>
    <w:p w14:paraId="7FA2C1DB" w14:textId="77777777" w:rsidR="002D4495" w:rsidRPr="00C66AC5" w:rsidRDefault="0036764F" w:rsidP="00391DF2">
      <w:pPr>
        <w:pStyle w:val="Call"/>
      </w:pPr>
      <w:r w:rsidRPr="00C66AC5">
        <w:lastRenderedPageBreak/>
        <w:t xml:space="preserve">instructs the Secretary-General </w:t>
      </w:r>
    </w:p>
    <w:p w14:paraId="21F3F74E" w14:textId="77777777" w:rsidR="002D4495" w:rsidRPr="00C66AC5" w:rsidRDefault="0036764F" w:rsidP="00391DF2">
      <w:r w:rsidRPr="00C66AC5">
        <w:t>to bring this Resolution to the attention of ICAO,</w:t>
      </w:r>
    </w:p>
    <w:p w14:paraId="645C2F0E" w14:textId="77777777" w:rsidR="005505D9" w:rsidRPr="00C66AC5" w:rsidRDefault="005505D9" w:rsidP="0036764F">
      <w:pPr>
        <w:pStyle w:val="Call"/>
      </w:pPr>
      <w:r w:rsidRPr="00C66AC5">
        <w:t>invites the International Civil Aviation Organization</w:t>
      </w:r>
    </w:p>
    <w:p w14:paraId="3F860E51" w14:textId="77777777" w:rsidR="005505D9" w:rsidRPr="00C66AC5" w:rsidRDefault="005505D9" w:rsidP="005505D9">
      <w:r w:rsidRPr="00C66AC5">
        <w:t xml:space="preserve">to </w:t>
      </w:r>
      <w:proofErr w:type="gramStart"/>
      <w:r w:rsidRPr="00C66AC5">
        <w:t>take into account</w:t>
      </w:r>
      <w:proofErr w:type="gramEnd"/>
      <w:r w:rsidRPr="00C66AC5">
        <w:t xml:space="preserve"> this Resolution in the course of developing standards and recommended practices (SARPs) for ICAO systems that may be used by sub-orbital vehicles,</w:t>
      </w:r>
    </w:p>
    <w:p w14:paraId="14E0184A" w14:textId="77777777" w:rsidR="005505D9" w:rsidRPr="00C66AC5" w:rsidRDefault="005505D9" w:rsidP="005505D9">
      <w:pPr>
        <w:pStyle w:val="Call"/>
      </w:pPr>
      <w:r w:rsidRPr="00C66AC5">
        <w:rPr>
          <w:rFonts w:eastAsia="MS Mincho"/>
        </w:rPr>
        <w:t>instructs</w:t>
      </w:r>
      <w:r w:rsidRPr="00C66AC5">
        <w:t xml:space="preserve"> the Director of the Radiocommunication Bureau </w:t>
      </w:r>
    </w:p>
    <w:p w14:paraId="741080B5" w14:textId="77777777" w:rsidR="005505D9" w:rsidRPr="00C66AC5" w:rsidRDefault="005505D9" w:rsidP="005505D9">
      <w:r w:rsidRPr="00C66AC5">
        <w:rPr>
          <w:iCs/>
        </w:rPr>
        <w:t>to report to future world radiocommunication conferences any difficulties or inconsistencies encountered in the implementation of this Resolution.</w:t>
      </w:r>
    </w:p>
    <w:p w14:paraId="35969DE1" w14:textId="4EAE4480" w:rsidR="00086C10" w:rsidRPr="00C66AC5" w:rsidRDefault="00086C10">
      <w:pPr>
        <w:pStyle w:val="Reasons"/>
      </w:pPr>
    </w:p>
    <w:p w14:paraId="0BECED7C" w14:textId="77777777" w:rsidR="00941C9E" w:rsidRPr="00C66AC5" w:rsidRDefault="00941C9E" w:rsidP="00941C9E">
      <w:pPr>
        <w:pStyle w:val="Proposal"/>
      </w:pPr>
      <w:bookmarkStart w:id="8" w:name="_Toc39649625"/>
      <w:r w:rsidRPr="00C66AC5">
        <w:t>SUP</w:t>
      </w:r>
      <w:r w:rsidRPr="00C66AC5">
        <w:tab/>
        <w:t>EUR/65A6/3</w:t>
      </w:r>
      <w:r w:rsidRPr="00C66AC5">
        <w:rPr>
          <w:vanish/>
          <w:color w:val="7F7F7F" w:themeColor="text1" w:themeTint="80"/>
          <w:vertAlign w:val="superscript"/>
        </w:rPr>
        <w:t>#1589</w:t>
      </w:r>
    </w:p>
    <w:p w14:paraId="4B6AC0B3" w14:textId="77777777" w:rsidR="002D4495" w:rsidRPr="00C66AC5" w:rsidRDefault="0036764F" w:rsidP="009771DC">
      <w:pPr>
        <w:pStyle w:val="ResNo"/>
      </w:pPr>
      <w:r w:rsidRPr="00C66AC5">
        <w:t xml:space="preserve">RESOLUTION </w:t>
      </w:r>
      <w:r w:rsidRPr="00C66AC5">
        <w:rPr>
          <w:rStyle w:val="href"/>
        </w:rPr>
        <w:t>772</w:t>
      </w:r>
      <w:r w:rsidRPr="00C66AC5">
        <w:t xml:space="preserve"> (WRC</w:t>
      </w:r>
      <w:r w:rsidRPr="00C66AC5">
        <w:noBreakHyphen/>
        <w:t>19)</w:t>
      </w:r>
      <w:bookmarkEnd w:id="8"/>
    </w:p>
    <w:p w14:paraId="596F5FFA" w14:textId="77777777" w:rsidR="002D4495" w:rsidRPr="00C66AC5" w:rsidRDefault="0036764F" w:rsidP="009771DC">
      <w:pPr>
        <w:pStyle w:val="Restitle"/>
      </w:pPr>
      <w:bookmarkStart w:id="9" w:name="_Toc35789430"/>
      <w:bookmarkStart w:id="10" w:name="_Toc35857127"/>
      <w:bookmarkStart w:id="11" w:name="_Toc35877762"/>
      <w:bookmarkStart w:id="12" w:name="_Toc35963705"/>
      <w:bookmarkStart w:id="13" w:name="_Toc39649626"/>
      <w:r w:rsidRPr="00C66AC5">
        <w:t xml:space="preserve">Consideration of regulatory provisions to facilitate </w:t>
      </w:r>
      <w:r w:rsidRPr="00C66AC5">
        <w:br/>
        <w:t>the introduction of sub-orbital vehicles</w:t>
      </w:r>
      <w:bookmarkEnd w:id="9"/>
      <w:bookmarkEnd w:id="10"/>
      <w:bookmarkEnd w:id="11"/>
      <w:bookmarkEnd w:id="12"/>
      <w:bookmarkEnd w:id="13"/>
    </w:p>
    <w:p w14:paraId="4A03C7FC" w14:textId="1FE4178C" w:rsidR="00086C10" w:rsidRPr="00C66AC5" w:rsidRDefault="00086C10">
      <w:pPr>
        <w:pStyle w:val="Reasons"/>
      </w:pPr>
    </w:p>
    <w:p w14:paraId="128C4D5F" w14:textId="3B615711" w:rsidR="008B385F" w:rsidRDefault="008B385F" w:rsidP="008B385F">
      <w:pPr>
        <w:jc w:val="center"/>
      </w:pPr>
      <w:r w:rsidRPr="00C66AC5">
        <w:t>_______________</w:t>
      </w:r>
    </w:p>
    <w:sectPr w:rsidR="008B385F">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B1E8" w14:textId="77777777" w:rsidR="0054761B" w:rsidRDefault="0054761B">
      <w:r>
        <w:separator/>
      </w:r>
    </w:p>
  </w:endnote>
  <w:endnote w:type="continuationSeparator" w:id="0">
    <w:p w14:paraId="7AD7FB2D" w14:textId="77777777" w:rsidR="0054761B" w:rsidRDefault="0054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80"/>
    <w:family w:val="auto"/>
    <w:notTrueType/>
    <w:pitch w:val="default"/>
    <w:sig w:usb0="00000000" w:usb1="08070000" w:usb2="00000010" w:usb3="00000000" w:csb0="00020000"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6E33" w14:textId="77777777" w:rsidR="00E45D05" w:rsidRDefault="00E45D05">
    <w:pPr>
      <w:framePr w:wrap="around" w:vAnchor="text" w:hAnchor="margin" w:xAlign="right" w:y="1"/>
    </w:pPr>
    <w:r>
      <w:fldChar w:fldCharType="begin"/>
    </w:r>
    <w:r>
      <w:instrText xml:space="preserve">PAGE  </w:instrText>
    </w:r>
    <w:r>
      <w:fldChar w:fldCharType="end"/>
    </w:r>
  </w:p>
  <w:p w14:paraId="0E375760" w14:textId="7B24426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C66AC5">
      <w:rPr>
        <w:noProof/>
      </w:rPr>
      <w:t>02.11.23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549" w14:textId="16AAF084" w:rsidR="00E45D05" w:rsidRDefault="00E45D05" w:rsidP="009B1EA1">
    <w:pPr>
      <w:pStyle w:val="Footer"/>
    </w:pPr>
    <w:r>
      <w:fldChar w:fldCharType="begin"/>
    </w:r>
    <w:r w:rsidRPr="0041348E">
      <w:rPr>
        <w:lang w:val="en-US"/>
      </w:rPr>
      <w:instrText xml:space="preserve"> FILENAME \p  \* MERGEFORMAT </w:instrText>
    </w:r>
    <w:r>
      <w:fldChar w:fldCharType="separate"/>
    </w:r>
    <w:r w:rsidR="009A3E9E">
      <w:rPr>
        <w:lang w:val="en-US"/>
      </w:rPr>
      <w:t>P:\ENG\ITU-R\CONF-R\CMR23\000\065ADD06E.docx</w:t>
    </w:r>
    <w:r>
      <w:fldChar w:fldCharType="end"/>
    </w:r>
    <w:r w:rsidR="009A3E9E">
      <w:t xml:space="preserve"> (530527)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6037" w14:textId="77777777" w:rsidR="009A3E9E" w:rsidRDefault="009A3E9E" w:rsidP="009A3E9E">
    <w:pPr>
      <w:pStyle w:val="Footer"/>
    </w:pPr>
    <w:r>
      <w:fldChar w:fldCharType="begin"/>
    </w:r>
    <w:r w:rsidRPr="0041348E">
      <w:rPr>
        <w:lang w:val="en-US"/>
      </w:rPr>
      <w:instrText xml:space="preserve"> FILENAME \p  \* MERGEFORMAT </w:instrText>
    </w:r>
    <w:r>
      <w:fldChar w:fldCharType="separate"/>
    </w:r>
    <w:r>
      <w:rPr>
        <w:lang w:val="en-US"/>
      </w:rPr>
      <w:t>P:\ENG\ITU-R\CONF-R\CMR23\000\065ADD06E.docx</w:t>
    </w:r>
    <w:r>
      <w:fldChar w:fldCharType="end"/>
    </w:r>
    <w:r>
      <w:t xml:space="preserve"> (530527)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974F" w14:textId="77777777" w:rsidR="0054761B" w:rsidRDefault="0054761B">
      <w:r>
        <w:rPr>
          <w:b/>
        </w:rPr>
        <w:t>_______________</w:t>
      </w:r>
    </w:p>
  </w:footnote>
  <w:footnote w:type="continuationSeparator" w:id="0">
    <w:p w14:paraId="4B02625A" w14:textId="77777777" w:rsidR="0054761B" w:rsidRDefault="0054761B">
      <w:r>
        <w:continuationSeparator/>
      </w:r>
    </w:p>
  </w:footnote>
  <w:footnote w:id="1">
    <w:p w14:paraId="22F4D3F3" w14:textId="77777777" w:rsidR="001A1141" w:rsidRPr="008C1583" w:rsidRDefault="001A1141" w:rsidP="000F56E1">
      <w:pPr>
        <w:pStyle w:val="FootnoteText"/>
      </w:pPr>
      <w:r w:rsidRPr="008B23B4">
        <w:rPr>
          <w:rStyle w:val="FootnoteReference"/>
          <w:sz w:val="20"/>
        </w:rPr>
        <w:t>1</w:t>
      </w:r>
      <w:r w:rsidRPr="008B23B4">
        <w:t xml:space="preserve"> </w:t>
      </w:r>
      <w:r w:rsidRPr="008B23B4">
        <w:tab/>
      </w:r>
      <w:r w:rsidRPr="008B23B4">
        <w:rPr>
          <w:lang w:val="en-US"/>
        </w:rPr>
        <w:t xml:space="preserve">Defined accordingly with the </w:t>
      </w:r>
      <w:r w:rsidRPr="000F56E1">
        <w:t>Convention</w:t>
      </w:r>
      <w:r w:rsidRPr="008B23B4">
        <w:rPr>
          <w:lang w:val="en-US"/>
        </w:rPr>
        <w:t xml:space="preserve"> on International Civil Aviation and its annexes.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9662" w14:textId="77777777" w:rsidR="009A3E9E" w:rsidRDefault="009A3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1887"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B66D115" w14:textId="77777777" w:rsidR="00A066F1" w:rsidRPr="00A066F1" w:rsidRDefault="00BC75DE" w:rsidP="00241FA2">
    <w:pPr>
      <w:pStyle w:val="Header"/>
    </w:pPr>
    <w:r>
      <w:t>WRC</w:t>
    </w:r>
    <w:r w:rsidR="006D70B0">
      <w:t>23</w:t>
    </w:r>
    <w:r w:rsidR="00A066F1">
      <w:t>/</w:t>
    </w:r>
    <w:bookmarkStart w:id="14" w:name="OLE_LINK1"/>
    <w:bookmarkStart w:id="15" w:name="OLE_LINK2"/>
    <w:bookmarkStart w:id="16" w:name="OLE_LINK3"/>
    <w:r w:rsidR="00EB55C6">
      <w:t>65(Add.6)</w:t>
    </w:r>
    <w:bookmarkEnd w:id="14"/>
    <w:bookmarkEnd w:id="15"/>
    <w:bookmarkEnd w:id="16"/>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973F" w14:textId="77777777" w:rsidR="009A3E9E" w:rsidRDefault="009A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56079309">
    <w:abstractNumId w:val="0"/>
  </w:num>
  <w:num w:numId="2" w16cid:durableId="206413782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86C10"/>
    <w:rsid w:val="00091346"/>
    <w:rsid w:val="0009706C"/>
    <w:rsid w:val="000D154B"/>
    <w:rsid w:val="000D2DAF"/>
    <w:rsid w:val="000E463E"/>
    <w:rsid w:val="000F56E1"/>
    <w:rsid w:val="000F73FF"/>
    <w:rsid w:val="00114CF7"/>
    <w:rsid w:val="00116C7A"/>
    <w:rsid w:val="00123B68"/>
    <w:rsid w:val="00126F2E"/>
    <w:rsid w:val="00146F6F"/>
    <w:rsid w:val="00161F26"/>
    <w:rsid w:val="00187BD9"/>
    <w:rsid w:val="00190B55"/>
    <w:rsid w:val="001A1141"/>
    <w:rsid w:val="001C3B5F"/>
    <w:rsid w:val="001D058F"/>
    <w:rsid w:val="001E292C"/>
    <w:rsid w:val="002009EA"/>
    <w:rsid w:val="00202756"/>
    <w:rsid w:val="00202CA0"/>
    <w:rsid w:val="00216B6D"/>
    <w:rsid w:val="0022757F"/>
    <w:rsid w:val="00241FA2"/>
    <w:rsid w:val="00271316"/>
    <w:rsid w:val="002B349C"/>
    <w:rsid w:val="002D4495"/>
    <w:rsid w:val="002D58BE"/>
    <w:rsid w:val="002F4747"/>
    <w:rsid w:val="00302605"/>
    <w:rsid w:val="00361B37"/>
    <w:rsid w:val="0036764F"/>
    <w:rsid w:val="00377BD3"/>
    <w:rsid w:val="00384088"/>
    <w:rsid w:val="003852CE"/>
    <w:rsid w:val="0039169B"/>
    <w:rsid w:val="003A7F8C"/>
    <w:rsid w:val="003B2284"/>
    <w:rsid w:val="003B4DFA"/>
    <w:rsid w:val="003B532E"/>
    <w:rsid w:val="003D0F8B"/>
    <w:rsid w:val="003E0DB6"/>
    <w:rsid w:val="0041348E"/>
    <w:rsid w:val="00420873"/>
    <w:rsid w:val="00492075"/>
    <w:rsid w:val="004969AD"/>
    <w:rsid w:val="004A2459"/>
    <w:rsid w:val="004A26C4"/>
    <w:rsid w:val="004A3257"/>
    <w:rsid w:val="004B13CB"/>
    <w:rsid w:val="004D26EA"/>
    <w:rsid w:val="004D2BFB"/>
    <w:rsid w:val="004D5D5C"/>
    <w:rsid w:val="004F3DC0"/>
    <w:rsid w:val="0050139F"/>
    <w:rsid w:val="0054761B"/>
    <w:rsid w:val="005505D9"/>
    <w:rsid w:val="0055140B"/>
    <w:rsid w:val="005861D7"/>
    <w:rsid w:val="005964AB"/>
    <w:rsid w:val="005B5E1A"/>
    <w:rsid w:val="005C099A"/>
    <w:rsid w:val="005C0A89"/>
    <w:rsid w:val="005C31A5"/>
    <w:rsid w:val="005E10C9"/>
    <w:rsid w:val="005E290B"/>
    <w:rsid w:val="005E61DD"/>
    <w:rsid w:val="005F04D8"/>
    <w:rsid w:val="005F2B7C"/>
    <w:rsid w:val="006023DF"/>
    <w:rsid w:val="00615426"/>
    <w:rsid w:val="00616219"/>
    <w:rsid w:val="00645B7D"/>
    <w:rsid w:val="00657DE0"/>
    <w:rsid w:val="00662541"/>
    <w:rsid w:val="00685313"/>
    <w:rsid w:val="00692833"/>
    <w:rsid w:val="006A6E9B"/>
    <w:rsid w:val="006B7C2A"/>
    <w:rsid w:val="006C23DA"/>
    <w:rsid w:val="006D70B0"/>
    <w:rsid w:val="006E3D45"/>
    <w:rsid w:val="0070607A"/>
    <w:rsid w:val="007149F9"/>
    <w:rsid w:val="007320AD"/>
    <w:rsid w:val="00733A30"/>
    <w:rsid w:val="00745AEE"/>
    <w:rsid w:val="00750F10"/>
    <w:rsid w:val="007742CA"/>
    <w:rsid w:val="00790D70"/>
    <w:rsid w:val="007A6F1F"/>
    <w:rsid w:val="007D5320"/>
    <w:rsid w:val="00800972"/>
    <w:rsid w:val="00804475"/>
    <w:rsid w:val="00811633"/>
    <w:rsid w:val="00814037"/>
    <w:rsid w:val="008359A7"/>
    <w:rsid w:val="00841216"/>
    <w:rsid w:val="00842AF0"/>
    <w:rsid w:val="0086171E"/>
    <w:rsid w:val="00872FC8"/>
    <w:rsid w:val="008845D0"/>
    <w:rsid w:val="00884D60"/>
    <w:rsid w:val="00896E56"/>
    <w:rsid w:val="008B385F"/>
    <w:rsid w:val="008B43F2"/>
    <w:rsid w:val="008B6CFF"/>
    <w:rsid w:val="009274B4"/>
    <w:rsid w:val="00934EA2"/>
    <w:rsid w:val="00941C9E"/>
    <w:rsid w:val="00944A5C"/>
    <w:rsid w:val="00952A66"/>
    <w:rsid w:val="009A3E9E"/>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B0A91"/>
    <w:rsid w:val="00AD7914"/>
    <w:rsid w:val="00AE514B"/>
    <w:rsid w:val="00AF2D74"/>
    <w:rsid w:val="00B40888"/>
    <w:rsid w:val="00B639E9"/>
    <w:rsid w:val="00B817CD"/>
    <w:rsid w:val="00B81A7D"/>
    <w:rsid w:val="00B83267"/>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66AC5"/>
    <w:rsid w:val="00C82695"/>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828AC"/>
    <w:rsid w:val="00E976C1"/>
    <w:rsid w:val="00EA12E5"/>
    <w:rsid w:val="00EB0812"/>
    <w:rsid w:val="00EB54B2"/>
    <w:rsid w:val="00EB55C6"/>
    <w:rsid w:val="00EF1932"/>
    <w:rsid w:val="00EF71B6"/>
    <w:rsid w:val="00F01103"/>
    <w:rsid w:val="00F02766"/>
    <w:rsid w:val="00F05BD4"/>
    <w:rsid w:val="00F06473"/>
    <w:rsid w:val="00F320AA"/>
    <w:rsid w:val="00F6155B"/>
    <w:rsid w:val="00F65C19"/>
    <w:rsid w:val="00F72590"/>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B821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qFormat/>
    <w:rsid w:val="00897DEC"/>
  </w:style>
  <w:style w:type="paragraph" w:customStyle="1" w:styleId="Normalaftertitle0">
    <w:name w:val="Normal after title"/>
    <w:basedOn w:val="Normal"/>
    <w:next w:val="Normal"/>
    <w:qFormat/>
    <w:rsid w:val="00981814"/>
    <w:pPr>
      <w:spacing w:before="280"/>
    </w:pPr>
  </w:style>
  <w:style w:type="character" w:styleId="Hyperlink">
    <w:name w:val="Hyperlink"/>
    <w:basedOn w:val="DefaultParagraphFont"/>
    <w:uiPriority w:val="99"/>
    <w:semiHidden/>
    <w:unhideWhenUsed/>
    <w:rPr>
      <w:color w:val="0000FF" w:themeColor="hyperlink"/>
      <w:u w:val="single"/>
    </w:rPr>
  </w:style>
  <w:style w:type="character" w:customStyle="1" w:styleId="CallChar">
    <w:name w:val="Call Char"/>
    <w:basedOn w:val="DefaultParagraphFont"/>
    <w:link w:val="Call"/>
    <w:qFormat/>
    <w:locked/>
    <w:rsid w:val="001A1141"/>
    <w:rPr>
      <w:rFonts w:ascii="Times New Roman" w:hAnsi="Times New Roman"/>
      <w:i/>
      <w:sz w:val="24"/>
      <w:lang w:val="en-GB" w:eastAsia="en-US"/>
    </w:rPr>
  </w:style>
  <w:style w:type="character" w:styleId="CommentReference">
    <w:name w:val="annotation reference"/>
    <w:basedOn w:val="DefaultParagraphFont"/>
    <w:semiHidden/>
    <w:unhideWhenUsed/>
    <w:rsid w:val="001E292C"/>
    <w:rPr>
      <w:sz w:val="16"/>
      <w:szCs w:val="16"/>
    </w:rPr>
  </w:style>
  <w:style w:type="paragraph" w:styleId="CommentText">
    <w:name w:val="annotation text"/>
    <w:basedOn w:val="Normal"/>
    <w:link w:val="CommentTextChar"/>
    <w:unhideWhenUsed/>
    <w:rsid w:val="001E292C"/>
    <w:rPr>
      <w:sz w:val="20"/>
    </w:rPr>
  </w:style>
  <w:style w:type="character" w:customStyle="1" w:styleId="CommentTextChar">
    <w:name w:val="Comment Text Char"/>
    <w:basedOn w:val="DefaultParagraphFont"/>
    <w:link w:val="CommentText"/>
    <w:rsid w:val="001E292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E292C"/>
    <w:rPr>
      <w:b/>
      <w:bCs/>
    </w:rPr>
  </w:style>
  <w:style w:type="character" w:customStyle="1" w:styleId="CommentSubjectChar">
    <w:name w:val="Comment Subject Char"/>
    <w:basedOn w:val="CommentTextChar"/>
    <w:link w:val="CommentSubject"/>
    <w:semiHidden/>
    <w:rsid w:val="001E292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R23-WRC23-C-0065!A6!MSW-E</DPM_x0020_File_x0020_name>
    <DPM_x0020_Author xmlns="76b7d054-b29f-418b-b414-6b742f999448">DPM</DPM_x0020_Author>
    <DPM_x0020_Version xmlns="76b7d054-b29f-418b-b414-6b742f99944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6954D3-52BA-4184-A5B0-639984F3AA35}">
  <ds:schemaRefs>
    <ds:schemaRef ds:uri="http://schemas.microsoft.com/sharepoint/v3/contenttype/forms"/>
  </ds:schemaRefs>
</ds:datastoreItem>
</file>

<file path=customXml/itemProps2.xml><?xml version="1.0" encoding="utf-8"?>
<ds:datastoreItem xmlns:ds="http://schemas.openxmlformats.org/officeDocument/2006/customXml" ds:itemID="{B028E4C4-082D-4CB0-9396-958A9CBF0487}">
  <ds:schemaRefs>
    <ds:schemaRef ds:uri="http://schemas.microsoft.com/office/2006/metadata/properties"/>
    <ds:schemaRef ds:uri="http://schemas.microsoft.com/office/infopath/2007/PartnerControls"/>
    <ds:schemaRef ds:uri="76b7d054-b29f-418b-b414-6b742f999448"/>
  </ds:schemaRefs>
</ds:datastoreItem>
</file>

<file path=customXml/itemProps3.xml><?xml version="1.0" encoding="utf-8"?>
<ds:datastoreItem xmlns:ds="http://schemas.openxmlformats.org/officeDocument/2006/customXml" ds:itemID="{C2E4FF79-80C1-41AA-AA1A-413CD3B8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D2F12-8A20-4593-B178-3B7769630C2A}">
  <ds:schemaRefs>
    <ds:schemaRef ds:uri="http://schemas.openxmlformats.org/officeDocument/2006/bibliography"/>
  </ds:schemaRefs>
</ds:datastoreItem>
</file>

<file path=customXml/itemProps5.xml><?xml version="1.0" encoding="utf-8"?>
<ds:datastoreItem xmlns:ds="http://schemas.openxmlformats.org/officeDocument/2006/customXml" ds:itemID="{659DF610-628C-46CA-9D7D-75EB8D889A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967</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R23-WRC23-C-0065!A6!MSW-E</vt:lpstr>
    </vt:vector>
  </TitlesOfParts>
  <Manager>General Secretariat - Pool</Manager>
  <Company>International Telecommunication Union (ITU)</Company>
  <LinksUpToDate>false</LinksUpToDate>
  <CharactersWithSpaces>6733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R23-WRC23-C-0065!A6!MSW-E</dc:title>
  <dc:subject>World Radiocommunication Conference - 2023</dc:subject>
  <dc:creator>Documents Proposals Manager (DPM)</dc:creator>
  <cp:keywords>DPM_v2023.8.1.1_prod</cp:keywords>
  <dc:description>Uploaded on 2015.07.06</dc:description>
  <cp:lastModifiedBy>TPU E RR</cp:lastModifiedBy>
  <cp:revision>4</cp:revision>
  <cp:lastPrinted>2017-02-10T08:23:00Z</cp:lastPrinted>
  <dcterms:created xsi:type="dcterms:W3CDTF">2023-11-02T14:53:00Z</dcterms:created>
  <dcterms:modified xsi:type="dcterms:W3CDTF">2023-11-03T12:19:00Z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