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footnotes.xml" ContentType="application/vnd.openxmlformats-officedocument.wordprocessingml.footnotes+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Override PartName="/word/numbering.xml" ContentType="application/vnd.openxmlformats-officedocument.wordprocessingml.numbering+xml"/>
  <Override PartName="/word/endnotes.xml" ContentType="application/vnd.openxmlformats-officedocument.wordprocessingml.endnot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7ac3127ee3d442a9"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B065AC" w:rsidR="00DE3DA0" w:rsidP="006C5E94" w:rsidRDefault="00934EA4" w14:paraId="2C180C2A" w14:textId="77777777">
      <w:pPr>
        <w:pStyle w:val="Proposal"/>
      </w:pPr>
      <w:r w:rsidRPr="00B065AC">
        <w:t>ADD</w:t>
      </w:r>
      <w:r w:rsidRPr="00B065AC">
        <w:tab/>
        <w:t>IAP/44A27A3/2</w:t>
      </w:r>
    </w:p>
    <w:p w:rsidRPr="00B065AC" w:rsidR="00A065F1" w:rsidP="00503437" w:rsidRDefault="00A065F1" w14:paraId="04EDC8DA" w14:textId="77777777">
      <w:pPr>
        <w:pStyle w:val="ResNo"/>
      </w:pPr>
      <w:r w:rsidRPr="00B065AC">
        <w:t>Draft New Resolution [AI-10-LUNAR] (WRC-23)</w:t>
      </w:r>
    </w:p>
    <w:p w:rsidRPr="00B065AC" w:rsidR="00A065F1" w:rsidP="00503437" w:rsidRDefault="00A065F1" w14:paraId="313EF7FD" w14:textId="77777777">
      <w:pPr>
        <w:pStyle w:val="Restitle"/>
      </w:pPr>
      <w:r w:rsidRPr="00B065AC">
        <w:rPr>
          <w:rFonts w:ascii="Times New Roman"/>
        </w:rPr>
        <w:t>Studies on frequency-related matters, including possible additional allocations and/or identifications for future development of communications on the lunar surface and between lunar orbit and the lunar surface</w:t>
      </w:r>
    </w:p>
    <w:p w:rsidRPr="00B065AC" w:rsidR="00A065F1" w:rsidP="00503437" w:rsidRDefault="00A065F1" w14:paraId="57BC5F81" w14:textId="77777777">
      <w:pPr>
        <w:pStyle w:val="Normalaftertitle"/>
        <w:rPr>
          <w:szCs w:val="24"/>
        </w:rPr>
      </w:pPr>
      <w:r w:rsidRPr="00B065AC">
        <w:rPr>
          <w:szCs w:val="24"/>
        </w:rPr>
        <w:t>The World Radiocommunication Conference (Dubai, 2023),</w:t>
      </w:r>
    </w:p>
    <w:p w:rsidRPr="00B065AC" w:rsidR="00A065F1" w:rsidP="00503437" w:rsidRDefault="00A065F1" w14:paraId="70A8B359" w14:textId="77777777">
      <w:pPr>
        <w:pStyle w:val="Call"/>
        <w:rPr>
          <w:szCs w:val="24"/>
        </w:rPr>
      </w:pPr>
      <w:r w:rsidRPr="00B065AC">
        <w:rPr>
          <w:szCs w:val="24"/>
        </w:rPr>
        <w:t>considering</w:t>
      </w:r>
    </w:p>
    <w:p w:rsidRPr="00B065AC" w:rsidR="00A065F1" w:rsidP="00B065AC" w:rsidRDefault="00A065F1" w14:paraId="12F55538" w14:textId="77777777">
      <w:r w:rsidRPr="00B065AC">
        <w:rPr>
          <w:i/>
          <w:iCs/>
        </w:rPr>
        <w:t>a)</w:t>
      </w:r>
      <w:r w:rsidRPr="00B065AC">
        <w:tab/>
        <w:t>that there is increased interest to conduct scientific experiments, exploration activities, and potential future space commerce in the vicinity of the Moon, including on its surface;</w:t>
      </w:r>
    </w:p>
    <w:p w:rsidRPr="00B065AC" w:rsidR="00A065F1" w:rsidP="00503437" w:rsidRDefault="00A065F1" w14:paraId="68D310CB" w14:textId="77777777">
      <w:pPr>
        <w:rPr>
          <w:szCs w:val="24"/>
        </w:rPr>
      </w:pPr>
      <w:r w:rsidRPr="00B065AC">
        <w:rPr>
          <w:i/>
          <w:iCs/>
          <w:szCs w:val="24"/>
        </w:rPr>
        <w:t>b)</w:t>
      </w:r>
      <w:r w:rsidRPr="00B065AC">
        <w:rPr>
          <w:szCs w:val="24"/>
        </w:rPr>
        <w:tab/>
        <w:t>that communication technology is well-developed and widely deployed on the Earth using industry standards that could be applied to lunar communications;</w:t>
      </w:r>
    </w:p>
    <w:p w:rsidRPr="00B065AC" w:rsidR="00A065F1" w:rsidP="00503437" w:rsidRDefault="00A065F1" w14:paraId="04383895" w14:textId="77777777">
      <w:pPr>
        <w:rPr>
          <w:szCs w:val="24"/>
        </w:rPr>
      </w:pPr>
      <w:r w:rsidRPr="00B065AC">
        <w:rPr>
          <w:i/>
          <w:szCs w:val="24"/>
        </w:rPr>
        <w:t>c)</w:t>
      </w:r>
      <w:r w:rsidRPr="00B065AC">
        <w:rPr>
          <w:szCs w:val="24"/>
        </w:rPr>
        <w:tab/>
        <w:t>that point-to-multipoint systems on the lunar near side surface used for scientific or technological research purposes could operate in the space research service (space-to-space) currently;</w:t>
      </w:r>
    </w:p>
    <w:p w:rsidRPr="00B065AC" w:rsidR="00A065F1" w:rsidP="00503437" w:rsidRDefault="00A065F1" w14:paraId="7BDF50C4" w14:textId="77777777">
      <w:pPr>
        <w:rPr>
          <w:szCs w:val="24"/>
        </w:rPr>
      </w:pPr>
      <w:r w:rsidRPr="00B065AC">
        <w:rPr>
          <w:i/>
          <w:iCs/>
          <w:szCs w:val="24"/>
        </w:rPr>
        <w:t>d)</w:t>
      </w:r>
      <w:r w:rsidRPr="00B065AC">
        <w:rPr>
          <w:szCs w:val="24"/>
        </w:rPr>
        <w:tab/>
        <w:t>that the lunar surface has unique atmospheric, soil, and topography conditions;</w:t>
      </w:r>
    </w:p>
    <w:p w:rsidRPr="00B065AC" w:rsidR="00A065F1" w:rsidP="00503437" w:rsidRDefault="00A065F1" w14:paraId="412A6896" w14:textId="77777777">
      <w:pPr>
        <w:rPr>
          <w:szCs w:val="24"/>
        </w:rPr>
      </w:pPr>
      <w:r w:rsidRPr="00B065AC">
        <w:rPr>
          <w:i/>
          <w:iCs/>
          <w:szCs w:val="24"/>
        </w:rPr>
        <w:t>e)</w:t>
      </w:r>
      <w:r w:rsidRPr="00B065AC">
        <w:rPr>
          <w:szCs w:val="24"/>
        </w:rPr>
        <w:tab/>
        <w:t>that the interests of scientific discovery, space exploration, and space commerce are of a global nature,</w:t>
      </w:r>
    </w:p>
    <w:p w:rsidRPr="00B065AC" w:rsidR="00A065F1" w:rsidP="00503437" w:rsidRDefault="00A065F1" w14:paraId="12FB263A" w14:textId="77777777">
      <w:pPr>
        <w:pStyle w:val="Call"/>
        <w:rPr>
          <w:szCs w:val="24"/>
        </w:rPr>
      </w:pPr>
      <w:r w:rsidRPr="00B065AC">
        <w:rPr>
          <w:szCs w:val="24"/>
        </w:rPr>
        <w:t>noting</w:t>
      </w:r>
    </w:p>
    <w:p w:rsidRPr="00B065AC" w:rsidR="00A065F1" w:rsidP="00503437" w:rsidRDefault="00A065F1" w14:paraId="47F6297B" w14:textId="3D6036BD">
      <w:pPr>
        <w:rPr>
          <w:szCs w:val="24"/>
        </w:rPr>
      </w:pPr>
      <w:r w:rsidRPr="00B065AC">
        <w:rPr>
          <w:szCs w:val="24"/>
        </w:rPr>
        <w:t>Section V of Article</w:t>
      </w:r>
      <w:r w:rsidRPr="00B065AC" w:rsidR="005A7613">
        <w:rPr>
          <w:szCs w:val="24"/>
        </w:rPr>
        <w:t> </w:t>
      </w:r>
      <w:r w:rsidRPr="00B065AC">
        <w:rPr>
          <w:b/>
          <w:bCs/>
          <w:szCs w:val="24"/>
        </w:rPr>
        <w:t>22</w:t>
      </w:r>
      <w:r w:rsidRPr="00B065AC">
        <w:rPr>
          <w:szCs w:val="24"/>
        </w:rPr>
        <w:t xml:space="preserve"> addresses protection of radio astronomy in the shielded zone of the Moon,</w:t>
      </w:r>
    </w:p>
    <w:p w:rsidRPr="00B065AC" w:rsidR="00A065F1" w:rsidP="00503437" w:rsidRDefault="00A065F1" w14:paraId="49A2262E" w14:textId="77777777">
      <w:pPr>
        <w:pStyle w:val="Call"/>
      </w:pPr>
      <w:r w:rsidRPr="00B065AC">
        <w:t>noting further</w:t>
      </w:r>
    </w:p>
    <w:p w:rsidRPr="00B065AC" w:rsidR="00A065F1" w:rsidP="00503437" w:rsidRDefault="00A065F1" w14:paraId="6C9F8C06" w14:textId="616B8E70">
      <w:pPr>
        <w:rPr>
          <w:szCs w:val="24"/>
        </w:rPr>
      </w:pPr>
      <w:r w:rsidRPr="00B065AC">
        <w:rPr>
          <w:szCs w:val="24"/>
        </w:rPr>
        <w:t xml:space="preserve">that the Artemis </w:t>
      </w:r>
      <w:r w:rsidRPr="00B065AC" w:rsidR="00B065AC">
        <w:rPr>
          <w:szCs w:val="24"/>
        </w:rPr>
        <w:t xml:space="preserve">Accords, </w:t>
      </w:r>
      <w:r w:rsidRPr="00B065AC">
        <w:rPr>
          <w:szCs w:val="24"/>
        </w:rPr>
        <w:t>which promote safe, sustainable, and responsible space exploration</w:t>
      </w:r>
      <w:r w:rsidRPr="00B065AC" w:rsidR="00B065AC">
        <w:rPr>
          <w:szCs w:val="24"/>
        </w:rPr>
        <w:t>,</w:t>
      </w:r>
      <w:r w:rsidRPr="00B065AC">
        <w:rPr>
          <w:szCs w:val="24"/>
        </w:rPr>
        <w:t xml:space="preserve"> have been signed by ITU Member States from all three Regions,</w:t>
      </w:r>
    </w:p>
    <w:p w:rsidRPr="00B065AC" w:rsidR="00A065F1" w:rsidP="00503437" w:rsidRDefault="00A065F1" w14:paraId="3FCBAFCD" w14:textId="77777777">
      <w:pPr>
        <w:pStyle w:val="Call"/>
        <w:rPr>
          <w:szCs w:val="24"/>
        </w:rPr>
      </w:pPr>
      <w:r w:rsidRPr="00B065AC">
        <w:rPr>
          <w:szCs w:val="24"/>
        </w:rPr>
        <w:t>recognizing</w:t>
      </w:r>
    </w:p>
    <w:p w:rsidRPr="00B065AC" w:rsidR="00A065F1" w:rsidP="00503437" w:rsidRDefault="00A065F1" w14:paraId="04241B6D" w14:textId="0BE9792F">
      <w:pPr>
        <w:rPr>
          <w:szCs w:val="24"/>
        </w:rPr>
      </w:pPr>
      <w:r w:rsidRPr="00B065AC">
        <w:rPr>
          <w:i/>
          <w:iCs/>
          <w:szCs w:val="24"/>
        </w:rPr>
        <w:t>a)</w:t>
      </w:r>
      <w:r w:rsidRPr="00B065AC">
        <w:rPr>
          <w:szCs w:val="24"/>
        </w:rPr>
        <w:tab/>
        <w:t xml:space="preserve">that a regulatory framework for lunar communications may be needed given the unique circumstances of the </w:t>
      </w:r>
      <w:r w:rsidRPr="00B065AC" w:rsidR="00567F27">
        <w:rPr>
          <w:szCs w:val="24"/>
        </w:rPr>
        <w:t xml:space="preserve">Moon </w:t>
      </w:r>
      <w:r w:rsidRPr="00B065AC">
        <w:rPr>
          <w:szCs w:val="24"/>
        </w:rPr>
        <w:t>as a celestial satellite;</w:t>
      </w:r>
    </w:p>
    <w:p w:rsidRPr="00B065AC" w:rsidR="00A065F1" w:rsidP="00503437" w:rsidRDefault="00A065F1" w14:paraId="783CD0CD" w14:textId="3F8BC2FE">
      <w:pPr>
        <w:rPr>
          <w:szCs w:val="24"/>
        </w:rPr>
      </w:pPr>
      <w:r w:rsidRPr="00B065AC">
        <w:rPr>
          <w:i/>
          <w:iCs/>
          <w:szCs w:val="24"/>
        </w:rPr>
        <w:t>b)</w:t>
      </w:r>
      <w:r w:rsidRPr="00B065AC">
        <w:rPr>
          <w:szCs w:val="24"/>
        </w:rPr>
        <w:t xml:space="preserve"> </w:t>
      </w:r>
      <w:r w:rsidRPr="00B065AC">
        <w:rPr>
          <w:szCs w:val="24"/>
        </w:rPr>
        <w:tab/>
        <w:t xml:space="preserve">that studies of sharing and compatibility between potential systems on the </w:t>
      </w:r>
      <w:r w:rsidRPr="00B065AC" w:rsidR="00B065AC">
        <w:rPr>
          <w:szCs w:val="24"/>
        </w:rPr>
        <w:t xml:space="preserve">Moon’s </w:t>
      </w:r>
      <w:r w:rsidRPr="00B065AC">
        <w:rPr>
          <w:szCs w:val="24"/>
        </w:rPr>
        <w:t xml:space="preserve">surface and systems orbiting the </w:t>
      </w:r>
      <w:r w:rsidRPr="00B065AC" w:rsidR="00B065AC">
        <w:rPr>
          <w:szCs w:val="24"/>
        </w:rPr>
        <w:t xml:space="preserve">Moon </w:t>
      </w:r>
      <w:r w:rsidRPr="00B065AC">
        <w:rPr>
          <w:szCs w:val="24"/>
        </w:rPr>
        <w:t xml:space="preserve">would need to take into account any other affected services in the same or, as appropriate, adjacent bands, </w:t>
      </w:r>
    </w:p>
    <w:p w:rsidRPr="00B065AC" w:rsidR="00A065F1" w:rsidP="00503437" w:rsidRDefault="00A065F1" w14:paraId="50234F1E" w14:textId="77777777">
      <w:pPr>
        <w:pStyle w:val="Call"/>
        <w:rPr>
          <w:szCs w:val="24"/>
        </w:rPr>
      </w:pPr>
      <w:r w:rsidRPr="00B065AC">
        <w:rPr>
          <w:szCs w:val="24"/>
        </w:rPr>
        <w:t>resolves to invite the ITU Radiocommunication Sector</w:t>
      </w:r>
    </w:p>
    <w:p w:rsidRPr="00B065AC" w:rsidR="00A065F1" w:rsidP="00503437" w:rsidRDefault="00A065F1" w14:paraId="759F1B78" w14:textId="46A1418D">
      <w:pPr>
        <w:rPr>
          <w:szCs w:val="24"/>
        </w:rPr>
      </w:pPr>
      <w:r w:rsidRPr="00B065AC">
        <w:rPr>
          <w:szCs w:val="24"/>
        </w:rPr>
        <w:t>1</w:t>
      </w:r>
      <w:r w:rsidRPr="00B065AC">
        <w:rPr>
          <w:szCs w:val="24"/>
        </w:rPr>
        <w:tab/>
        <w:t>to study the spectrum needs of communications systems which may operate on the lunar surface, or communications systems in lunar orbit communicating with systems on the lunar surface, in the frequency bands 390-450</w:t>
      </w:r>
      <w:r w:rsidRPr="00B065AC" w:rsidR="005A7613">
        <w:rPr>
          <w:szCs w:val="24"/>
        </w:rPr>
        <w:t> </w:t>
      </w:r>
      <w:r w:rsidRPr="00B065AC">
        <w:rPr>
          <w:szCs w:val="24"/>
        </w:rPr>
        <w:t>MHz, 2 400</w:t>
      </w:r>
      <w:r w:rsidRPr="00B065AC">
        <w:rPr>
          <w:szCs w:val="24"/>
        </w:rPr>
        <w:noBreakHyphen/>
        <w:t>2 700 MHz, 3 500-3 800 MHz, 5 150</w:t>
      </w:r>
      <w:r w:rsidRPr="00B065AC" w:rsidR="005A7613">
        <w:rPr>
          <w:szCs w:val="24"/>
        </w:rPr>
        <w:noBreakHyphen/>
      </w:r>
      <w:r w:rsidRPr="00B065AC">
        <w:rPr>
          <w:szCs w:val="24"/>
        </w:rPr>
        <w:t>5</w:t>
      </w:r>
      <w:r w:rsidRPr="00B065AC" w:rsidR="00F25F4C">
        <w:rPr>
          <w:szCs w:val="24"/>
        </w:rPr>
        <w:t> </w:t>
      </w:r>
      <w:r w:rsidRPr="00B065AC">
        <w:rPr>
          <w:szCs w:val="24"/>
        </w:rPr>
        <w:t>925 MHz, and 25.25-28.35</w:t>
      </w:r>
      <w:r w:rsidRPr="00B065AC" w:rsidR="005A7613">
        <w:rPr>
          <w:szCs w:val="24"/>
        </w:rPr>
        <w:t> </w:t>
      </w:r>
      <w:r w:rsidRPr="00B065AC">
        <w:rPr>
          <w:szCs w:val="24"/>
        </w:rPr>
        <w:t xml:space="preserve">GHz; </w:t>
      </w:r>
    </w:p>
    <w:p w:rsidRPr="00B065AC" w:rsidR="00A065F1" w:rsidP="00503437" w:rsidRDefault="00A065F1" w14:paraId="73EDC82C" w14:textId="5D62E8DA">
      <w:pPr>
        <w:rPr>
          <w:szCs w:val="24"/>
        </w:rPr>
      </w:pPr>
      <w:r w:rsidRPr="00B065AC">
        <w:rPr>
          <w:szCs w:val="24"/>
        </w:rPr>
        <w:t>2</w:t>
      </w:r>
      <w:r w:rsidRPr="00B065AC">
        <w:rPr>
          <w:szCs w:val="24"/>
        </w:rPr>
        <w:tab/>
        <w:t>to study the technical and operational characteristics of systems that are planned for operation in the frequency bands in</w:t>
      </w:r>
      <w:r w:rsidRPr="00B065AC" w:rsidR="00B065AC">
        <w:rPr>
          <w:szCs w:val="24"/>
        </w:rPr>
        <w:t xml:space="preserve"> </w:t>
      </w:r>
      <w:r w:rsidRPr="00B065AC">
        <w:rPr>
          <w:i/>
          <w:iCs/>
          <w:szCs w:val="24"/>
        </w:rPr>
        <w:t>resolves to invite the ITU Radiocommunication Sector</w:t>
      </w:r>
      <w:r w:rsidRPr="00B065AC" w:rsidR="005A7613">
        <w:rPr>
          <w:szCs w:val="24"/>
        </w:rPr>
        <w:t> </w:t>
      </w:r>
      <w:r w:rsidRPr="00B065AC">
        <w:rPr>
          <w:szCs w:val="24"/>
        </w:rPr>
        <w:t>1;</w:t>
      </w:r>
    </w:p>
    <w:p w:rsidRPr="00B065AC" w:rsidR="00A065F1" w:rsidP="00503437" w:rsidRDefault="00A065F1" w14:paraId="04252A50" w14:textId="13B1337D">
      <w:pPr>
        <w:rPr>
          <w:szCs w:val="24"/>
        </w:rPr>
      </w:pPr>
      <w:r w:rsidRPr="00B065AC">
        <w:rPr>
          <w:szCs w:val="24"/>
        </w:rPr>
        <w:t>3</w:t>
      </w:r>
      <w:r w:rsidRPr="00B065AC">
        <w:rPr>
          <w:szCs w:val="24"/>
        </w:rPr>
        <w:tab/>
        <w:t>to study the propagation considerations for lunar surface systems and lunar-orbiting systems operating in the frequency ranges in</w:t>
      </w:r>
      <w:r w:rsidRPr="00B065AC" w:rsidR="00B065AC">
        <w:rPr>
          <w:szCs w:val="24"/>
        </w:rPr>
        <w:t xml:space="preserve"> </w:t>
      </w:r>
      <w:r w:rsidRPr="00B065AC">
        <w:rPr>
          <w:i/>
          <w:iCs/>
          <w:szCs w:val="24"/>
        </w:rPr>
        <w:t>resolves to invite the ITU Radiocommunication Sector</w:t>
      </w:r>
      <w:r w:rsidRPr="00B065AC">
        <w:rPr>
          <w:szCs w:val="24"/>
        </w:rPr>
        <w:t> 1;</w:t>
      </w:r>
    </w:p>
    <w:p w:rsidRPr="00B065AC" w:rsidR="00A065F1" w:rsidP="00503437" w:rsidRDefault="00A065F1" w14:paraId="20D4E8F3" w14:textId="2AAA9FEE">
      <w:pPr>
        <w:rPr>
          <w:szCs w:val="24"/>
        </w:rPr>
      </w:pPr>
      <w:r w:rsidRPr="00B065AC">
        <w:rPr>
          <w:szCs w:val="24"/>
        </w:rPr>
        <w:t>4</w:t>
      </w:r>
      <w:r w:rsidRPr="00B065AC">
        <w:rPr>
          <w:szCs w:val="24"/>
        </w:rPr>
        <w:tab/>
        <w:t>to study sharing and compatibility between the systems identified in</w:t>
      </w:r>
      <w:r w:rsidRPr="00B065AC" w:rsidR="00B065AC">
        <w:rPr>
          <w:szCs w:val="24"/>
        </w:rPr>
        <w:t xml:space="preserve"> </w:t>
      </w:r>
      <w:r w:rsidRPr="00B065AC">
        <w:rPr>
          <w:i/>
          <w:iCs/>
          <w:szCs w:val="24"/>
        </w:rPr>
        <w:t>resolves to invite the ITU Radiocommunication Sector</w:t>
      </w:r>
      <w:r w:rsidRPr="00B065AC" w:rsidR="005A7613">
        <w:rPr>
          <w:szCs w:val="24"/>
        </w:rPr>
        <w:t> </w:t>
      </w:r>
      <w:r w:rsidRPr="00B065AC">
        <w:rPr>
          <w:szCs w:val="24"/>
        </w:rPr>
        <w:t>1 and other affected services in the same or, as appropriate, adjacent bands, to enable</w:t>
      </w:r>
      <w:r w:rsidR="00B065AC">
        <w:rPr>
          <w:szCs w:val="24"/>
        </w:rPr>
        <w:t xml:space="preserve"> </w:t>
      </w:r>
      <w:r w:rsidRPr="00B065AC">
        <w:rPr>
          <w:szCs w:val="24"/>
        </w:rPr>
        <w:t>frequency bands for use in the vicinity of the Moon, including for potential new frequency allocations and/or identifications with appropriate regulatory provisions for communications on the lunar surface or in lunar orbit communicating with systems on the lunar surface;</w:t>
      </w:r>
    </w:p>
    <w:p w:rsidRPr="00B065AC" w:rsidR="00A065F1" w:rsidP="00503437" w:rsidRDefault="00A065F1" w14:paraId="22F97A5C" w14:textId="4B2A5A9F">
      <w:pPr>
        <w:rPr>
          <w:szCs w:val="24"/>
        </w:rPr>
      </w:pPr>
      <w:r w:rsidRPr="00B065AC">
        <w:rPr>
          <w:szCs w:val="24"/>
        </w:rPr>
        <w:t>5</w:t>
      </w:r>
      <w:r w:rsidRPr="00B065AC">
        <w:rPr>
          <w:szCs w:val="24"/>
        </w:rPr>
        <w:tab/>
        <w:t xml:space="preserve">to study the suitability of applying various regulatory definitions, provisions and procedures for operations in the vicinity of the </w:t>
      </w:r>
      <w:r w:rsidRPr="00B065AC" w:rsidR="00B065AC">
        <w:rPr>
          <w:szCs w:val="24"/>
        </w:rPr>
        <w:t>Moon</w:t>
      </w:r>
      <w:r w:rsidRPr="00B065AC">
        <w:rPr>
          <w:szCs w:val="24"/>
        </w:rPr>
        <w:t>;</w:t>
      </w:r>
    </w:p>
    <w:p w:rsidRPr="00B065AC" w:rsidR="00A065F1" w:rsidP="00503437" w:rsidRDefault="00A065F1" w14:paraId="57D7EB38" w14:textId="0DE17991">
      <w:pPr>
        <w:rPr>
          <w:szCs w:val="24"/>
        </w:rPr>
      </w:pPr>
      <w:r w:rsidRPr="00B065AC">
        <w:rPr>
          <w:szCs w:val="24"/>
        </w:rPr>
        <w:t>6</w:t>
      </w:r>
      <w:r w:rsidRPr="00B065AC">
        <w:rPr>
          <w:szCs w:val="24"/>
        </w:rPr>
        <w:tab/>
        <w:t>to study appropriate modifications to the Radio Regulations with a view to develop</w:t>
      </w:r>
      <w:r w:rsidRPr="00B065AC" w:rsidR="00B065AC">
        <w:rPr>
          <w:szCs w:val="24"/>
        </w:rPr>
        <w:t>ing</w:t>
      </w:r>
      <w:r w:rsidRPr="00B065AC">
        <w:rPr>
          <w:szCs w:val="24"/>
        </w:rPr>
        <w:t xml:space="preserve"> a potential regulatory framework for lunar surface communications and for lunar orbiting systems communicating with lunar surface stations as may be needed given the unique circumstances of the </w:t>
      </w:r>
      <w:r w:rsidRPr="00B065AC" w:rsidR="00B065AC">
        <w:rPr>
          <w:szCs w:val="24"/>
        </w:rPr>
        <w:t xml:space="preserve">Moon </w:t>
      </w:r>
      <w:r w:rsidRPr="00B065AC">
        <w:rPr>
          <w:szCs w:val="24"/>
        </w:rPr>
        <w:t>as a celestial satellite;</w:t>
      </w:r>
    </w:p>
    <w:p w:rsidRPr="00B065AC" w:rsidR="00A065F1" w:rsidP="00503437" w:rsidRDefault="00A065F1" w14:paraId="1167AE58" w14:textId="2BFB0835">
      <w:pPr>
        <w:rPr>
          <w:szCs w:val="24"/>
        </w:rPr>
      </w:pPr>
      <w:r w:rsidRPr="00B065AC">
        <w:rPr>
          <w:szCs w:val="24"/>
        </w:rPr>
        <w:t>7</w:t>
      </w:r>
      <w:r w:rsidRPr="00B065AC">
        <w:rPr>
          <w:szCs w:val="24"/>
        </w:rPr>
        <w:tab/>
        <w:t>to complete these studies by WRC</w:t>
      </w:r>
      <w:r w:rsidRPr="00B065AC" w:rsidR="005A7613">
        <w:rPr>
          <w:szCs w:val="24"/>
        </w:rPr>
        <w:noBreakHyphen/>
      </w:r>
      <w:r w:rsidRPr="00B065AC">
        <w:rPr>
          <w:szCs w:val="24"/>
        </w:rPr>
        <w:t>27,</w:t>
      </w:r>
    </w:p>
    <w:p w:rsidRPr="00B065AC" w:rsidR="00A065F1" w:rsidP="00503437" w:rsidRDefault="00A065F1" w14:paraId="51982821" w14:textId="77777777">
      <w:pPr>
        <w:pStyle w:val="Call"/>
        <w:rPr>
          <w:szCs w:val="24"/>
        </w:rPr>
      </w:pPr>
      <w:r w:rsidRPr="00B065AC">
        <w:rPr>
          <w:szCs w:val="24"/>
        </w:rPr>
        <w:t>invites administrations</w:t>
      </w:r>
    </w:p>
    <w:p w:rsidRPr="00B065AC" w:rsidR="00A065F1" w:rsidP="00503437" w:rsidRDefault="00A065F1" w14:paraId="554862BD" w14:textId="77777777">
      <w:pPr>
        <w:rPr>
          <w:szCs w:val="24"/>
        </w:rPr>
      </w:pPr>
      <w:r w:rsidRPr="00B065AC">
        <w:rPr>
          <w:rFonts w:eastAsia="Calibri"/>
          <w:szCs w:val="24"/>
        </w:rPr>
        <w:t xml:space="preserve">to participate in the studies </w:t>
      </w:r>
      <w:r w:rsidRPr="00B065AC">
        <w:rPr>
          <w:szCs w:val="24"/>
        </w:rPr>
        <w:t>by submitting</w:t>
      </w:r>
      <w:r w:rsidRPr="00B065AC">
        <w:rPr>
          <w:rFonts w:eastAsia="Calibri"/>
          <w:szCs w:val="24"/>
        </w:rPr>
        <w:t xml:space="preserve"> contributions</w:t>
      </w:r>
      <w:r w:rsidRPr="00B065AC">
        <w:rPr>
          <w:szCs w:val="24"/>
        </w:rPr>
        <w:t xml:space="preserve"> to </w:t>
      </w:r>
      <w:r w:rsidRPr="00B065AC">
        <w:rPr>
          <w:rFonts w:eastAsia="Calibri"/>
          <w:szCs w:val="24"/>
        </w:rPr>
        <w:t>ITU</w:t>
      </w:r>
      <w:r w:rsidRPr="00B065AC">
        <w:rPr>
          <w:rFonts w:eastAsia="Calibri"/>
          <w:szCs w:val="24"/>
        </w:rPr>
        <w:noBreakHyphen/>
        <w:t>R</w:t>
      </w:r>
      <w:r w:rsidRPr="00B065AC">
        <w:rPr>
          <w:szCs w:val="24"/>
        </w:rPr>
        <w:t>,</w:t>
      </w:r>
    </w:p>
    <w:p w:rsidRPr="00B065AC" w:rsidR="00A065F1" w:rsidP="00503437" w:rsidRDefault="00A065F1" w14:paraId="5500C3F3" w14:textId="77777777">
      <w:pPr>
        <w:pStyle w:val="Call"/>
        <w:rPr>
          <w:szCs w:val="24"/>
        </w:rPr>
      </w:pPr>
      <w:bookmarkStart w:name="_Hlk142473247" w:id="8"/>
      <w:r w:rsidRPr="00B065AC">
        <w:rPr>
          <w:szCs w:val="24"/>
        </w:rPr>
        <w:t>invites the 2027 World Radiocommunication Conference</w:t>
      </w:r>
    </w:p>
    <w:bookmarkEnd w:id="8"/>
    <w:p w:rsidRPr="00B065AC" w:rsidR="00A065F1" w:rsidP="00503437" w:rsidRDefault="00A065F1" w14:paraId="196A3292" w14:textId="477F0286">
      <w:r w:rsidRPr="00B065AC">
        <w:t>1</w:t>
      </w:r>
      <w:r w:rsidRPr="00B065AC">
        <w:tab/>
        <w:t>to consider, based on the results of the above studies, the allocation</w:t>
      </w:r>
      <w:r w:rsidRPr="00B065AC" w:rsidR="00B065AC">
        <w:t xml:space="preserve"> </w:t>
      </w:r>
      <w:r w:rsidRPr="00B065AC">
        <w:t>and/or identification of frequency bands</w:t>
      </w:r>
      <w:r w:rsidRPr="00B065AC" w:rsidR="00B065AC">
        <w:t xml:space="preserve"> </w:t>
      </w:r>
      <w:r w:rsidRPr="00B065AC">
        <w:t xml:space="preserve">in part or </w:t>
      </w:r>
      <w:proofErr w:type="gramStart"/>
      <w:r w:rsidRPr="00B065AC">
        <w:t>all of</w:t>
      </w:r>
      <w:proofErr w:type="gramEnd"/>
      <w:r w:rsidRPr="00B065AC" w:rsidR="00B065AC">
        <w:t xml:space="preserve"> </w:t>
      </w:r>
      <w:r w:rsidRPr="00B065AC">
        <w:t>the frequency bands listed in</w:t>
      </w:r>
      <w:r w:rsidRPr="00B065AC" w:rsidR="00B065AC">
        <w:rPr>
          <w:i/>
          <w:iCs/>
        </w:rPr>
        <w:t xml:space="preserve"> </w:t>
      </w:r>
      <w:r w:rsidRPr="00B065AC">
        <w:rPr>
          <w:i/>
          <w:iCs/>
        </w:rPr>
        <w:t>resolves to invite the ITU Radiocommunication Sector </w:t>
      </w:r>
      <w:r w:rsidRPr="00B065AC">
        <w:t>1</w:t>
      </w:r>
      <w:r w:rsidRPr="00B065AC">
        <w:rPr>
          <w:i/>
          <w:iCs/>
        </w:rPr>
        <w:t xml:space="preserve"> </w:t>
      </w:r>
      <w:r w:rsidRPr="00B065AC">
        <w:t>above</w:t>
      </w:r>
      <w:r w:rsidRPr="00B065AC">
        <w:rPr>
          <w:i/>
          <w:iCs/>
        </w:rPr>
        <w:t xml:space="preserve"> </w:t>
      </w:r>
      <w:r w:rsidRPr="00B065AC">
        <w:t>for use in the vicinity of the Moon;</w:t>
      </w:r>
      <w:r w:rsidRPr="00B065AC">
        <w:rPr>
          <w:i/>
          <w:iCs/>
        </w:rPr>
        <w:t> </w:t>
      </w:r>
    </w:p>
    <w:p w:rsidRPr="00B065AC" w:rsidR="00A065F1" w:rsidP="00503437" w:rsidRDefault="00A065F1" w14:paraId="1A22D718" w14:textId="00286C75">
      <w:r w:rsidRPr="00B065AC">
        <w:t>2</w:t>
      </w:r>
      <w:r w:rsidRPr="00B065AC">
        <w:tab/>
        <w:t>to invite a future competent conference to revise these allocations and/or identifications and make other appropriate regulatory changes with a view to establish</w:t>
      </w:r>
      <w:r w:rsidRPr="00B065AC" w:rsidR="00B065AC">
        <w:t>ing</w:t>
      </w:r>
      <w:r w:rsidRPr="00B065AC">
        <w:t xml:space="preserve"> a regulatory framework </w:t>
      </w:r>
      <w:proofErr w:type="gramStart"/>
      <w:r w:rsidRPr="00B065AC">
        <w:t>taking into account</w:t>
      </w:r>
      <w:proofErr w:type="gramEnd"/>
      <w:r w:rsidRPr="00B065AC">
        <w:t xml:space="preserve"> </w:t>
      </w:r>
      <w:r w:rsidRPr="00B065AC">
        <w:rPr>
          <w:i/>
          <w:iCs/>
        </w:rPr>
        <w:t>resolves</w:t>
      </w:r>
      <w:r w:rsidRPr="00B065AC" w:rsidR="00B065AC">
        <w:rPr>
          <w:i/>
          <w:iCs/>
        </w:rPr>
        <w:t xml:space="preserve"> </w:t>
      </w:r>
      <w:r w:rsidRPr="00B065AC">
        <w:rPr>
          <w:i/>
          <w:iCs/>
        </w:rPr>
        <w:t>to invite the ITU Radiocommunication Sector</w:t>
      </w:r>
      <w:r w:rsidRPr="00B065AC" w:rsidR="005A7613">
        <w:rPr>
          <w:i/>
          <w:iCs/>
        </w:rPr>
        <w:t> </w:t>
      </w:r>
      <w:r w:rsidRPr="00B065AC">
        <w:t>5</w:t>
      </w:r>
      <w:r w:rsidRPr="00B065AC" w:rsidR="00B065AC">
        <w:t xml:space="preserve"> </w:t>
      </w:r>
      <w:r w:rsidRPr="00B065AC">
        <w:t>above.</w:t>
      </w:r>
    </w:p>
    <w:sectPr>
      <w:pgSz w:w="11907" w:h="16840" w:orient="portrait" w:code="9"/>
      <w:pgMar w:top="1418" w:right="1134" w:bottom="1418" w:left="1134" w:header="720" w:footer="72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3034C9" w14:textId="77777777" w:rsidR="00FE4623" w:rsidRDefault="00FE4623">
      <w:r>
        <w:separator/>
      </w:r>
    </w:p>
  </w:endnote>
  <w:endnote w:type="continuationSeparator" w:id="0">
    <w:p w14:paraId="469A2CCD" w14:textId="77777777" w:rsidR="00FE4623" w:rsidRDefault="00FE4623">
      <w:r>
        <w:continuationSeparator/>
      </w:r>
    </w:p>
  </w:endnote>
  <w:endnote w:type="continuationNotice" w:id="1">
    <w:p w14:paraId="054FB9B0" w14:textId="77777777" w:rsidR="00FE4623" w:rsidRDefault="00FE4623">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Times New Roman Bold">
    <w:altName w:val="Times New Roman"/>
    <w:panose1 w:val="02020803070505020304"/>
    <w:charset w:val="00"/>
    <w:family w:val="roman"/>
    <w:pitch w:val="variable"/>
    <w:sig w:usb0="00003A87" w:usb1="00000000" w:usb2="00000000" w:usb3="00000000" w:csb0="000000FF" w:csb1="00000000"/>
  </w:font>
  <w:font w:name="Calibri">
    <w:panose1 w:val="020F0502020204030204"/>
    <w:charset w:val="00"/>
    <w:family w:val="swiss"/>
    <w:pitch w:val="variable"/>
    <w:sig w:usb0="E4002EFF" w:usb1="C200247B" w:usb2="00000009" w:usb3="00000000" w:csb0="000001FF" w:csb1="00000000"/>
  </w:font>
  <w:font w:name="Segoe UI">
    <w:altName w:val="Sylfaen"/>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9DF6D2" w14:textId="77777777" w:rsidR="00FE4623" w:rsidRDefault="00FE4623">
      <w:r>
        <w:rPr>
          <w:b/>
        </w:rPr>
        <w:t>_______________</w:t>
      </w:r>
    </w:p>
  </w:footnote>
  <w:footnote w:type="continuationSeparator" w:id="0">
    <w:p w14:paraId="4B2623D4" w14:textId="77777777" w:rsidR="00FE4623" w:rsidRDefault="00FE4623">
      <w:r>
        <w:continuationSeparator/>
      </w:r>
    </w:p>
  </w:footnote>
  <w:footnote w:type="continuationNotice" w:id="1">
    <w:p w14:paraId="627F631F" w14:textId="77777777" w:rsidR="00FE4623" w:rsidRDefault="00FE4623">
      <w:pPr>
        <w:spacing w:before="0"/>
      </w:pPr>
    </w:p>
  </w:footnote>
  <w:footnote w:id="2">
    <w:p w14:paraId="63F3829B" w14:textId="38D81E40" w:rsidR="00226BED" w:rsidRPr="002B6C35" w:rsidRDefault="00226BED" w:rsidP="00074469">
      <w:pPr>
        <w:pStyle w:val="FootnoteText"/>
        <w:rPr>
          <w:lang w:val="en-US"/>
        </w:rPr>
      </w:pPr>
      <w:r w:rsidRPr="00176A57">
        <w:rPr>
          <w:rStyle w:val="FootnoteReference"/>
        </w:rPr>
        <w:footnoteRef/>
      </w:r>
      <w:r w:rsidR="00074469">
        <w:tab/>
      </w:r>
      <w:r w:rsidRPr="00176A57">
        <w:rPr>
          <w:lang w:val="en-US"/>
        </w:rPr>
        <w:t>As of July 2023 the Artemis Accords were signed by the governments of: Argentina, Australia, Bahrain, Brazil, Canada, Colombia, Czech Republic, Ecuador, France, India, Israel, Italy, Japan, the Republic of Korea, Luxembourg, Mexico, New Zealand, Nigeria, Poland, Romania, Rwanda, Saudi Arabia, Singapore, Spain, Ukraine, the United Arab Emirates, the United Kingdom and the United States.</w:t>
      </w:r>
      <w:r w:rsidR="00B065AC">
        <w:rPr>
          <w:lang w:val="en-US"/>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881657E8"/>
    <w:lvl w:ilvl="0">
      <w:start w:val="1"/>
      <w:numFmt w:val="decimal"/>
      <w:lvlText w:val="%1."/>
      <w:lvlJc w:val="left"/>
      <w:pPr>
        <w:tabs>
          <w:tab w:val="num" w:pos="360"/>
        </w:tabs>
        <w:ind w:left="360" w:hanging="360"/>
      </w:pPr>
    </w:lvl>
  </w:abstractNum>
  <w:abstractNum w:abstractNumId="1" w15:restartNumberingAfterBreak="0">
    <w:nsid w:val="FFFFFFFE"/>
    <w:multiLevelType w:val="singleLevel"/>
    <w:tmpl w:val="B39284A0"/>
    <w:lvl w:ilvl="0">
      <w:numFmt w:val="decimal"/>
      <w:lvlText w:val="*"/>
      <w:lvlJc w:val="left"/>
    </w:lvl>
  </w:abstractNum>
  <w:num w:numId="1" w16cid:durableId="441606880">
    <w:abstractNumId w:val="0"/>
  </w:num>
  <w:num w:numId="2" w16cid:durableId="1109198537">
    <w:abstractNumId w:val="1"/>
    <w:lvlOverride w:ilvl="0">
      <w:lvl w:ilvl="0">
        <w:start w:val="1"/>
        <w:numFmt w:val="bullet"/>
        <w:lvlText w:val=""/>
        <w:legacy w:legacy="1" w:legacySpace="0" w:legacyIndent="283"/>
        <w:lvlJc w:val="left"/>
        <w:pPr>
          <w:ind w:left="283" w:hanging="283"/>
        </w:pPr>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intFractionalCharacterWidth/>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66F1"/>
    <w:rsid w:val="000041EA"/>
    <w:rsid w:val="00022A29"/>
    <w:rsid w:val="000355FD"/>
    <w:rsid w:val="00051E39"/>
    <w:rsid w:val="00065F21"/>
    <w:rsid w:val="000705F2"/>
    <w:rsid w:val="00074469"/>
    <w:rsid w:val="00077239"/>
    <w:rsid w:val="0007795D"/>
    <w:rsid w:val="00086491"/>
    <w:rsid w:val="00091346"/>
    <w:rsid w:val="0009706C"/>
    <w:rsid w:val="000A023E"/>
    <w:rsid w:val="000D154B"/>
    <w:rsid w:val="000D2DAF"/>
    <w:rsid w:val="000E463E"/>
    <w:rsid w:val="000F73FF"/>
    <w:rsid w:val="000F7D74"/>
    <w:rsid w:val="001059FA"/>
    <w:rsid w:val="00111534"/>
    <w:rsid w:val="00114CF7"/>
    <w:rsid w:val="00116C7A"/>
    <w:rsid w:val="00117CD7"/>
    <w:rsid w:val="00123B68"/>
    <w:rsid w:val="00126F2E"/>
    <w:rsid w:val="00131677"/>
    <w:rsid w:val="0014210B"/>
    <w:rsid w:val="00146F6F"/>
    <w:rsid w:val="00161F26"/>
    <w:rsid w:val="00182569"/>
    <w:rsid w:val="001825CA"/>
    <w:rsid w:val="0018614A"/>
    <w:rsid w:val="00187BD9"/>
    <w:rsid w:val="00190B55"/>
    <w:rsid w:val="001C3B5F"/>
    <w:rsid w:val="001D058F"/>
    <w:rsid w:val="001D4790"/>
    <w:rsid w:val="002009EA"/>
    <w:rsid w:val="00202756"/>
    <w:rsid w:val="00202CA0"/>
    <w:rsid w:val="00216B6D"/>
    <w:rsid w:val="00226BED"/>
    <w:rsid w:val="0022757F"/>
    <w:rsid w:val="00241FA2"/>
    <w:rsid w:val="00251BC9"/>
    <w:rsid w:val="00271316"/>
    <w:rsid w:val="002B349C"/>
    <w:rsid w:val="002D58BE"/>
    <w:rsid w:val="002F4747"/>
    <w:rsid w:val="00302605"/>
    <w:rsid w:val="00307273"/>
    <w:rsid w:val="003135AE"/>
    <w:rsid w:val="00361B37"/>
    <w:rsid w:val="00374742"/>
    <w:rsid w:val="00377BD3"/>
    <w:rsid w:val="00384088"/>
    <w:rsid w:val="003852CE"/>
    <w:rsid w:val="0039169B"/>
    <w:rsid w:val="003A7F8C"/>
    <w:rsid w:val="003B2284"/>
    <w:rsid w:val="003B532E"/>
    <w:rsid w:val="003D0F8B"/>
    <w:rsid w:val="003D69E4"/>
    <w:rsid w:val="003E0DB6"/>
    <w:rsid w:val="003E25D2"/>
    <w:rsid w:val="003F0AB8"/>
    <w:rsid w:val="0041348E"/>
    <w:rsid w:val="00415E26"/>
    <w:rsid w:val="00420873"/>
    <w:rsid w:val="00425EFA"/>
    <w:rsid w:val="00462DD3"/>
    <w:rsid w:val="00492075"/>
    <w:rsid w:val="004969AD"/>
    <w:rsid w:val="004A26C4"/>
    <w:rsid w:val="004B13CB"/>
    <w:rsid w:val="004C60F2"/>
    <w:rsid w:val="004C7707"/>
    <w:rsid w:val="004D26EA"/>
    <w:rsid w:val="004D2BFB"/>
    <w:rsid w:val="004D5D5C"/>
    <w:rsid w:val="004F3DC0"/>
    <w:rsid w:val="0050139F"/>
    <w:rsid w:val="00503437"/>
    <w:rsid w:val="0055140B"/>
    <w:rsid w:val="00567F27"/>
    <w:rsid w:val="005861D7"/>
    <w:rsid w:val="005964AB"/>
    <w:rsid w:val="005A7613"/>
    <w:rsid w:val="005C099A"/>
    <w:rsid w:val="005C31A5"/>
    <w:rsid w:val="005C349D"/>
    <w:rsid w:val="005E10C9"/>
    <w:rsid w:val="005E290B"/>
    <w:rsid w:val="005E61DD"/>
    <w:rsid w:val="005F04D8"/>
    <w:rsid w:val="005F3F09"/>
    <w:rsid w:val="006023DF"/>
    <w:rsid w:val="00615426"/>
    <w:rsid w:val="00616219"/>
    <w:rsid w:val="0063342A"/>
    <w:rsid w:val="00640F54"/>
    <w:rsid w:val="00645B7D"/>
    <w:rsid w:val="00657322"/>
    <w:rsid w:val="00657DE0"/>
    <w:rsid w:val="00685313"/>
    <w:rsid w:val="00692833"/>
    <w:rsid w:val="00693493"/>
    <w:rsid w:val="006A6E9B"/>
    <w:rsid w:val="006B7C2A"/>
    <w:rsid w:val="006C23DA"/>
    <w:rsid w:val="006C5E94"/>
    <w:rsid w:val="006D70B0"/>
    <w:rsid w:val="006E3D45"/>
    <w:rsid w:val="0070607A"/>
    <w:rsid w:val="007101BC"/>
    <w:rsid w:val="007149F9"/>
    <w:rsid w:val="00733A30"/>
    <w:rsid w:val="00740320"/>
    <w:rsid w:val="00745AEE"/>
    <w:rsid w:val="00750F10"/>
    <w:rsid w:val="007742CA"/>
    <w:rsid w:val="00790D70"/>
    <w:rsid w:val="007A6F1F"/>
    <w:rsid w:val="007B47D1"/>
    <w:rsid w:val="007C360B"/>
    <w:rsid w:val="007D3DC5"/>
    <w:rsid w:val="007D5320"/>
    <w:rsid w:val="007E156A"/>
    <w:rsid w:val="007E6F71"/>
    <w:rsid w:val="00800972"/>
    <w:rsid w:val="00802A7E"/>
    <w:rsid w:val="00804475"/>
    <w:rsid w:val="00811633"/>
    <w:rsid w:val="00814037"/>
    <w:rsid w:val="00841216"/>
    <w:rsid w:val="00841BAA"/>
    <w:rsid w:val="00842AF0"/>
    <w:rsid w:val="0086150E"/>
    <w:rsid w:val="0086171E"/>
    <w:rsid w:val="0086350D"/>
    <w:rsid w:val="00864FCA"/>
    <w:rsid w:val="00872FC8"/>
    <w:rsid w:val="008845D0"/>
    <w:rsid w:val="00884D60"/>
    <w:rsid w:val="00885A11"/>
    <w:rsid w:val="0089110D"/>
    <w:rsid w:val="00896E56"/>
    <w:rsid w:val="008A4708"/>
    <w:rsid w:val="008B43F2"/>
    <w:rsid w:val="008B6CFF"/>
    <w:rsid w:val="008F7CB0"/>
    <w:rsid w:val="00902C6A"/>
    <w:rsid w:val="009274B4"/>
    <w:rsid w:val="00934EA2"/>
    <w:rsid w:val="00934EA4"/>
    <w:rsid w:val="00936774"/>
    <w:rsid w:val="00944A5C"/>
    <w:rsid w:val="00952A66"/>
    <w:rsid w:val="009632E1"/>
    <w:rsid w:val="009B1EA1"/>
    <w:rsid w:val="009B7C9A"/>
    <w:rsid w:val="009C15F9"/>
    <w:rsid w:val="009C56E5"/>
    <w:rsid w:val="009C7716"/>
    <w:rsid w:val="009E5FC8"/>
    <w:rsid w:val="009E687A"/>
    <w:rsid w:val="009F236F"/>
    <w:rsid w:val="00A00FC8"/>
    <w:rsid w:val="00A065F1"/>
    <w:rsid w:val="00A066F1"/>
    <w:rsid w:val="00A141AF"/>
    <w:rsid w:val="00A16D29"/>
    <w:rsid w:val="00A22AF8"/>
    <w:rsid w:val="00A30305"/>
    <w:rsid w:val="00A3149F"/>
    <w:rsid w:val="00A31D2D"/>
    <w:rsid w:val="00A4600A"/>
    <w:rsid w:val="00A47820"/>
    <w:rsid w:val="00A538A6"/>
    <w:rsid w:val="00A54C25"/>
    <w:rsid w:val="00A710E7"/>
    <w:rsid w:val="00A7372E"/>
    <w:rsid w:val="00A8284C"/>
    <w:rsid w:val="00A93B85"/>
    <w:rsid w:val="00AA0B18"/>
    <w:rsid w:val="00AA3C65"/>
    <w:rsid w:val="00AA666F"/>
    <w:rsid w:val="00AA745A"/>
    <w:rsid w:val="00AB448E"/>
    <w:rsid w:val="00AD0F80"/>
    <w:rsid w:val="00AD7914"/>
    <w:rsid w:val="00AE514B"/>
    <w:rsid w:val="00B04326"/>
    <w:rsid w:val="00B065AC"/>
    <w:rsid w:val="00B40888"/>
    <w:rsid w:val="00B639E9"/>
    <w:rsid w:val="00B817CD"/>
    <w:rsid w:val="00B81A7D"/>
    <w:rsid w:val="00B91EF7"/>
    <w:rsid w:val="00B94AD0"/>
    <w:rsid w:val="00BB3A95"/>
    <w:rsid w:val="00BC75DE"/>
    <w:rsid w:val="00BD6CCE"/>
    <w:rsid w:val="00BF6126"/>
    <w:rsid w:val="00C0018F"/>
    <w:rsid w:val="00C07AC5"/>
    <w:rsid w:val="00C16A5A"/>
    <w:rsid w:val="00C20466"/>
    <w:rsid w:val="00C214ED"/>
    <w:rsid w:val="00C234E6"/>
    <w:rsid w:val="00C2425C"/>
    <w:rsid w:val="00C324A8"/>
    <w:rsid w:val="00C54517"/>
    <w:rsid w:val="00C56F70"/>
    <w:rsid w:val="00C57B91"/>
    <w:rsid w:val="00C64CD8"/>
    <w:rsid w:val="00C82695"/>
    <w:rsid w:val="00C938E8"/>
    <w:rsid w:val="00C97C68"/>
    <w:rsid w:val="00CA1A47"/>
    <w:rsid w:val="00CA3DFC"/>
    <w:rsid w:val="00CB44E5"/>
    <w:rsid w:val="00CC247A"/>
    <w:rsid w:val="00CE388F"/>
    <w:rsid w:val="00CE5132"/>
    <w:rsid w:val="00CE5E47"/>
    <w:rsid w:val="00CF020F"/>
    <w:rsid w:val="00CF2B5B"/>
    <w:rsid w:val="00D14CE0"/>
    <w:rsid w:val="00D255D4"/>
    <w:rsid w:val="00D268B3"/>
    <w:rsid w:val="00D52FD6"/>
    <w:rsid w:val="00D54009"/>
    <w:rsid w:val="00D5651D"/>
    <w:rsid w:val="00D57A34"/>
    <w:rsid w:val="00D74898"/>
    <w:rsid w:val="00D801ED"/>
    <w:rsid w:val="00D936BC"/>
    <w:rsid w:val="00D957AA"/>
    <w:rsid w:val="00D96530"/>
    <w:rsid w:val="00DA1CB1"/>
    <w:rsid w:val="00DB10B1"/>
    <w:rsid w:val="00DD44AF"/>
    <w:rsid w:val="00DE2AC3"/>
    <w:rsid w:val="00DE3DA0"/>
    <w:rsid w:val="00DE5692"/>
    <w:rsid w:val="00DE6300"/>
    <w:rsid w:val="00DF4BC6"/>
    <w:rsid w:val="00DF78E0"/>
    <w:rsid w:val="00E03C94"/>
    <w:rsid w:val="00E205BC"/>
    <w:rsid w:val="00E2166F"/>
    <w:rsid w:val="00E26226"/>
    <w:rsid w:val="00E45D05"/>
    <w:rsid w:val="00E55816"/>
    <w:rsid w:val="00E55AEF"/>
    <w:rsid w:val="00E567F7"/>
    <w:rsid w:val="00E976C1"/>
    <w:rsid w:val="00EA12E5"/>
    <w:rsid w:val="00EB0812"/>
    <w:rsid w:val="00EB54B2"/>
    <w:rsid w:val="00EB55C6"/>
    <w:rsid w:val="00EF1932"/>
    <w:rsid w:val="00EF71B6"/>
    <w:rsid w:val="00F02766"/>
    <w:rsid w:val="00F05BD4"/>
    <w:rsid w:val="00F06473"/>
    <w:rsid w:val="00F25F4C"/>
    <w:rsid w:val="00F320AA"/>
    <w:rsid w:val="00F6155B"/>
    <w:rsid w:val="00F63916"/>
    <w:rsid w:val="00F65C19"/>
    <w:rsid w:val="00F822B0"/>
    <w:rsid w:val="00F92B47"/>
    <w:rsid w:val="00FC0C31"/>
    <w:rsid w:val="00FD08E2"/>
    <w:rsid w:val="00FD18DA"/>
    <w:rsid w:val="00FD2546"/>
    <w:rsid w:val="00FD772E"/>
    <w:rsid w:val="00FE03DB"/>
    <w:rsid w:val="00FE4623"/>
    <w:rsid w:val="00FE6C68"/>
    <w:rsid w:val="00FE78C7"/>
    <w:rsid w:val="00FF43AC"/>
    <w:rsid w:val="00FF5EA8"/>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53079F2"/>
  <w15:docId w15:val="{E6966D8B-79D4-482D-9546-7B185F7586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w:eastAsia="Times New Roman" w:hAnsi="Times"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90B55"/>
    <w:pPr>
      <w:tabs>
        <w:tab w:val="left" w:pos="1134"/>
        <w:tab w:val="left" w:pos="1871"/>
        <w:tab w:val="left" w:pos="2268"/>
      </w:tabs>
      <w:overflowPunct w:val="0"/>
      <w:autoSpaceDE w:val="0"/>
      <w:autoSpaceDN w:val="0"/>
      <w:adjustRightInd w:val="0"/>
      <w:spacing w:before="120"/>
      <w:textAlignment w:val="baseline"/>
    </w:pPr>
    <w:rPr>
      <w:rFonts w:ascii="Times New Roman" w:hAnsi="Times New Roman"/>
      <w:sz w:val="24"/>
      <w:lang w:val="en-GB" w:eastAsia="en-US"/>
    </w:rPr>
  </w:style>
  <w:style w:type="paragraph" w:styleId="Heading1">
    <w:name w:val="heading 1"/>
    <w:basedOn w:val="Normal"/>
    <w:next w:val="Normal"/>
    <w:qFormat/>
    <w:pPr>
      <w:keepNext/>
      <w:keepLines/>
      <w:spacing w:before="280"/>
      <w:ind w:left="1134" w:hanging="1134"/>
      <w:outlineLvl w:val="0"/>
    </w:pPr>
    <w:rPr>
      <w:b/>
      <w:sz w:val="28"/>
    </w:rPr>
  </w:style>
  <w:style w:type="paragraph" w:styleId="Heading2">
    <w:name w:val="heading 2"/>
    <w:basedOn w:val="Heading1"/>
    <w:next w:val="Normal"/>
    <w:qFormat/>
    <w:pPr>
      <w:spacing w:before="200"/>
      <w:outlineLvl w:val="1"/>
    </w:pPr>
    <w:rPr>
      <w:sz w:val="24"/>
    </w:rPr>
  </w:style>
  <w:style w:type="paragraph" w:styleId="Heading3">
    <w:name w:val="heading 3"/>
    <w:basedOn w:val="Heading1"/>
    <w:next w:val="Normal"/>
    <w:qFormat/>
    <w:pPr>
      <w:tabs>
        <w:tab w:val="clear" w:pos="1134"/>
      </w:tabs>
      <w:spacing w:before="200"/>
      <w:outlineLvl w:val="2"/>
    </w:pPr>
    <w:rPr>
      <w:sz w:val="24"/>
    </w:rPr>
  </w:style>
  <w:style w:type="paragraph" w:styleId="Heading4">
    <w:name w:val="heading 4"/>
    <w:basedOn w:val="Heading3"/>
    <w:next w:val="Normal"/>
    <w:qFormat/>
    <w:pPr>
      <w:outlineLvl w:val="3"/>
    </w:pPr>
  </w:style>
  <w:style w:type="paragraph" w:styleId="Heading5">
    <w:name w:val="heading 5"/>
    <w:basedOn w:val="Heading4"/>
    <w:next w:val="Normal"/>
    <w:qFormat/>
    <w:pPr>
      <w:outlineLvl w:val="4"/>
    </w:pPr>
  </w:style>
  <w:style w:type="paragraph" w:styleId="Heading6">
    <w:name w:val="heading 6"/>
    <w:basedOn w:val="Heading4"/>
    <w:next w:val="Normal"/>
    <w:qFormat/>
    <w:pPr>
      <w:outlineLvl w:val="5"/>
    </w:pPr>
  </w:style>
  <w:style w:type="paragraph" w:styleId="Heading7">
    <w:name w:val="heading 7"/>
    <w:basedOn w:val="Heading6"/>
    <w:next w:val="Normal"/>
    <w:qFormat/>
    <w:pPr>
      <w:outlineLvl w:val="6"/>
    </w:pPr>
  </w:style>
  <w:style w:type="paragraph" w:styleId="Heading8">
    <w:name w:val="heading 8"/>
    <w:basedOn w:val="Heading6"/>
    <w:next w:val="Normal"/>
    <w:qFormat/>
    <w:pPr>
      <w:outlineLvl w:val="7"/>
    </w:pPr>
  </w:style>
  <w:style w:type="paragraph" w:styleId="Heading9">
    <w:name w:val="heading 9"/>
    <w:basedOn w:val="Heading6"/>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gendaitem">
    <w:name w:val="Agenda_item"/>
    <w:basedOn w:val="Normal"/>
    <w:next w:val="Normal"/>
    <w:qFormat/>
    <w:rsid w:val="00745AEE"/>
    <w:pPr>
      <w:overflowPunct/>
      <w:autoSpaceDE/>
      <w:autoSpaceDN/>
      <w:adjustRightInd/>
      <w:spacing w:before="240"/>
      <w:jc w:val="center"/>
      <w:textAlignment w:val="auto"/>
    </w:pPr>
    <w:rPr>
      <w:sz w:val="28"/>
      <w:lang w:val="es-ES_tradnl"/>
    </w:rPr>
  </w:style>
  <w:style w:type="paragraph" w:customStyle="1" w:styleId="AnnexNo">
    <w:name w:val="Annex_No"/>
    <w:basedOn w:val="Normal"/>
    <w:next w:val="Normal"/>
    <w:rsid w:val="00745AEE"/>
    <w:pPr>
      <w:keepNext/>
      <w:keepLines/>
      <w:spacing w:before="480" w:after="80"/>
      <w:jc w:val="center"/>
    </w:pPr>
    <w:rPr>
      <w:caps/>
      <w:sz w:val="28"/>
    </w:rPr>
  </w:style>
  <w:style w:type="paragraph" w:customStyle="1" w:styleId="Annexref">
    <w:name w:val="Annex_ref"/>
    <w:basedOn w:val="Normal"/>
    <w:next w:val="Normal"/>
    <w:rsid w:val="00745AEE"/>
    <w:pPr>
      <w:keepNext/>
      <w:keepLines/>
      <w:spacing w:after="280"/>
      <w:jc w:val="center"/>
    </w:pPr>
  </w:style>
  <w:style w:type="paragraph" w:customStyle="1" w:styleId="Annextitle">
    <w:name w:val="Annex_title"/>
    <w:basedOn w:val="Normal"/>
    <w:next w:val="Normal"/>
    <w:rsid w:val="00745AEE"/>
    <w:pPr>
      <w:keepNext/>
      <w:keepLines/>
      <w:spacing w:before="240" w:after="280"/>
      <w:jc w:val="center"/>
    </w:pPr>
    <w:rPr>
      <w:rFonts w:ascii="Times New Roman Bold" w:hAnsi="Times New Roman Bold"/>
      <w:b/>
      <w:sz w:val="28"/>
    </w:rPr>
  </w:style>
  <w:style w:type="character" w:customStyle="1" w:styleId="Appdef">
    <w:name w:val="App_def"/>
    <w:basedOn w:val="DefaultParagraphFont"/>
    <w:rsid w:val="00745AEE"/>
    <w:rPr>
      <w:rFonts w:ascii="Times New Roman" w:hAnsi="Times New Roman"/>
      <w:b/>
    </w:rPr>
  </w:style>
  <w:style w:type="character" w:customStyle="1" w:styleId="Appref">
    <w:name w:val="App_ref"/>
    <w:basedOn w:val="DefaultParagraphFont"/>
    <w:rsid w:val="00745AEE"/>
  </w:style>
  <w:style w:type="paragraph" w:customStyle="1" w:styleId="AppendixNo">
    <w:name w:val="Appendix_No"/>
    <w:basedOn w:val="AnnexNo"/>
    <w:next w:val="Annexref"/>
    <w:rsid w:val="00745AEE"/>
  </w:style>
  <w:style w:type="paragraph" w:customStyle="1" w:styleId="ApptoAnnex">
    <w:name w:val="App_to_Annex"/>
    <w:basedOn w:val="AppendixNo"/>
    <w:next w:val="Normal"/>
    <w:qFormat/>
    <w:rsid w:val="00745AEE"/>
  </w:style>
  <w:style w:type="paragraph" w:customStyle="1" w:styleId="Appendixref">
    <w:name w:val="Appendix_ref"/>
    <w:basedOn w:val="Annexref"/>
    <w:next w:val="Annextitle"/>
    <w:rsid w:val="00745AEE"/>
  </w:style>
  <w:style w:type="paragraph" w:customStyle="1" w:styleId="Appendixtitle">
    <w:name w:val="Appendix_title"/>
    <w:basedOn w:val="Annextitle"/>
    <w:next w:val="Normal"/>
    <w:rsid w:val="00745AEE"/>
  </w:style>
  <w:style w:type="character" w:customStyle="1" w:styleId="Artdef">
    <w:name w:val="Art_def"/>
    <w:basedOn w:val="DefaultParagraphFont"/>
    <w:rsid w:val="00745AEE"/>
    <w:rPr>
      <w:rFonts w:ascii="Times New Roman" w:hAnsi="Times New Roman"/>
      <w:b/>
    </w:rPr>
  </w:style>
  <w:style w:type="paragraph" w:customStyle="1" w:styleId="Artheading">
    <w:name w:val="Art_heading"/>
    <w:basedOn w:val="Normal"/>
    <w:next w:val="Normal"/>
    <w:rsid w:val="00745AEE"/>
    <w:pPr>
      <w:spacing w:before="480"/>
      <w:jc w:val="center"/>
    </w:pPr>
    <w:rPr>
      <w:rFonts w:ascii="Times New Roman Bold" w:hAnsi="Times New Roman Bold"/>
      <w:b/>
      <w:sz w:val="28"/>
    </w:rPr>
  </w:style>
  <w:style w:type="paragraph" w:customStyle="1" w:styleId="ArtNo">
    <w:name w:val="Art_No"/>
    <w:basedOn w:val="Normal"/>
    <w:next w:val="Normal"/>
    <w:rsid w:val="00745AEE"/>
    <w:pPr>
      <w:keepNext/>
      <w:keepLines/>
      <w:spacing w:before="480"/>
      <w:jc w:val="center"/>
    </w:pPr>
    <w:rPr>
      <w:caps/>
      <w:sz w:val="28"/>
    </w:rPr>
  </w:style>
  <w:style w:type="character" w:customStyle="1" w:styleId="Artref">
    <w:name w:val="Art_ref"/>
    <w:basedOn w:val="DefaultParagraphFont"/>
    <w:rsid w:val="00745AEE"/>
  </w:style>
  <w:style w:type="paragraph" w:customStyle="1" w:styleId="Arttitle">
    <w:name w:val="Art_title"/>
    <w:basedOn w:val="Normal"/>
    <w:next w:val="Normal"/>
    <w:rsid w:val="00745AEE"/>
    <w:pPr>
      <w:keepNext/>
      <w:keepLines/>
      <w:spacing w:before="240"/>
      <w:jc w:val="center"/>
    </w:pPr>
    <w:rPr>
      <w:b/>
      <w:sz w:val="28"/>
    </w:rPr>
  </w:style>
  <w:style w:type="paragraph" w:customStyle="1" w:styleId="Border">
    <w:name w:val="Border"/>
    <w:basedOn w:val="Normal"/>
    <w:rsid w:val="00745AEE"/>
    <w:pPr>
      <w:pBdr>
        <w:bottom w:val="single" w:sz="6" w:space="0" w:color="auto"/>
      </w:pBdr>
      <w:tabs>
        <w:tab w:val="clear" w:pos="1134"/>
        <w:tab w:val="clear" w:pos="2268"/>
        <w:tab w:val="left" w:pos="170"/>
        <w:tab w:val="left" w:pos="567"/>
        <w:tab w:val="left" w:pos="737"/>
        <w:tab w:val="left" w:pos="2977"/>
        <w:tab w:val="left" w:pos="3266"/>
      </w:tabs>
      <w:spacing w:before="0" w:line="10" w:lineRule="exact"/>
      <w:ind w:left="28" w:right="28"/>
      <w:jc w:val="center"/>
    </w:pPr>
    <w:rPr>
      <w:b/>
      <w:noProof/>
      <w:sz w:val="20"/>
    </w:rPr>
  </w:style>
  <w:style w:type="paragraph" w:customStyle="1" w:styleId="Call">
    <w:name w:val="Call"/>
    <w:basedOn w:val="Normal"/>
    <w:next w:val="Normal"/>
    <w:link w:val="CallChar"/>
    <w:qFormat/>
    <w:rsid w:val="00745AEE"/>
    <w:pPr>
      <w:keepNext/>
      <w:keepLines/>
      <w:spacing w:before="160"/>
      <w:ind w:left="1134"/>
    </w:pPr>
    <w:rPr>
      <w:i/>
    </w:rPr>
  </w:style>
  <w:style w:type="paragraph" w:customStyle="1" w:styleId="ChapNo">
    <w:name w:val="Chap_No"/>
    <w:basedOn w:val="ArtNo"/>
    <w:next w:val="Normal"/>
    <w:rsid w:val="00745AEE"/>
    <w:rPr>
      <w:rFonts w:ascii="Times New Roman Bold" w:hAnsi="Times New Roman Bold"/>
      <w:b/>
    </w:rPr>
  </w:style>
  <w:style w:type="paragraph" w:customStyle="1" w:styleId="Chaptitle">
    <w:name w:val="Chap_title"/>
    <w:basedOn w:val="Arttitle"/>
    <w:next w:val="Normal"/>
    <w:rsid w:val="00745AEE"/>
  </w:style>
  <w:style w:type="character" w:styleId="EndnoteReference">
    <w:name w:val="endnote reference"/>
    <w:basedOn w:val="DefaultParagraphFont"/>
    <w:rsid w:val="00745AEE"/>
    <w:rPr>
      <w:vertAlign w:val="superscript"/>
    </w:rPr>
  </w:style>
  <w:style w:type="paragraph" w:customStyle="1" w:styleId="enumlev1">
    <w:name w:val="enumlev1"/>
    <w:basedOn w:val="Normal"/>
    <w:rsid w:val="00745AEE"/>
    <w:pPr>
      <w:tabs>
        <w:tab w:val="clear" w:pos="2268"/>
        <w:tab w:val="left" w:pos="2608"/>
        <w:tab w:val="left" w:pos="3345"/>
      </w:tabs>
      <w:spacing w:before="80"/>
      <w:ind w:left="1134" w:hanging="1134"/>
    </w:pPr>
  </w:style>
  <w:style w:type="paragraph" w:customStyle="1" w:styleId="enumlev2">
    <w:name w:val="enumlev2"/>
    <w:basedOn w:val="enumlev1"/>
    <w:rsid w:val="00745AEE"/>
    <w:pPr>
      <w:ind w:left="1871" w:hanging="737"/>
    </w:pPr>
  </w:style>
  <w:style w:type="paragraph" w:customStyle="1" w:styleId="enumlev3">
    <w:name w:val="enumlev3"/>
    <w:basedOn w:val="enumlev2"/>
    <w:rsid w:val="00745AEE"/>
    <w:pPr>
      <w:ind w:left="2268" w:hanging="397"/>
    </w:pPr>
  </w:style>
  <w:style w:type="paragraph" w:customStyle="1" w:styleId="Equation">
    <w:name w:val="Equation"/>
    <w:basedOn w:val="Normal"/>
    <w:rsid w:val="00745AEE"/>
    <w:pPr>
      <w:tabs>
        <w:tab w:val="clear" w:pos="1871"/>
        <w:tab w:val="clear" w:pos="2268"/>
        <w:tab w:val="center" w:pos="4820"/>
        <w:tab w:val="right" w:pos="9639"/>
      </w:tabs>
    </w:pPr>
  </w:style>
  <w:style w:type="paragraph" w:customStyle="1" w:styleId="Equationlegend">
    <w:name w:val="Equation_legend"/>
    <w:basedOn w:val="NormalIndent"/>
    <w:rsid w:val="00745AEE"/>
    <w:pPr>
      <w:tabs>
        <w:tab w:val="clear" w:pos="1134"/>
        <w:tab w:val="clear" w:pos="2268"/>
        <w:tab w:val="right" w:pos="1871"/>
        <w:tab w:val="left" w:pos="2041"/>
      </w:tabs>
      <w:spacing w:before="80"/>
      <w:ind w:left="2041" w:hanging="2041"/>
    </w:pPr>
  </w:style>
  <w:style w:type="paragraph" w:styleId="NormalIndent">
    <w:name w:val="Normal Indent"/>
    <w:basedOn w:val="Normal"/>
    <w:rsid w:val="00190B55"/>
    <w:pPr>
      <w:ind w:left="1134"/>
    </w:pPr>
  </w:style>
  <w:style w:type="paragraph" w:customStyle="1" w:styleId="Figure">
    <w:name w:val="Figure"/>
    <w:basedOn w:val="Normal"/>
    <w:next w:val="Normal"/>
    <w:rsid w:val="00EB54B2"/>
    <w:pPr>
      <w:spacing w:after="240"/>
      <w:jc w:val="center"/>
    </w:pPr>
  </w:style>
  <w:style w:type="paragraph" w:customStyle="1" w:styleId="Figurelegend">
    <w:name w:val="Figure_legend"/>
    <w:basedOn w:val="Normal"/>
    <w:rsid w:val="00745AEE"/>
    <w:pPr>
      <w:keepNext/>
      <w:keepLines/>
      <w:spacing w:before="20" w:after="20"/>
    </w:pPr>
    <w:rPr>
      <w:sz w:val="18"/>
    </w:rPr>
  </w:style>
  <w:style w:type="paragraph" w:customStyle="1" w:styleId="FigureNo">
    <w:name w:val="Figure_No"/>
    <w:basedOn w:val="Normal"/>
    <w:next w:val="Normal"/>
    <w:rsid w:val="00745AEE"/>
    <w:pPr>
      <w:keepNext/>
      <w:keepLines/>
      <w:spacing w:before="480" w:after="120"/>
      <w:jc w:val="center"/>
    </w:pPr>
    <w:rPr>
      <w:caps/>
      <w:sz w:val="20"/>
    </w:rPr>
  </w:style>
  <w:style w:type="paragraph" w:customStyle="1" w:styleId="Figuretitle">
    <w:name w:val="Figure_title"/>
    <w:basedOn w:val="Normal"/>
    <w:next w:val="Normal"/>
    <w:rsid w:val="00EB54B2"/>
    <w:pPr>
      <w:keepNext/>
      <w:keepLines/>
      <w:spacing w:before="0" w:after="120"/>
      <w:jc w:val="center"/>
    </w:pPr>
    <w:rPr>
      <w:rFonts w:ascii="Times New Roman Bold" w:hAnsi="Times New Roman Bold"/>
      <w:b/>
      <w:sz w:val="20"/>
    </w:rPr>
  </w:style>
  <w:style w:type="paragraph" w:customStyle="1" w:styleId="Figurewithouttitle">
    <w:name w:val="Figure_without_title"/>
    <w:basedOn w:val="FigureNo"/>
    <w:next w:val="Normal"/>
    <w:rsid w:val="00745AEE"/>
    <w:pPr>
      <w:keepNext w:val="0"/>
    </w:pPr>
  </w:style>
  <w:style w:type="paragraph" w:styleId="Footer">
    <w:name w:val="footer"/>
    <w:basedOn w:val="Normal"/>
    <w:link w:val="FooterChar"/>
    <w:rsid w:val="00745AEE"/>
    <w:pPr>
      <w:tabs>
        <w:tab w:val="clear" w:pos="1134"/>
        <w:tab w:val="clear" w:pos="1871"/>
        <w:tab w:val="clear" w:pos="2268"/>
        <w:tab w:val="left" w:pos="5954"/>
        <w:tab w:val="right" w:pos="9639"/>
      </w:tabs>
      <w:spacing w:before="0"/>
    </w:pPr>
    <w:rPr>
      <w:caps/>
      <w:noProof/>
      <w:sz w:val="16"/>
    </w:rPr>
  </w:style>
  <w:style w:type="character" w:customStyle="1" w:styleId="FooterChar">
    <w:name w:val="Footer Char"/>
    <w:basedOn w:val="DefaultParagraphFont"/>
    <w:link w:val="Footer"/>
    <w:rsid w:val="00745AEE"/>
    <w:rPr>
      <w:rFonts w:ascii="Times New Roman" w:hAnsi="Times New Roman"/>
      <w:caps/>
      <w:noProof/>
      <w:sz w:val="16"/>
      <w:lang w:val="en-GB" w:eastAsia="en-US"/>
    </w:rPr>
  </w:style>
  <w:style w:type="paragraph" w:customStyle="1" w:styleId="FirstFooter">
    <w:name w:val="FirstFooter"/>
    <w:basedOn w:val="Footer"/>
    <w:rsid w:val="00745AEE"/>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basedOn w:val="DefaultParagraphFont"/>
    <w:rsid w:val="00745AEE"/>
    <w:rPr>
      <w:position w:val="6"/>
      <w:sz w:val="18"/>
    </w:rPr>
  </w:style>
  <w:style w:type="paragraph" w:styleId="FootnoteText">
    <w:name w:val="footnote text"/>
    <w:basedOn w:val="Normal"/>
    <w:link w:val="FootnoteTextChar"/>
    <w:rsid w:val="00745AEE"/>
    <w:pPr>
      <w:keepLines/>
      <w:tabs>
        <w:tab w:val="left" w:pos="255"/>
      </w:tabs>
    </w:pPr>
  </w:style>
  <w:style w:type="character" w:customStyle="1" w:styleId="FootnoteTextChar">
    <w:name w:val="Footnote Text Char"/>
    <w:basedOn w:val="DefaultParagraphFont"/>
    <w:link w:val="FootnoteText"/>
    <w:rsid w:val="00745AEE"/>
    <w:rPr>
      <w:rFonts w:ascii="Times New Roman" w:hAnsi="Times New Roman"/>
      <w:sz w:val="24"/>
      <w:lang w:val="en-GB" w:eastAsia="en-US"/>
    </w:rPr>
  </w:style>
  <w:style w:type="paragraph" w:styleId="Header">
    <w:name w:val="header"/>
    <w:basedOn w:val="Normal"/>
    <w:link w:val="HeaderChar"/>
    <w:rsid w:val="00745AEE"/>
    <w:pPr>
      <w:spacing w:before="0"/>
      <w:jc w:val="center"/>
    </w:pPr>
    <w:rPr>
      <w:sz w:val="18"/>
    </w:rPr>
  </w:style>
  <w:style w:type="character" w:customStyle="1" w:styleId="HeaderChar">
    <w:name w:val="Header Char"/>
    <w:basedOn w:val="DefaultParagraphFont"/>
    <w:link w:val="Header"/>
    <w:rsid w:val="00745AEE"/>
    <w:rPr>
      <w:rFonts w:ascii="Times New Roman" w:hAnsi="Times New Roman"/>
      <w:sz w:val="18"/>
      <w:lang w:val="en-GB" w:eastAsia="en-US"/>
    </w:rPr>
  </w:style>
  <w:style w:type="paragraph" w:customStyle="1" w:styleId="Normalaftertitle">
    <w:name w:val="Normal after title"/>
    <w:basedOn w:val="Normal"/>
    <w:next w:val="Normal"/>
    <w:link w:val="NormalaftertitleChar"/>
    <w:qFormat/>
    <w:rsid w:val="00190B55"/>
    <w:pPr>
      <w:spacing w:before="280"/>
    </w:pPr>
  </w:style>
  <w:style w:type="paragraph" w:customStyle="1" w:styleId="Section1">
    <w:name w:val="Section_1"/>
    <w:basedOn w:val="Normal"/>
    <w:rsid w:val="00190B55"/>
    <w:pPr>
      <w:tabs>
        <w:tab w:val="clear" w:pos="1134"/>
        <w:tab w:val="clear" w:pos="1871"/>
        <w:tab w:val="clear" w:pos="2268"/>
        <w:tab w:val="center" w:pos="4820"/>
      </w:tabs>
      <w:spacing w:before="360"/>
      <w:jc w:val="center"/>
    </w:pPr>
    <w:rPr>
      <w:b/>
    </w:rPr>
  </w:style>
  <w:style w:type="paragraph" w:customStyle="1" w:styleId="Section2">
    <w:name w:val="Section_2"/>
    <w:basedOn w:val="Section1"/>
    <w:rsid w:val="00190B55"/>
    <w:rPr>
      <w:b w:val="0"/>
      <w:i/>
    </w:rPr>
  </w:style>
  <w:style w:type="paragraph" w:customStyle="1" w:styleId="Section3">
    <w:name w:val="Section_3"/>
    <w:basedOn w:val="Section1"/>
    <w:rsid w:val="00190B55"/>
    <w:rPr>
      <w:b w:val="0"/>
    </w:rPr>
  </w:style>
  <w:style w:type="paragraph" w:customStyle="1" w:styleId="SectionNo">
    <w:name w:val="Section_No"/>
    <w:basedOn w:val="AnnexNo"/>
    <w:next w:val="Normal"/>
    <w:rsid w:val="00190B55"/>
  </w:style>
  <w:style w:type="paragraph" w:customStyle="1" w:styleId="Sectiontitle">
    <w:name w:val="Section_title"/>
    <w:basedOn w:val="Annextitle"/>
    <w:next w:val="Normalaftertitle"/>
    <w:rsid w:val="00190B55"/>
  </w:style>
  <w:style w:type="paragraph" w:customStyle="1" w:styleId="Source">
    <w:name w:val="Source"/>
    <w:basedOn w:val="Normal"/>
    <w:next w:val="Normal"/>
    <w:rsid w:val="00190B55"/>
    <w:pPr>
      <w:spacing w:before="840"/>
      <w:jc w:val="center"/>
    </w:pPr>
    <w:rPr>
      <w:b/>
      <w:sz w:val="28"/>
    </w:rPr>
  </w:style>
  <w:style w:type="paragraph" w:customStyle="1" w:styleId="SpecialFooter">
    <w:name w:val="Special Footer"/>
    <w:basedOn w:val="Footer"/>
    <w:rsid w:val="00190B55"/>
    <w:pPr>
      <w:tabs>
        <w:tab w:val="left" w:pos="567"/>
        <w:tab w:val="left" w:pos="1134"/>
        <w:tab w:val="left" w:pos="1701"/>
        <w:tab w:val="left" w:pos="2268"/>
        <w:tab w:val="left" w:pos="2835"/>
      </w:tabs>
      <w:jc w:val="both"/>
    </w:pPr>
    <w:rPr>
      <w:caps w:val="0"/>
      <w:noProof w:val="0"/>
    </w:rPr>
  </w:style>
  <w:style w:type="paragraph" w:customStyle="1" w:styleId="Subsection1">
    <w:name w:val="Subsection_1"/>
    <w:basedOn w:val="Section1"/>
    <w:next w:val="Normalaftertitle"/>
    <w:qFormat/>
    <w:rsid w:val="00190B55"/>
  </w:style>
  <w:style w:type="character" w:customStyle="1" w:styleId="Tablefreq">
    <w:name w:val="Table_freq"/>
    <w:basedOn w:val="DefaultParagraphFont"/>
    <w:rsid w:val="00190B55"/>
    <w:rPr>
      <w:b/>
      <w:color w:val="auto"/>
      <w:sz w:val="20"/>
    </w:rPr>
  </w:style>
  <w:style w:type="paragraph" w:customStyle="1" w:styleId="Tablehead">
    <w:name w:val="Table_head"/>
    <w:basedOn w:val="Normal"/>
    <w:rsid w:val="00FD772E"/>
    <w:pPr>
      <w:keepNext/>
      <w:spacing w:before="80" w:after="80"/>
      <w:jc w:val="center"/>
    </w:pPr>
    <w:rPr>
      <w:rFonts w:ascii="Times New Roman Bold" w:hAnsi="Times New Roman Bold" w:cs="Times New Roman Bold"/>
      <w:b/>
      <w:sz w:val="20"/>
    </w:rPr>
  </w:style>
  <w:style w:type="paragraph" w:customStyle="1" w:styleId="Tablelegend">
    <w:name w:val="Table_legend"/>
    <w:basedOn w:val="Tabletext"/>
    <w:rsid w:val="00EB54B2"/>
    <w:rPr>
      <w:sz w:val="18"/>
    </w:rPr>
  </w:style>
  <w:style w:type="paragraph" w:customStyle="1" w:styleId="TableNo">
    <w:name w:val="Table_No"/>
    <w:basedOn w:val="Normal"/>
    <w:next w:val="Normal"/>
    <w:rsid w:val="001D058F"/>
    <w:pPr>
      <w:keepNext/>
      <w:spacing w:before="560" w:after="120"/>
      <w:jc w:val="center"/>
    </w:pPr>
    <w:rPr>
      <w:caps/>
      <w:sz w:val="20"/>
    </w:rPr>
  </w:style>
  <w:style w:type="paragraph" w:customStyle="1" w:styleId="Tableref">
    <w:name w:val="Table_ref"/>
    <w:basedOn w:val="Normal"/>
    <w:next w:val="Normal"/>
    <w:rsid w:val="00190B55"/>
    <w:pPr>
      <w:keepNext/>
      <w:spacing w:before="560"/>
      <w:jc w:val="center"/>
    </w:pPr>
    <w:rPr>
      <w:sz w:val="20"/>
    </w:rPr>
  </w:style>
  <w:style w:type="paragraph" w:customStyle="1" w:styleId="Normalend">
    <w:name w:val="Normal_end"/>
    <w:basedOn w:val="Normal"/>
    <w:next w:val="Normal"/>
    <w:qFormat/>
    <w:rsid w:val="00D801ED"/>
    <w:rPr>
      <w:lang w:val="en-US"/>
    </w:rPr>
  </w:style>
  <w:style w:type="paragraph" w:customStyle="1" w:styleId="Proposal">
    <w:name w:val="Proposal"/>
    <w:basedOn w:val="Normal"/>
    <w:next w:val="Normal"/>
    <w:rsid w:val="00241FA2"/>
    <w:pPr>
      <w:keepNext/>
      <w:spacing w:before="240"/>
    </w:pPr>
    <w:rPr>
      <w:rFonts w:hAnsi="Times New Roman Bold"/>
      <w:b/>
    </w:rPr>
  </w:style>
  <w:style w:type="paragraph" w:customStyle="1" w:styleId="Reasons">
    <w:name w:val="Reasons"/>
    <w:basedOn w:val="Normal"/>
    <w:link w:val="ReasonsChar"/>
    <w:qFormat/>
    <w:rsid w:val="00DE5692"/>
    <w:pPr>
      <w:tabs>
        <w:tab w:val="clear" w:pos="1871"/>
        <w:tab w:val="clear" w:pos="2268"/>
        <w:tab w:val="left" w:pos="1588"/>
        <w:tab w:val="left" w:pos="1985"/>
      </w:tabs>
    </w:pPr>
  </w:style>
  <w:style w:type="paragraph" w:customStyle="1" w:styleId="Questiondate">
    <w:name w:val="Question_date"/>
    <w:basedOn w:val="Normal"/>
    <w:next w:val="Normalaftertitle"/>
    <w:rsid w:val="004969AD"/>
    <w:pPr>
      <w:keepNext/>
      <w:keepLines/>
      <w:jc w:val="right"/>
    </w:pPr>
    <w:rPr>
      <w:sz w:val="22"/>
    </w:rPr>
  </w:style>
  <w:style w:type="paragraph" w:customStyle="1" w:styleId="QuestionNo">
    <w:name w:val="Question_No"/>
    <w:basedOn w:val="Normal"/>
    <w:next w:val="Normal"/>
    <w:rsid w:val="004969AD"/>
    <w:pPr>
      <w:keepNext/>
      <w:keepLines/>
      <w:spacing w:before="480"/>
      <w:jc w:val="center"/>
    </w:pPr>
    <w:rPr>
      <w:caps/>
      <w:sz w:val="28"/>
    </w:rPr>
  </w:style>
  <w:style w:type="paragraph" w:customStyle="1" w:styleId="Questiontitle">
    <w:name w:val="Question_title"/>
    <w:basedOn w:val="Normal"/>
    <w:next w:val="Normal"/>
    <w:rsid w:val="00A54C25"/>
    <w:pPr>
      <w:keepNext/>
      <w:keepLines/>
      <w:spacing w:before="240"/>
      <w:jc w:val="center"/>
    </w:pPr>
    <w:rPr>
      <w:rFonts w:ascii="Times New Roman Bold" w:hAnsi="Times New Roman Bold"/>
      <w:b/>
      <w:sz w:val="28"/>
    </w:rPr>
  </w:style>
  <w:style w:type="paragraph" w:styleId="TOC1">
    <w:name w:val="toc 1"/>
    <w:basedOn w:val="Normal"/>
    <w:rsid w:val="001D058F"/>
    <w:pPr>
      <w:keepLines/>
      <w:tabs>
        <w:tab w:val="clear" w:pos="1134"/>
        <w:tab w:val="clear" w:pos="1871"/>
        <w:tab w:val="clear" w:pos="2268"/>
        <w:tab w:val="left" w:pos="567"/>
        <w:tab w:val="left" w:leader="dot" w:pos="7938"/>
        <w:tab w:val="center" w:pos="9526"/>
      </w:tabs>
      <w:spacing w:before="240"/>
      <w:ind w:left="567" w:hanging="567"/>
    </w:pPr>
  </w:style>
  <w:style w:type="paragraph" w:styleId="TOC2">
    <w:name w:val="toc 2"/>
    <w:basedOn w:val="TOC1"/>
    <w:rsid w:val="001D058F"/>
    <w:pPr>
      <w:spacing w:before="120"/>
    </w:pPr>
  </w:style>
  <w:style w:type="paragraph" w:styleId="TOC3">
    <w:name w:val="toc 3"/>
    <w:basedOn w:val="TOC2"/>
    <w:rsid w:val="001D058F"/>
  </w:style>
  <w:style w:type="paragraph" w:styleId="TOC4">
    <w:name w:val="toc 4"/>
    <w:basedOn w:val="TOC3"/>
    <w:rsid w:val="001D058F"/>
  </w:style>
  <w:style w:type="paragraph" w:styleId="TOC5">
    <w:name w:val="toc 5"/>
    <w:basedOn w:val="TOC4"/>
    <w:rsid w:val="001D058F"/>
  </w:style>
  <w:style w:type="paragraph" w:styleId="TOC6">
    <w:name w:val="toc 6"/>
    <w:basedOn w:val="TOC4"/>
    <w:rsid w:val="001D058F"/>
  </w:style>
  <w:style w:type="paragraph" w:styleId="TOC7">
    <w:name w:val="toc 7"/>
    <w:basedOn w:val="TOC4"/>
    <w:rsid w:val="001D058F"/>
  </w:style>
  <w:style w:type="paragraph" w:styleId="TOC8">
    <w:name w:val="toc 8"/>
    <w:basedOn w:val="TOC4"/>
    <w:rsid w:val="001D058F"/>
  </w:style>
  <w:style w:type="paragraph" w:customStyle="1" w:styleId="Title1">
    <w:name w:val="Title 1"/>
    <w:basedOn w:val="Source"/>
    <w:next w:val="Normal"/>
    <w:rsid w:val="001D058F"/>
    <w:pPr>
      <w:tabs>
        <w:tab w:val="left" w:pos="567"/>
        <w:tab w:val="left" w:pos="1701"/>
        <w:tab w:val="left" w:pos="2835"/>
      </w:tabs>
      <w:spacing w:before="240"/>
    </w:pPr>
    <w:rPr>
      <w:b w:val="0"/>
      <w:caps/>
    </w:rPr>
  </w:style>
  <w:style w:type="paragraph" w:customStyle="1" w:styleId="Title2">
    <w:name w:val="Title 2"/>
    <w:basedOn w:val="Source"/>
    <w:next w:val="Normal"/>
    <w:rsid w:val="001D058F"/>
    <w:pPr>
      <w:overflowPunct/>
      <w:autoSpaceDE/>
      <w:autoSpaceDN/>
      <w:adjustRightInd/>
      <w:spacing w:before="480"/>
      <w:textAlignment w:val="auto"/>
    </w:pPr>
    <w:rPr>
      <w:b w:val="0"/>
      <w:caps/>
    </w:rPr>
  </w:style>
  <w:style w:type="paragraph" w:customStyle="1" w:styleId="Title3">
    <w:name w:val="Title 3"/>
    <w:basedOn w:val="Title2"/>
    <w:next w:val="Normal"/>
    <w:rsid w:val="001D058F"/>
    <w:pPr>
      <w:spacing w:before="240"/>
    </w:pPr>
    <w:rPr>
      <w:caps w:val="0"/>
    </w:rPr>
  </w:style>
  <w:style w:type="paragraph" w:customStyle="1" w:styleId="Title4">
    <w:name w:val="Title 4"/>
    <w:basedOn w:val="Title3"/>
    <w:next w:val="Heading1"/>
    <w:rsid w:val="001D058F"/>
    <w:rPr>
      <w:b/>
    </w:rPr>
  </w:style>
  <w:style w:type="paragraph" w:customStyle="1" w:styleId="Tabletext">
    <w:name w:val="Table_text"/>
    <w:basedOn w:val="Normal"/>
    <w:rsid w:val="001D058F"/>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pPr>
    <w:rPr>
      <w:sz w:val="20"/>
    </w:rPr>
  </w:style>
  <w:style w:type="paragraph" w:customStyle="1" w:styleId="Tabletitle">
    <w:name w:val="Table_title"/>
    <w:basedOn w:val="Normal"/>
    <w:next w:val="Tabletext"/>
    <w:rsid w:val="001D058F"/>
    <w:pPr>
      <w:keepNext/>
      <w:keepLines/>
      <w:spacing w:before="0" w:after="120"/>
      <w:jc w:val="center"/>
    </w:pPr>
    <w:rPr>
      <w:rFonts w:ascii="Times New Roman Bold" w:hAnsi="Times New Roman Bold"/>
      <w:b/>
      <w:sz w:val="20"/>
    </w:rPr>
  </w:style>
  <w:style w:type="paragraph" w:customStyle="1" w:styleId="Headingi">
    <w:name w:val="Heading_i"/>
    <w:basedOn w:val="Normal"/>
    <w:next w:val="Normal"/>
    <w:qFormat/>
    <w:rsid w:val="00EA12E5"/>
    <w:pPr>
      <w:spacing w:before="160"/>
    </w:pPr>
    <w:rPr>
      <w:i/>
    </w:rPr>
  </w:style>
  <w:style w:type="paragraph" w:customStyle="1" w:styleId="Headingb">
    <w:name w:val="Heading_b"/>
    <w:basedOn w:val="Normal"/>
    <w:next w:val="Normal"/>
    <w:link w:val="HeadingbChar"/>
    <w:uiPriority w:val="99"/>
    <w:qFormat/>
    <w:rsid w:val="00EB54B2"/>
    <w:pPr>
      <w:keepNext/>
      <w:spacing w:before="160"/>
    </w:pPr>
    <w:rPr>
      <w:rFonts w:ascii="Times New Roman Bold" w:hAnsi="Times New Roman Bold" w:cs="Times New Roman Bold"/>
      <w:b/>
      <w:lang w:val="fr-CH"/>
    </w:rPr>
  </w:style>
  <w:style w:type="paragraph" w:customStyle="1" w:styleId="Note">
    <w:name w:val="Note"/>
    <w:basedOn w:val="Normal"/>
    <w:next w:val="Normal"/>
    <w:rsid w:val="00FD772E"/>
    <w:pPr>
      <w:tabs>
        <w:tab w:val="left" w:pos="284"/>
      </w:tabs>
      <w:spacing w:before="80"/>
    </w:pPr>
  </w:style>
  <w:style w:type="paragraph" w:customStyle="1" w:styleId="Part1">
    <w:name w:val="Part_1"/>
    <w:basedOn w:val="Section1"/>
    <w:next w:val="Section1"/>
    <w:qFormat/>
    <w:rsid w:val="00DE2AC3"/>
  </w:style>
  <w:style w:type="paragraph" w:customStyle="1" w:styleId="PartNo">
    <w:name w:val="Part_No"/>
    <w:basedOn w:val="AnnexNo"/>
    <w:next w:val="Normal"/>
    <w:rsid w:val="00DE2AC3"/>
  </w:style>
  <w:style w:type="paragraph" w:customStyle="1" w:styleId="Partref">
    <w:name w:val="Part_ref"/>
    <w:basedOn w:val="Annexref"/>
    <w:next w:val="Normal"/>
    <w:rsid w:val="00DE2AC3"/>
  </w:style>
  <w:style w:type="paragraph" w:customStyle="1" w:styleId="Parttitle">
    <w:name w:val="Part_title"/>
    <w:basedOn w:val="Annextitle"/>
    <w:next w:val="Normalaftertitle"/>
    <w:rsid w:val="00DE2AC3"/>
  </w:style>
  <w:style w:type="paragraph" w:customStyle="1" w:styleId="Recdate">
    <w:name w:val="Rec_date"/>
    <w:basedOn w:val="Normal"/>
    <w:next w:val="Normalaftertitle"/>
    <w:rsid w:val="00DE2AC3"/>
    <w:pPr>
      <w:keepNext/>
      <w:keepLines/>
      <w:jc w:val="right"/>
    </w:pPr>
    <w:rPr>
      <w:sz w:val="22"/>
    </w:rPr>
  </w:style>
  <w:style w:type="paragraph" w:customStyle="1" w:styleId="RecNo">
    <w:name w:val="Rec_No"/>
    <w:basedOn w:val="Normal"/>
    <w:next w:val="Normal"/>
    <w:rsid w:val="00DE2AC3"/>
    <w:pPr>
      <w:keepNext/>
      <w:keepLines/>
      <w:spacing w:before="480"/>
      <w:jc w:val="center"/>
    </w:pPr>
    <w:rPr>
      <w:caps/>
      <w:sz w:val="28"/>
    </w:rPr>
  </w:style>
  <w:style w:type="paragraph" w:customStyle="1" w:styleId="Rectitle">
    <w:name w:val="Rec_title"/>
    <w:basedOn w:val="RecNo"/>
    <w:next w:val="Normal"/>
    <w:rsid w:val="00DE2AC3"/>
    <w:pPr>
      <w:spacing w:before="240"/>
    </w:pPr>
    <w:rPr>
      <w:rFonts w:ascii="Times New Roman Bold" w:hAnsi="Times New Roman Bold"/>
      <w:b/>
      <w:caps w:val="0"/>
    </w:rPr>
  </w:style>
  <w:style w:type="paragraph" w:customStyle="1" w:styleId="ResNo">
    <w:name w:val="Res_No"/>
    <w:basedOn w:val="RecNo"/>
    <w:next w:val="Normal"/>
    <w:rsid w:val="00DE2AC3"/>
  </w:style>
  <w:style w:type="paragraph" w:customStyle="1" w:styleId="Restitle">
    <w:name w:val="Res_title"/>
    <w:basedOn w:val="Rectitle"/>
    <w:next w:val="Normal"/>
    <w:rsid w:val="00DE2AC3"/>
  </w:style>
  <w:style w:type="paragraph" w:customStyle="1" w:styleId="AppArtNo">
    <w:name w:val="App_Art_No"/>
    <w:basedOn w:val="ArtNo"/>
    <w:qFormat/>
    <w:rsid w:val="006E3D45"/>
  </w:style>
  <w:style w:type="paragraph" w:customStyle="1" w:styleId="AppArttitle">
    <w:name w:val="App_Art_title"/>
    <w:basedOn w:val="Arttitle"/>
    <w:qFormat/>
    <w:rsid w:val="00A066F1"/>
  </w:style>
  <w:style w:type="paragraph" w:customStyle="1" w:styleId="Committee">
    <w:name w:val="Committee"/>
    <w:basedOn w:val="Normal"/>
    <w:qFormat/>
    <w:rsid w:val="00DF4BC6"/>
    <w:pPr>
      <w:framePr w:hSpace="180" w:wrap="around" w:hAnchor="margin" w:y="-675"/>
      <w:tabs>
        <w:tab w:val="left" w:pos="851"/>
      </w:tabs>
      <w:spacing w:before="0" w:line="240" w:lineRule="atLeast"/>
    </w:pPr>
    <w:rPr>
      <w:rFonts w:cstheme="minorHAnsi"/>
      <w:b/>
      <w:szCs w:val="24"/>
    </w:rPr>
  </w:style>
  <w:style w:type="paragraph" w:customStyle="1" w:styleId="Volumetitle">
    <w:name w:val="Volume_title"/>
    <w:basedOn w:val="Normal"/>
    <w:qFormat/>
    <w:rsid w:val="003E0DB6"/>
    <w:pPr>
      <w:jc w:val="center"/>
    </w:pPr>
    <w:rPr>
      <w:b/>
      <w:bCs/>
      <w:sz w:val="28"/>
      <w:szCs w:val="28"/>
    </w:rPr>
  </w:style>
  <w:style w:type="paragraph" w:styleId="BalloonText">
    <w:name w:val="Balloon Text"/>
    <w:basedOn w:val="Normal"/>
    <w:link w:val="BalloonTextChar"/>
    <w:semiHidden/>
    <w:unhideWhenUsed/>
    <w:rsid w:val="00202756"/>
    <w:pPr>
      <w:spacing w:before="0"/>
    </w:pPr>
    <w:rPr>
      <w:rFonts w:ascii="Segoe UI" w:hAnsi="Segoe UI" w:cs="Segoe UI"/>
      <w:sz w:val="18"/>
      <w:szCs w:val="18"/>
    </w:rPr>
  </w:style>
  <w:style w:type="character" w:customStyle="1" w:styleId="BalloonTextChar">
    <w:name w:val="Balloon Text Char"/>
    <w:basedOn w:val="DefaultParagraphFont"/>
    <w:link w:val="BalloonText"/>
    <w:semiHidden/>
    <w:rsid w:val="00202756"/>
    <w:rPr>
      <w:rFonts w:ascii="Segoe UI" w:hAnsi="Segoe UI" w:cs="Segoe UI"/>
      <w:sz w:val="18"/>
      <w:szCs w:val="18"/>
      <w:lang w:val="en-GB" w:eastAsia="en-US"/>
    </w:rPr>
  </w:style>
  <w:style w:type="paragraph" w:customStyle="1" w:styleId="Tablesplit">
    <w:name w:val="Table_split"/>
    <w:basedOn w:val="Tabletext"/>
    <w:qFormat/>
    <w:rsid w:val="00CA3DFC"/>
    <w:pPr>
      <w:keepNext/>
      <w:tabs>
        <w:tab w:val="clear" w:pos="284"/>
        <w:tab w:val="clear" w:pos="567"/>
        <w:tab w:val="clear" w:pos="851"/>
        <w:tab w:val="clear" w:pos="1134"/>
        <w:tab w:val="clear" w:pos="1418"/>
        <w:tab w:val="clear" w:pos="1701"/>
        <w:tab w:val="clear" w:pos="1871"/>
        <w:tab w:val="clear" w:pos="1985"/>
        <w:tab w:val="clear" w:pos="2268"/>
        <w:tab w:val="clear" w:pos="2552"/>
        <w:tab w:val="clear" w:pos="2835"/>
        <w:tab w:val="clear" w:pos="3119"/>
        <w:tab w:val="clear" w:pos="3402"/>
        <w:tab w:val="clear" w:pos="3686"/>
        <w:tab w:val="clear" w:pos="3969"/>
        <w:tab w:val="left" w:pos="1409"/>
        <w:tab w:val="left" w:pos="2237"/>
        <w:tab w:val="left" w:pos="2828"/>
        <w:tab w:val="left" w:pos="4604"/>
        <w:tab w:val="left" w:pos="6023"/>
        <w:tab w:val="left" w:pos="6732"/>
        <w:tab w:val="left" w:pos="7323"/>
        <w:tab w:val="left" w:pos="7914"/>
      </w:tabs>
      <w:ind w:left="108" w:right="-113"/>
    </w:pPr>
    <w:rPr>
      <w:b/>
    </w:rPr>
  </w:style>
  <w:style w:type="character" w:customStyle="1" w:styleId="Provsplit">
    <w:name w:val="Prov_split"/>
    <w:basedOn w:val="DefaultParagraphFont"/>
    <w:qFormat/>
    <w:rsid w:val="00CA3DFC"/>
    <w:rPr>
      <w:rFonts w:ascii="Times New Roman" w:hAnsi="Times New Roman"/>
      <w:b w:val="0"/>
    </w:rPr>
  </w:style>
  <w:style w:type="paragraph" w:customStyle="1" w:styleId="Normalsplit">
    <w:name w:val="Normal_split"/>
    <w:basedOn w:val="Normal"/>
    <w:qFormat/>
    <w:rsid w:val="00CA3DFC"/>
  </w:style>
  <w:style w:type="paragraph" w:customStyle="1" w:styleId="Headingsplit">
    <w:name w:val="Heading_split"/>
    <w:basedOn w:val="Headingi"/>
    <w:qFormat/>
    <w:rsid w:val="00CA3DFC"/>
    <w:rPr>
      <w:lang w:val="en-US"/>
    </w:rPr>
  </w:style>
  <w:style w:type="paragraph" w:customStyle="1" w:styleId="MethodHeadingb">
    <w:name w:val="Method_Headingb"/>
    <w:basedOn w:val="Headingb"/>
    <w:qFormat/>
    <w:rsid w:val="00EB54B2"/>
    <w:pPr>
      <w:tabs>
        <w:tab w:val="clear" w:pos="1134"/>
        <w:tab w:val="clear" w:pos="1871"/>
        <w:tab w:val="clear" w:pos="2268"/>
      </w:tabs>
      <w:overflowPunct/>
      <w:autoSpaceDE/>
      <w:autoSpaceDN/>
      <w:adjustRightInd/>
      <w:textAlignment w:val="auto"/>
    </w:pPr>
  </w:style>
  <w:style w:type="paragraph" w:customStyle="1" w:styleId="Methodheading1">
    <w:name w:val="Method_heading1"/>
    <w:basedOn w:val="Heading1"/>
    <w:next w:val="Normal"/>
    <w:qFormat/>
    <w:rsid w:val="00EF71B6"/>
  </w:style>
  <w:style w:type="paragraph" w:customStyle="1" w:styleId="Methodheading2">
    <w:name w:val="Method_heading2"/>
    <w:basedOn w:val="Heading2"/>
    <w:next w:val="Normal"/>
    <w:qFormat/>
    <w:rsid w:val="00EF71B6"/>
  </w:style>
  <w:style w:type="paragraph" w:customStyle="1" w:styleId="Methodheading3">
    <w:name w:val="Method_heading3"/>
    <w:basedOn w:val="Heading3"/>
    <w:next w:val="Normal"/>
    <w:qFormat/>
    <w:rsid w:val="00EF71B6"/>
  </w:style>
  <w:style w:type="paragraph" w:customStyle="1" w:styleId="Methodheading4">
    <w:name w:val="Method_heading4"/>
    <w:basedOn w:val="Heading4"/>
    <w:next w:val="Normal"/>
    <w:qFormat/>
    <w:rsid w:val="00EF71B6"/>
  </w:style>
  <w:style w:type="paragraph" w:customStyle="1" w:styleId="TableTextS5">
    <w:name w:val="Table_TextS5"/>
    <w:basedOn w:val="Normal"/>
    <w:rsid w:val="00C82695"/>
    <w:pPr>
      <w:tabs>
        <w:tab w:val="clear" w:pos="1134"/>
        <w:tab w:val="clear" w:pos="1871"/>
        <w:tab w:val="clear" w:pos="2268"/>
        <w:tab w:val="left" w:pos="170"/>
        <w:tab w:val="left" w:pos="567"/>
        <w:tab w:val="left" w:pos="737"/>
        <w:tab w:val="left" w:pos="2977"/>
        <w:tab w:val="left" w:pos="3266"/>
      </w:tabs>
      <w:spacing w:before="40" w:after="40"/>
      <w:ind w:left="170" w:hanging="170"/>
    </w:pPr>
    <w:rPr>
      <w:sz w:val="20"/>
    </w:rPr>
  </w:style>
  <w:style w:type="paragraph" w:customStyle="1" w:styleId="Tablefin">
    <w:name w:val="Table_fin"/>
    <w:basedOn w:val="Tabletext"/>
    <w:qFormat/>
    <w:rsid w:val="00F822B0"/>
    <w:pPr>
      <w:spacing w:before="0" w:after="0"/>
    </w:pPr>
  </w:style>
  <w:style w:type="paragraph" w:customStyle="1" w:styleId="EditorsNote">
    <w:name w:val="EditorsNote"/>
    <w:basedOn w:val="Normal"/>
    <w:qFormat/>
    <w:rsid w:val="00EB54B2"/>
    <w:pPr>
      <w:spacing w:before="240" w:after="240"/>
    </w:pPr>
    <w:rPr>
      <w:i/>
    </w:rPr>
  </w:style>
  <w:style w:type="character" w:styleId="Hyperlink">
    <w:name w:val="Hyperlink"/>
    <w:basedOn w:val="DefaultParagraphFont"/>
    <w:uiPriority w:val="99"/>
    <w:semiHidden/>
    <w:unhideWhenUsed/>
    <w:rPr>
      <w:color w:val="0000FF" w:themeColor="hyperlink"/>
      <w:u w:val="single"/>
    </w:rPr>
  </w:style>
  <w:style w:type="character" w:customStyle="1" w:styleId="HeadingbChar">
    <w:name w:val="Heading_b Char"/>
    <w:link w:val="Headingb"/>
    <w:uiPriority w:val="99"/>
    <w:qFormat/>
    <w:locked/>
    <w:rsid w:val="00226BED"/>
    <w:rPr>
      <w:rFonts w:ascii="Times New Roman Bold" w:hAnsi="Times New Roman Bold" w:cs="Times New Roman Bold"/>
      <w:b/>
      <w:sz w:val="24"/>
      <w:lang w:val="fr-CH" w:eastAsia="en-US"/>
    </w:rPr>
  </w:style>
  <w:style w:type="character" w:customStyle="1" w:styleId="NormalaftertitleChar">
    <w:name w:val="Normal after title Char"/>
    <w:link w:val="Normalaftertitle"/>
    <w:qFormat/>
    <w:locked/>
    <w:rsid w:val="00936774"/>
    <w:rPr>
      <w:rFonts w:ascii="Times New Roman" w:hAnsi="Times New Roman"/>
      <w:sz w:val="24"/>
      <w:lang w:val="en-GB" w:eastAsia="en-US"/>
    </w:rPr>
  </w:style>
  <w:style w:type="character" w:customStyle="1" w:styleId="CallChar">
    <w:name w:val="Call Char"/>
    <w:link w:val="Call"/>
    <w:qFormat/>
    <w:rsid w:val="00936774"/>
    <w:rPr>
      <w:rFonts w:ascii="Times New Roman" w:hAnsi="Times New Roman"/>
      <w:i/>
      <w:sz w:val="24"/>
      <w:lang w:val="en-GB" w:eastAsia="en-US"/>
    </w:rPr>
  </w:style>
  <w:style w:type="character" w:customStyle="1" w:styleId="ReasonsChar">
    <w:name w:val="Reasons Char"/>
    <w:link w:val="Reasons"/>
    <w:locked/>
    <w:rsid w:val="00FE6C68"/>
    <w:rPr>
      <w:rFonts w:ascii="Times New Roman" w:hAnsi="Times New Roman"/>
      <w:sz w:val="24"/>
      <w:lang w:val="en-GB" w:eastAsia="en-US"/>
    </w:rPr>
  </w:style>
  <w:style w:type="character" w:styleId="CommentReference">
    <w:name w:val="annotation reference"/>
    <w:basedOn w:val="DefaultParagraphFont"/>
    <w:semiHidden/>
    <w:unhideWhenUsed/>
    <w:rsid w:val="00111534"/>
    <w:rPr>
      <w:sz w:val="16"/>
      <w:szCs w:val="16"/>
    </w:rPr>
  </w:style>
  <w:style w:type="paragraph" w:styleId="CommentText">
    <w:name w:val="annotation text"/>
    <w:basedOn w:val="Normal"/>
    <w:link w:val="CommentTextChar"/>
    <w:unhideWhenUsed/>
    <w:rsid w:val="00111534"/>
    <w:rPr>
      <w:sz w:val="20"/>
    </w:rPr>
  </w:style>
  <w:style w:type="character" w:customStyle="1" w:styleId="CommentTextChar">
    <w:name w:val="Comment Text Char"/>
    <w:basedOn w:val="DefaultParagraphFont"/>
    <w:link w:val="CommentText"/>
    <w:rsid w:val="00111534"/>
    <w:rPr>
      <w:rFonts w:ascii="Times New Roman" w:hAnsi="Times New Roman"/>
      <w:lang w:val="en-GB" w:eastAsia="en-US"/>
    </w:rPr>
  </w:style>
  <w:style w:type="paragraph" w:styleId="CommentSubject">
    <w:name w:val="annotation subject"/>
    <w:basedOn w:val="CommentText"/>
    <w:next w:val="CommentText"/>
    <w:link w:val="CommentSubjectChar"/>
    <w:semiHidden/>
    <w:unhideWhenUsed/>
    <w:rsid w:val="00111534"/>
    <w:rPr>
      <w:b/>
      <w:bCs/>
    </w:rPr>
  </w:style>
  <w:style w:type="character" w:customStyle="1" w:styleId="CommentSubjectChar">
    <w:name w:val="Comment Subject Char"/>
    <w:basedOn w:val="CommentTextChar"/>
    <w:link w:val="CommentSubject"/>
    <w:semiHidden/>
    <w:rsid w:val="00111534"/>
    <w:rPr>
      <w:rFonts w:ascii="Times New Roman" w:hAnsi="Times New Roman"/>
      <w:b/>
      <w:bCs/>
      <w:lang w:val="en-GB" w:eastAsia="en-US"/>
    </w:rPr>
  </w:style>
</w:styles>
</file>

<file path=word/_rels/document.xml.rels>&#65279;<?xml version="1.0" encoding="utf-8"?><Relationships xmlns="http://schemas.openxmlformats.org/package/2006/relationships"><Relationship Type="http://schemas.openxmlformats.org/officeDocument/2006/relationships/footnotes" Target="/word/footnotes.xml" Id="Ra6d2ca7e63b84af3" /><Relationship Type="http://schemas.openxmlformats.org/officeDocument/2006/relationships/styles" Target="/word/styles.xml" Id="R54e88d120fd246f1" /><Relationship Type="http://schemas.openxmlformats.org/officeDocument/2006/relationships/theme" Target="/word/theme/theme1.xml" Id="R19e113ead6c745c7" /><Relationship Type="http://schemas.openxmlformats.org/officeDocument/2006/relationships/fontTable" Target="/word/fontTable.xml" Id="Rbf0fa89d05f04465" /><Relationship Type="http://schemas.openxmlformats.org/officeDocument/2006/relationships/numbering" Target="/word/numbering.xml" Id="R1c53f68c09874105" /><Relationship Type="http://schemas.openxmlformats.org/officeDocument/2006/relationships/endnotes" Target="/word/endnotes.xml" Id="Rbd0bb17bb10a442e" /><Relationship Type="http://schemas.openxmlformats.org/officeDocument/2006/relationships/settings" Target="/word/settings.xml" Id="R15b650ccb36f443d"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