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307e7e66de4106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47E73" w:rsidR="00A9689B" w:rsidRDefault="008D064F" w14:paraId="3B16E951" w14:textId="77777777">
      <w:pPr>
        <w:pStyle w:val="Proposal"/>
      </w:pPr>
      <w:r w:rsidRPr="00D47E73">
        <w:t>ADD</w:t>
      </w:r>
      <w:r w:rsidRPr="00D47E73">
        <w:tab/>
        <w:t>SUI/45/1</w:t>
      </w:r>
    </w:p>
    <w:p w:rsidRPr="00D47E73" w:rsidR="00BD1614" w:rsidP="00D55267" w:rsidRDefault="008D064F" w14:paraId="7901A123" w14:textId="12D490B0">
      <w:pPr>
        <w:pStyle w:val="ResNo"/>
        <w:rPr>
          <w:color w:val="000000"/>
          <w:lang w:eastAsia="fr-CH"/>
        </w:rPr>
      </w:pPr>
      <w:r w:rsidRPr="00D47E73">
        <w:t xml:space="preserve">Projet de nouvelle </w:t>
      </w:r>
      <w:r w:rsidRPr="00D47E73">
        <w:rPr>
          <w:color w:val="000000"/>
          <w:lang w:eastAsia="fr-CH"/>
        </w:rPr>
        <w:t>R</w:t>
      </w:r>
      <w:r w:rsidRPr="00D47E73" w:rsidR="00664B7C">
        <w:rPr>
          <w:rFonts w:cs="Calibri"/>
          <w:color w:val="000000"/>
          <w:lang w:eastAsia="fr-CH"/>
        </w:rPr>
        <w:t>É</w:t>
      </w:r>
      <w:r w:rsidRPr="00D47E73">
        <w:rPr>
          <w:color w:val="000000"/>
          <w:lang w:eastAsia="fr-CH"/>
        </w:rPr>
        <w:t>solution</w:t>
      </w:r>
      <w:r w:rsidR="00A47C7F">
        <w:rPr>
          <w:color w:val="000000"/>
          <w:lang w:eastAsia="fr-CH"/>
        </w:rPr>
        <w:t xml:space="preserve"> [SUI-1]</w:t>
      </w:r>
    </w:p>
    <w:p w:rsidRPr="00D47E73" w:rsidR="00667173" w:rsidP="00D55267" w:rsidRDefault="00AC63DF" w14:paraId="7C541BD2" w14:textId="2092E50D">
      <w:pPr>
        <w:pStyle w:val="Restitle"/>
        <w:rPr>
          <w:lang w:eastAsia="fr-CH"/>
        </w:rPr>
      </w:pPr>
      <w:r w:rsidRPr="00D47E73">
        <w:rPr>
          <w:lang w:eastAsia="fr-CH"/>
        </w:rPr>
        <w:t>Assistance</w:t>
      </w:r>
      <w:r w:rsidRPr="00D47E73" w:rsidR="00D87802">
        <w:rPr>
          <w:lang w:eastAsia="fr-CH"/>
        </w:rPr>
        <w:t xml:space="preserve"> au Comité international de la Croix-Rouge (CICR) dans les efforts qu</w:t>
      </w:r>
      <w:r w:rsidRPr="00D47E73" w:rsidR="00C14411">
        <w:rPr>
          <w:lang w:eastAsia="fr-CH"/>
        </w:rPr>
        <w:t>'</w:t>
      </w:r>
      <w:r w:rsidRPr="00D47E73" w:rsidR="00D87802">
        <w:rPr>
          <w:lang w:eastAsia="fr-CH"/>
        </w:rPr>
        <w:t xml:space="preserve">il déploie pour protéger les civils et les autres personnes et biens protégés </w:t>
      </w:r>
      <w:r w:rsidRPr="00D47E73" w:rsidR="00C14411">
        <w:rPr>
          <w:lang w:eastAsia="fr-CH"/>
        </w:rPr>
        <w:br/>
      </w:r>
      <w:r w:rsidRPr="00D47E73" w:rsidR="00D87802">
        <w:rPr>
          <w:lang w:eastAsia="fr-CH"/>
        </w:rPr>
        <w:t>contre le coût humain que p</w:t>
      </w:r>
      <w:r w:rsidRPr="00D47E73" w:rsidR="0027371F">
        <w:rPr>
          <w:lang w:eastAsia="fr-CH"/>
        </w:rPr>
        <w:t>ourrai</w:t>
      </w:r>
      <w:r w:rsidRPr="00D47E73" w:rsidR="00D87802">
        <w:rPr>
          <w:lang w:eastAsia="fr-CH"/>
        </w:rPr>
        <w:t xml:space="preserve">ent engendrer les activités </w:t>
      </w:r>
      <w:r w:rsidRPr="00D47E73" w:rsidR="00C14411">
        <w:rPr>
          <w:lang w:eastAsia="fr-CH"/>
        </w:rPr>
        <w:br/>
      </w:r>
      <w:r w:rsidRPr="00D47E73" w:rsidR="00D87802">
        <w:rPr>
          <w:lang w:eastAsia="fr-CH"/>
        </w:rPr>
        <w:t>liées aux TIC en période de conflit armé</w:t>
      </w:r>
    </w:p>
    <w:p w:rsidRPr="00D47E73" w:rsidR="00667173" w:rsidP="00D55267" w:rsidRDefault="00D87802" w14:paraId="6C383F50" w14:textId="028D8D5D">
      <w:pPr>
        <w:pStyle w:val="Normalaftertitle"/>
        <w:jc w:val="both"/>
        <w:rPr>
          <w:lang w:eastAsia="fr-CH"/>
        </w:rPr>
      </w:pPr>
      <w:r w:rsidRPr="00D47E73">
        <w:rPr>
          <w:lang w:eastAsia="fr-CH"/>
        </w:rPr>
        <w:t>La Conférence de plénipotentiaires de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Union internationale des télécommunications (Doha,</w:t>
      </w:r>
      <w:r w:rsidRPr="00D47E73" w:rsidR="00C14411">
        <w:rPr>
          <w:lang w:eastAsia="fr-CH"/>
        </w:rPr>
        <w:t> </w:t>
      </w:r>
      <w:r w:rsidRPr="00D47E73">
        <w:rPr>
          <w:lang w:eastAsia="fr-CH"/>
        </w:rPr>
        <w:t>2026),</w:t>
      </w:r>
    </w:p>
    <w:p w:rsidRPr="00D47E73" w:rsidR="00667173" w:rsidP="00C14411" w:rsidRDefault="00D87802" w14:paraId="7CA4606C" w14:textId="7E5E2576">
      <w:pPr>
        <w:pStyle w:val="Call"/>
        <w:rPr>
          <w:lang w:eastAsia="fr-CH"/>
        </w:rPr>
      </w:pPr>
      <w:r w:rsidRPr="00D47E73">
        <w:rPr>
          <w:lang w:eastAsia="fr-CH"/>
        </w:rPr>
        <w:t>rappelant</w:t>
      </w:r>
    </w:p>
    <w:p w:rsidRPr="00D47E73" w:rsidR="00D87802" w:rsidP="00D55267" w:rsidRDefault="00D87802" w14:paraId="095120C7" w14:textId="31F89CFB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a)</w:t>
      </w:r>
      <w:r w:rsidRPr="00D47E73">
        <w:rPr>
          <w:i/>
          <w:iCs/>
          <w:lang w:eastAsia="fr-CH"/>
        </w:rPr>
        <w:tab/>
      </w:r>
      <w:r w:rsidRPr="00D47E73">
        <w:rPr>
          <w:lang w:eastAsia="fr-CH"/>
        </w:rPr>
        <w:t>les Résolutions de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Assemblée générale des Nations Unies portant création de six Groupes d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experts gouvernementaux des Nations Unies</w:t>
      </w:r>
      <w:r w:rsidRPr="00D47E73" w:rsidR="00DE6F89">
        <w:rPr>
          <w:lang w:eastAsia="fr-CH"/>
        </w:rPr>
        <w:t xml:space="preserve"> (GEG)</w:t>
      </w:r>
      <w:r w:rsidRPr="00D47E73">
        <w:rPr>
          <w:lang w:eastAsia="fr-CH"/>
        </w:rPr>
        <w:t xml:space="preserve"> (2004/2005, A/RES/58/32</w:t>
      </w:r>
      <w:r w:rsidRPr="00D47E73" w:rsidR="005702C8">
        <w:rPr>
          <w:lang w:eastAsia="fr-CH"/>
        </w:rPr>
        <w:t>;</w:t>
      </w:r>
      <w:r w:rsidRPr="00D47E73">
        <w:rPr>
          <w:lang w:eastAsia="fr-CH"/>
        </w:rPr>
        <w:t xml:space="preserve"> 2009/2010, A/RES/60/45</w:t>
      </w:r>
      <w:r w:rsidRPr="00D47E73" w:rsidR="005702C8">
        <w:rPr>
          <w:lang w:eastAsia="fr-CH"/>
        </w:rPr>
        <w:t>;</w:t>
      </w:r>
      <w:r w:rsidRPr="00D47E73">
        <w:rPr>
          <w:lang w:eastAsia="fr-CH"/>
        </w:rPr>
        <w:t xml:space="preserve"> 2012/2013, A/RES/66/24</w:t>
      </w:r>
      <w:r w:rsidRPr="00D47E73" w:rsidR="005702C8">
        <w:rPr>
          <w:lang w:eastAsia="fr-CH"/>
        </w:rPr>
        <w:t>;</w:t>
      </w:r>
      <w:r w:rsidRPr="00D47E73">
        <w:rPr>
          <w:lang w:eastAsia="fr-CH"/>
        </w:rPr>
        <w:t xml:space="preserve"> 2014/2015, A/RES/68/243</w:t>
      </w:r>
      <w:r w:rsidRPr="00D47E73" w:rsidR="005702C8">
        <w:rPr>
          <w:lang w:eastAsia="fr-CH"/>
        </w:rPr>
        <w:t>;</w:t>
      </w:r>
      <w:r w:rsidRPr="00D47E73">
        <w:rPr>
          <w:lang w:eastAsia="fr-CH"/>
        </w:rPr>
        <w:t xml:space="preserve"> 2016/2017, A/RES/70/237</w:t>
      </w:r>
      <w:r w:rsidRPr="00D47E73" w:rsidR="005702C8">
        <w:rPr>
          <w:lang w:eastAsia="fr-CH"/>
        </w:rPr>
        <w:t>;</w:t>
      </w:r>
      <w:r w:rsidRPr="00D47E73">
        <w:rPr>
          <w:lang w:eastAsia="fr-CH"/>
        </w:rPr>
        <w:t xml:space="preserve"> et 2019/2021, A/RES/73/266), </w:t>
      </w:r>
      <w:r w:rsidRPr="00D47E73" w:rsidR="00DE6F89">
        <w:rPr>
          <w:lang w:eastAsia="fr-CH"/>
        </w:rPr>
        <w:t xml:space="preserve">et de </w:t>
      </w:r>
      <w:r w:rsidRPr="00D47E73">
        <w:rPr>
          <w:lang w:eastAsia="fr-CH"/>
        </w:rPr>
        <w:t>deux Groupes de travail à composition non limitée (GTCNL) sur la sécurité des technologies de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information et de la communication (TIC) et leur utilisation (2019/2021), A/RES/73/27; 2021/2025, A/RES/75/240)</w:t>
      </w:r>
      <w:r w:rsidRPr="00D47E73" w:rsidR="00DE6F89">
        <w:rPr>
          <w:lang w:eastAsia="fr-CH"/>
        </w:rPr>
        <w:t>,</w:t>
      </w:r>
      <w:r w:rsidRPr="00D47E73">
        <w:rPr>
          <w:lang w:eastAsia="fr-CH"/>
        </w:rPr>
        <w:t xml:space="preserve"> </w:t>
      </w:r>
      <w:r w:rsidRPr="00D47E73" w:rsidR="00DE6F89">
        <w:rPr>
          <w:lang w:eastAsia="fr-CH"/>
        </w:rPr>
        <w:t>ainsi que</w:t>
      </w:r>
      <w:r w:rsidRPr="00D47E73">
        <w:rPr>
          <w:lang w:eastAsia="fr-CH"/>
        </w:rPr>
        <w:t xml:space="preserve"> </w:t>
      </w:r>
      <w:r w:rsidRPr="00D47E73" w:rsidR="00DE6F89">
        <w:rPr>
          <w:lang w:eastAsia="fr-CH"/>
        </w:rPr>
        <w:t>le</w:t>
      </w:r>
      <w:r w:rsidRPr="00D47E73">
        <w:rPr>
          <w:lang w:eastAsia="fr-CH"/>
        </w:rPr>
        <w:t xml:space="preserve"> Mécanisme mondial </w:t>
      </w:r>
      <w:r w:rsidRPr="00D47E73" w:rsidR="005702C8">
        <w:rPr>
          <w:lang w:eastAsia="fr-CH"/>
        </w:rPr>
        <w:t>sur le</w:t>
      </w:r>
      <w:r w:rsidRPr="00D47E73" w:rsidR="00DE6F89">
        <w:rPr>
          <w:lang w:eastAsia="fr-CH"/>
        </w:rPr>
        <w:t>s</w:t>
      </w:r>
      <w:r w:rsidRPr="00D47E73" w:rsidR="005702C8">
        <w:rPr>
          <w:lang w:eastAsia="fr-CH"/>
        </w:rPr>
        <w:t xml:space="preserve"> développement</w:t>
      </w:r>
      <w:r w:rsidRPr="00D47E73" w:rsidR="00DE6F89">
        <w:rPr>
          <w:lang w:eastAsia="fr-CH"/>
        </w:rPr>
        <w:t>s</w:t>
      </w:r>
      <w:r w:rsidRPr="00D47E73" w:rsidR="005702C8">
        <w:rPr>
          <w:lang w:eastAsia="fr-CH"/>
        </w:rPr>
        <w:t xml:space="preserve"> dans le domaine</w:t>
      </w:r>
      <w:r w:rsidRPr="00D47E73">
        <w:rPr>
          <w:lang w:eastAsia="fr-CH"/>
        </w:rPr>
        <w:t xml:space="preserve"> des TIC dans le contexte de la sécurité internationale et </w:t>
      </w:r>
      <w:r w:rsidRPr="00D47E73" w:rsidR="00DE6F89">
        <w:rPr>
          <w:lang w:eastAsia="fr-CH"/>
        </w:rPr>
        <w:t xml:space="preserve">de </w:t>
      </w:r>
      <w:r w:rsidRPr="00D47E73">
        <w:rPr>
          <w:lang w:eastAsia="fr-CH"/>
        </w:rPr>
        <w:t>la promotion du comportement responsable des États dans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utilisation des TIC;</w:t>
      </w:r>
    </w:p>
    <w:p w:rsidRPr="00D47E73" w:rsidR="00DE6F89" w:rsidP="00D55267" w:rsidRDefault="00DE6F89" w14:paraId="1D6A69C5" w14:textId="138936AF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b)</w:t>
      </w:r>
      <w:r w:rsidRPr="00D47E73">
        <w:rPr>
          <w:lang w:eastAsia="fr-CH"/>
        </w:rPr>
        <w:tab/>
        <w:t>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acquis établi dans les rapports consensuels des groupes G</w:t>
      </w:r>
      <w:r w:rsidRPr="00D47E73" w:rsidR="00875F07">
        <w:rPr>
          <w:lang w:eastAsia="fr-CH"/>
        </w:rPr>
        <w:t>E</w:t>
      </w:r>
      <w:r w:rsidRPr="00D47E73">
        <w:rPr>
          <w:lang w:eastAsia="fr-CH"/>
        </w:rPr>
        <w:t xml:space="preserve">G de 2010, 2013, 2015 et 2021, et dans les rapports finals des </w:t>
      </w:r>
      <w:r w:rsidRPr="00D47E73" w:rsidR="003777EB">
        <w:rPr>
          <w:lang w:eastAsia="fr-CH"/>
        </w:rPr>
        <w:t xml:space="preserve">groupes </w:t>
      </w:r>
      <w:r w:rsidRPr="00D47E73">
        <w:rPr>
          <w:lang w:eastAsia="fr-CH"/>
        </w:rPr>
        <w:t xml:space="preserve">GTCNL </w:t>
      </w:r>
      <w:r w:rsidRPr="00D47E73" w:rsidR="003777EB">
        <w:rPr>
          <w:lang w:eastAsia="fr-CH"/>
        </w:rPr>
        <w:t xml:space="preserve">de </w:t>
      </w:r>
      <w:r w:rsidRPr="00D47E73">
        <w:rPr>
          <w:lang w:eastAsia="fr-CH"/>
        </w:rPr>
        <w:t xml:space="preserve">2019-2021 et 2021-2025, concluant que le droit international, et en particulier la Charte des Nations Unies, est applicable et </w:t>
      </w:r>
      <w:r w:rsidRPr="00D47E73" w:rsidR="00875F07">
        <w:rPr>
          <w:lang w:eastAsia="fr-CH"/>
        </w:rPr>
        <w:t xml:space="preserve">que son respect est </w:t>
      </w:r>
      <w:r w:rsidRPr="00D47E73">
        <w:rPr>
          <w:lang w:eastAsia="fr-CH"/>
        </w:rPr>
        <w:t>essentiel au maintien de la paix et de la stabilité</w:t>
      </w:r>
      <w:r w:rsidRPr="00D47E73" w:rsidR="003777EB">
        <w:rPr>
          <w:lang w:eastAsia="fr-CH"/>
        </w:rPr>
        <w:t>,</w:t>
      </w:r>
      <w:r w:rsidRPr="00D47E73">
        <w:rPr>
          <w:lang w:eastAsia="fr-CH"/>
        </w:rPr>
        <w:t xml:space="preserve"> </w:t>
      </w:r>
      <w:r w:rsidRPr="00D47E73" w:rsidR="003777EB">
        <w:rPr>
          <w:lang w:eastAsia="fr-CH"/>
        </w:rPr>
        <w:t>ainsi qu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à la promotion d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un environnement TIC ouvert, sûr, pacifique et accessible (</w:t>
      </w:r>
      <w:r w:rsidRPr="00D47E73" w:rsidR="00C14411">
        <w:rPr>
          <w:lang w:eastAsia="fr-CH"/>
        </w:rPr>
        <w:t>D</w:t>
      </w:r>
      <w:r w:rsidRPr="00D47E73">
        <w:rPr>
          <w:lang w:eastAsia="fr-CH"/>
        </w:rPr>
        <w:t xml:space="preserve">ocuments </w:t>
      </w:r>
      <w:r w:rsidRPr="00D47E73" w:rsidR="00875F07">
        <w:rPr>
          <w:lang w:eastAsia="fr-CH"/>
        </w:rPr>
        <w:t>de l</w:t>
      </w:r>
      <w:r w:rsidRPr="00D47E73" w:rsidR="00C14411">
        <w:rPr>
          <w:lang w:eastAsia="fr-CH"/>
        </w:rPr>
        <w:t>'</w:t>
      </w:r>
      <w:r w:rsidRPr="00D47E73" w:rsidR="00875F07">
        <w:rPr>
          <w:lang w:eastAsia="fr-CH"/>
        </w:rPr>
        <w:t xml:space="preserve">ONU </w:t>
      </w:r>
      <w:r w:rsidRPr="00D47E73">
        <w:rPr>
          <w:lang w:eastAsia="fr-CH"/>
        </w:rPr>
        <w:t>A/65/201, A/68/98, A/70/174, A/76/135 et A/80/257);</w:t>
      </w:r>
    </w:p>
    <w:p w:rsidRPr="00D47E73" w:rsidR="003777EB" w:rsidP="00D55267" w:rsidRDefault="003777EB" w14:paraId="469ABD4F" w14:textId="2FE2C1E7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c)</w:t>
      </w:r>
      <w:r w:rsidRPr="00D47E73">
        <w:rPr>
          <w:lang w:eastAsia="fr-CH"/>
        </w:rPr>
        <w:tab/>
        <w:t>que l</w:t>
      </w:r>
      <w:r w:rsidRPr="00D47E73" w:rsidR="00F16191">
        <w:rPr>
          <w:lang w:eastAsia="fr-CH"/>
        </w:rPr>
        <w:t xml:space="preserve">es </w:t>
      </w:r>
      <w:r w:rsidRPr="00D47E73">
        <w:rPr>
          <w:lang w:eastAsia="fr-CH"/>
        </w:rPr>
        <w:t>infrastructure</w:t>
      </w:r>
      <w:r w:rsidRPr="00D47E73" w:rsidR="00F16191">
        <w:rPr>
          <w:lang w:eastAsia="fr-CH"/>
        </w:rPr>
        <w:t>s</w:t>
      </w:r>
      <w:r w:rsidRPr="00D47E73">
        <w:rPr>
          <w:lang w:eastAsia="fr-CH"/>
        </w:rPr>
        <w:t xml:space="preserve"> des TIC peu</w:t>
      </w:r>
      <w:r w:rsidRPr="00D47E73" w:rsidR="00F16191">
        <w:rPr>
          <w:lang w:eastAsia="fr-CH"/>
        </w:rPr>
        <w:t>ven</w:t>
      </w:r>
      <w:r w:rsidRPr="00D47E73">
        <w:rPr>
          <w:lang w:eastAsia="fr-CH"/>
        </w:rPr>
        <w:t>t jouer un rôle essentiel dans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action humanitaire (</w:t>
      </w:r>
      <w:r w:rsidRPr="00D47E73" w:rsidR="00C14411">
        <w:rPr>
          <w:lang w:eastAsia="fr-CH"/>
        </w:rPr>
        <w:t>D</w:t>
      </w:r>
      <w:r w:rsidRPr="00D47E73">
        <w:rPr>
          <w:lang w:eastAsia="fr-CH"/>
        </w:rPr>
        <w:t xml:space="preserve">ocuments </w:t>
      </w:r>
      <w:r w:rsidRPr="00D47E73" w:rsidR="00875F07">
        <w:rPr>
          <w:lang w:eastAsia="fr-CH"/>
        </w:rPr>
        <w:t>de l</w:t>
      </w:r>
      <w:r w:rsidRPr="00D47E73" w:rsidR="00C14411">
        <w:rPr>
          <w:lang w:eastAsia="fr-CH"/>
        </w:rPr>
        <w:t>'</w:t>
      </w:r>
      <w:r w:rsidRPr="00D47E73" w:rsidR="00875F07">
        <w:rPr>
          <w:lang w:eastAsia="fr-CH"/>
        </w:rPr>
        <w:t xml:space="preserve">ONU </w:t>
      </w:r>
      <w:r w:rsidRPr="00D47E73">
        <w:rPr>
          <w:lang w:eastAsia="fr-CH"/>
        </w:rPr>
        <w:t>A/76/135, § 45, et A/80/257, §</w:t>
      </w:r>
      <w:r w:rsidRPr="00D47E73" w:rsidR="00F16191">
        <w:rPr>
          <w:lang w:eastAsia="fr-CH"/>
        </w:rPr>
        <w:t xml:space="preserve"> </w:t>
      </w:r>
      <w:r w:rsidRPr="00D47E73">
        <w:rPr>
          <w:lang w:eastAsia="fr-CH"/>
        </w:rPr>
        <w:t>34);</w:t>
      </w:r>
    </w:p>
    <w:p w:rsidRPr="00D47E73" w:rsidR="00F16191" w:rsidP="00D55267" w:rsidRDefault="00F16191" w14:paraId="5B2ECFD9" w14:textId="02CD3F60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d)</w:t>
      </w:r>
      <w:r w:rsidRPr="00D47E73">
        <w:rPr>
          <w:lang w:eastAsia="fr-CH"/>
        </w:rPr>
        <w:tab/>
        <w:t xml:space="preserve">que les normes </w:t>
      </w:r>
      <w:r w:rsidRPr="00D47E73" w:rsidR="00875F07">
        <w:rPr>
          <w:lang w:eastAsia="fr-CH"/>
        </w:rPr>
        <w:t>suivies volontairement</w:t>
      </w:r>
      <w:r w:rsidRPr="00D47E73">
        <w:rPr>
          <w:lang w:eastAsia="fr-CH"/>
        </w:rPr>
        <w:t xml:space="preserve"> et non contraignantes relatives au comportement responsable des États dans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utilisation des TIC prévoient que les infrastructures et installations de soins de santé et de services médicaux constituent des infrastructures essentielles</w:t>
      </w:r>
      <w:r w:rsidRPr="00D47E73" w:rsidR="00875F07">
        <w:rPr>
          <w:lang w:eastAsia="fr-CH"/>
        </w:rPr>
        <w:t>,</w:t>
      </w:r>
      <w:r w:rsidRPr="00D47E73">
        <w:rPr>
          <w:lang w:eastAsia="fr-CH"/>
        </w:rPr>
        <w:t xml:space="preserve"> qui ne devraient pas faire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objet d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 xml:space="preserve">actes internationalement illicites </w:t>
      </w:r>
      <w:r w:rsidRPr="00D47E73" w:rsidR="00BC6911">
        <w:rPr>
          <w:lang w:eastAsia="fr-CH"/>
        </w:rPr>
        <w:t xml:space="preserve">commis par des </w:t>
      </w:r>
      <w:r w:rsidRPr="00D47E73" w:rsidR="00BC6911">
        <w:rPr>
          <w:rFonts w:cs="Calibri"/>
          <w:lang w:eastAsia="fr-CH"/>
        </w:rPr>
        <w:t>É</w:t>
      </w:r>
      <w:r w:rsidRPr="00D47E73">
        <w:rPr>
          <w:lang w:eastAsia="fr-CH"/>
        </w:rPr>
        <w:t xml:space="preserve">tats par </w:t>
      </w:r>
      <w:r w:rsidRPr="00D47E73" w:rsidR="00BC6911">
        <w:rPr>
          <w:lang w:eastAsia="fr-CH"/>
        </w:rPr>
        <w:t xml:space="preserve">le biais de </w:t>
      </w:r>
      <w:r w:rsidRPr="00D47E73">
        <w:rPr>
          <w:lang w:eastAsia="fr-CH"/>
        </w:rPr>
        <w:t>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utilisation des TIC (</w:t>
      </w:r>
      <w:r w:rsidRPr="00D47E73" w:rsidR="00C14411">
        <w:rPr>
          <w:lang w:eastAsia="fr-CH"/>
        </w:rPr>
        <w:t>D</w:t>
      </w:r>
      <w:r w:rsidRPr="00D47E73">
        <w:rPr>
          <w:lang w:eastAsia="fr-CH"/>
        </w:rPr>
        <w:t xml:space="preserve">ocument </w:t>
      </w:r>
      <w:r w:rsidRPr="00D47E73" w:rsidR="004C2CFA">
        <w:rPr>
          <w:lang w:eastAsia="fr-CH"/>
        </w:rPr>
        <w:t>de l</w:t>
      </w:r>
      <w:r w:rsidRPr="00D47E73" w:rsidR="00C14411">
        <w:rPr>
          <w:lang w:eastAsia="fr-CH"/>
        </w:rPr>
        <w:t>'</w:t>
      </w:r>
      <w:r w:rsidRPr="00D47E73" w:rsidR="004C2CFA">
        <w:rPr>
          <w:lang w:eastAsia="fr-CH"/>
        </w:rPr>
        <w:t xml:space="preserve">ONU </w:t>
      </w:r>
      <w:r w:rsidRPr="00D47E73">
        <w:rPr>
          <w:lang w:eastAsia="fr-CH"/>
        </w:rPr>
        <w:t>A/76/135, § 45);</w:t>
      </w:r>
    </w:p>
    <w:p w:rsidRPr="00D47E73" w:rsidR="00BC6911" w:rsidP="00D55267" w:rsidRDefault="00BC6911" w14:paraId="13068BA9" w14:textId="7BF203DA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e)</w:t>
      </w:r>
      <w:r w:rsidRPr="00D47E73">
        <w:rPr>
          <w:lang w:eastAsia="fr-CH"/>
        </w:rPr>
        <w:tab/>
        <w:t>que le Conseil de sécurité des Nations Unies s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est déclaré préoccupé par la multiplication des activités malveillantes liées aux technologies de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information et de la communication, notamment la fuite de données et les opérations d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information</w:t>
      </w:r>
      <w:r w:rsidRPr="00D47E73" w:rsidR="004C2CFA">
        <w:rPr>
          <w:lang w:eastAsia="fr-CH"/>
        </w:rPr>
        <w:t>,</w:t>
      </w:r>
      <w:r w:rsidRPr="00D47E73">
        <w:rPr>
          <w:lang w:eastAsia="fr-CH"/>
        </w:rPr>
        <w:t xml:space="preserve"> qui prennent pour cible les organisations humanitaires, perturbent leurs opérations de secours, sapent la confiance dans les organisations humanitaires et </w:t>
      </w:r>
      <w:r w:rsidRPr="00D47E73" w:rsidR="00136878">
        <w:rPr>
          <w:lang w:eastAsia="fr-CH"/>
        </w:rPr>
        <w:t xml:space="preserve">les activités </w:t>
      </w:r>
      <w:r w:rsidRPr="00D47E73">
        <w:rPr>
          <w:lang w:eastAsia="fr-CH"/>
        </w:rPr>
        <w:t>des Nations Unies</w:t>
      </w:r>
      <w:r w:rsidRPr="00D47E73" w:rsidR="00136878">
        <w:rPr>
          <w:lang w:eastAsia="fr-CH"/>
        </w:rPr>
        <w:t>,</w:t>
      </w:r>
      <w:r w:rsidRPr="00D47E73">
        <w:rPr>
          <w:lang w:eastAsia="fr-CH"/>
        </w:rPr>
        <w:t xml:space="preserve"> et menacent la sûreté et la sécurité de leur personnel, de leurs locaux et de leurs biens et, en définitive, leur accès et leur capacité à mener </w:t>
      </w:r>
      <w:r w:rsidRPr="00D47E73" w:rsidR="00136878">
        <w:rPr>
          <w:lang w:eastAsia="fr-CH"/>
        </w:rPr>
        <w:t xml:space="preserve">à bien </w:t>
      </w:r>
      <w:r w:rsidRPr="00D47E73">
        <w:rPr>
          <w:lang w:eastAsia="fr-CH"/>
        </w:rPr>
        <w:t>des activités humanitaires (Résolution 2730 (2024) du Conseil de sécurité des Nations Unies, 24</w:t>
      </w:r>
      <w:r w:rsidRPr="00D47E73" w:rsidR="00C14411">
        <w:rPr>
          <w:lang w:eastAsia="fr-CH"/>
        </w:rPr>
        <w:t> </w:t>
      </w:r>
      <w:r w:rsidRPr="00D47E73">
        <w:rPr>
          <w:lang w:eastAsia="fr-CH"/>
        </w:rPr>
        <w:t>mai</w:t>
      </w:r>
      <w:r w:rsidRPr="00D47E73" w:rsidR="00C14411">
        <w:rPr>
          <w:lang w:eastAsia="fr-CH"/>
        </w:rPr>
        <w:t> </w:t>
      </w:r>
      <w:r w:rsidRPr="00D47E73">
        <w:rPr>
          <w:lang w:eastAsia="fr-CH"/>
        </w:rPr>
        <w:t>2024, préambule),</w:t>
      </w:r>
    </w:p>
    <w:p w:rsidRPr="00D47E73" w:rsidR="00D87802" w:rsidP="00C14411" w:rsidRDefault="00C550F9" w14:paraId="5D323F2B" w14:textId="287EB3E6">
      <w:pPr>
        <w:pStyle w:val="Call"/>
        <w:rPr>
          <w:lang w:eastAsia="fr-CH"/>
        </w:rPr>
      </w:pPr>
      <w:r w:rsidRPr="00D47E73">
        <w:rPr>
          <w:lang w:eastAsia="fr-CH"/>
        </w:rPr>
        <w:t>rappelant en outre</w:t>
      </w:r>
    </w:p>
    <w:p w:rsidRPr="00D47E73" w:rsidR="00D87802" w:rsidP="00D55267" w:rsidRDefault="00C550F9" w14:paraId="16A61A9C" w14:textId="01C31E4F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a)</w:t>
      </w:r>
      <w:r w:rsidRPr="00D47E73">
        <w:rPr>
          <w:lang w:eastAsia="fr-CH"/>
        </w:rPr>
        <w:tab/>
      </w:r>
      <w:r w:rsidRPr="00D47E73" w:rsidR="006E5B05">
        <w:rPr>
          <w:lang w:eastAsia="fr-CH"/>
        </w:rPr>
        <w:t>que les Conventions de Genève de 1949 et leurs Protocoles additionnels définissent le personnel, les unités et les moyens de transport habilités à utiliser les emblèmes de la Croix</w:t>
      </w:r>
      <w:r w:rsidRPr="00D47E73" w:rsidR="00677A2A">
        <w:rPr>
          <w:lang w:eastAsia="fr-CH"/>
        </w:rPr>
        <w:noBreakHyphen/>
      </w:r>
      <w:r w:rsidRPr="00D47E73" w:rsidR="006E5B05">
        <w:rPr>
          <w:lang w:eastAsia="fr-CH"/>
        </w:rPr>
        <w:t xml:space="preserve">Rouge et du Croissant-Rouge, ainsi que le </w:t>
      </w:r>
      <w:r w:rsidRPr="00D47E73" w:rsidR="004C2CFA">
        <w:rPr>
          <w:lang w:eastAsia="fr-CH"/>
        </w:rPr>
        <w:t>C</w:t>
      </w:r>
      <w:r w:rsidRPr="00D47E73" w:rsidR="006E5B05">
        <w:rPr>
          <w:lang w:eastAsia="fr-CH"/>
        </w:rPr>
        <w:t xml:space="preserve">ristal rouge pour les </w:t>
      </w:r>
      <w:r w:rsidRPr="00D47E73" w:rsidR="006E5B05">
        <w:rPr>
          <w:rFonts w:cs="Calibri"/>
          <w:lang w:eastAsia="fr-CH"/>
        </w:rPr>
        <w:t>É</w:t>
      </w:r>
      <w:r w:rsidRPr="00D47E73" w:rsidR="006E5B05">
        <w:rPr>
          <w:lang w:eastAsia="fr-CH"/>
        </w:rPr>
        <w:t>tats parties au Protocole additionnel III, et les fins auxquelles ils peuvent être employés en tout temps, c</w:t>
      </w:r>
      <w:r w:rsidRPr="00D47E73" w:rsidR="00C14411">
        <w:rPr>
          <w:lang w:eastAsia="fr-CH"/>
        </w:rPr>
        <w:t>'</w:t>
      </w:r>
      <w:r w:rsidRPr="00D47E73" w:rsidR="006E5B05">
        <w:rPr>
          <w:lang w:eastAsia="fr-CH"/>
        </w:rPr>
        <w:t>est-à-dire aussi bien en temps de paix qu</w:t>
      </w:r>
      <w:r w:rsidRPr="00D47E73" w:rsidR="00C14411">
        <w:rPr>
          <w:lang w:eastAsia="fr-CH"/>
        </w:rPr>
        <w:t>'</w:t>
      </w:r>
      <w:r w:rsidRPr="00D47E73" w:rsidR="006E5B05">
        <w:rPr>
          <w:lang w:eastAsia="fr-CH"/>
        </w:rPr>
        <w:t>en période de conflit armé;</w:t>
      </w:r>
    </w:p>
    <w:p w:rsidRPr="00D47E73" w:rsidR="00C550F9" w:rsidP="00D55267" w:rsidRDefault="006E5B05" w14:paraId="5A48A87C" w14:textId="6278946F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b)</w:t>
      </w:r>
      <w:r w:rsidRPr="00D47E73">
        <w:rPr>
          <w:lang w:eastAsia="fr-CH"/>
        </w:rPr>
        <w:tab/>
        <w:t>qu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en période de conflit armé, les emblèmes distinctifs de la Croix-Rouge, du Croissant</w:t>
      </w:r>
      <w:r w:rsidRPr="00D47E73" w:rsidR="00C14411">
        <w:rPr>
          <w:lang w:eastAsia="fr-CH"/>
        </w:rPr>
        <w:noBreakHyphen/>
      </w:r>
      <w:r w:rsidRPr="00D47E73">
        <w:rPr>
          <w:lang w:eastAsia="fr-CH"/>
        </w:rPr>
        <w:t xml:space="preserve">Rouge et du </w:t>
      </w:r>
      <w:r w:rsidRPr="00D47E73" w:rsidR="00DA6032">
        <w:rPr>
          <w:lang w:eastAsia="fr-CH"/>
        </w:rPr>
        <w:t>C</w:t>
      </w:r>
      <w:r w:rsidRPr="00D47E73">
        <w:rPr>
          <w:lang w:eastAsia="fr-CH"/>
        </w:rPr>
        <w:t xml:space="preserve">ristal rouge ont pour but de signaler la protection spécifique </w:t>
      </w:r>
      <w:r w:rsidRPr="00D47E73" w:rsidR="00DA6032">
        <w:rPr>
          <w:lang w:eastAsia="fr-CH"/>
        </w:rPr>
        <w:t xml:space="preserve">dont bénéficient </w:t>
      </w:r>
      <w:r w:rsidRPr="00D47E73">
        <w:rPr>
          <w:lang w:eastAsia="fr-CH"/>
        </w:rPr>
        <w:t>ceux qui les portent</w:t>
      </w:r>
      <w:r w:rsidRPr="00D47E73" w:rsidR="00DA6032">
        <w:rPr>
          <w:lang w:eastAsia="fr-CH"/>
        </w:rPr>
        <w:t>,</w:t>
      </w:r>
      <w:r w:rsidRPr="00D47E73">
        <w:rPr>
          <w:lang w:eastAsia="fr-CH"/>
        </w:rPr>
        <w:t xml:space="preserve"> ainsi que </w:t>
      </w:r>
      <w:r w:rsidRPr="00D47E73" w:rsidR="00DA6032">
        <w:rPr>
          <w:lang w:eastAsia="fr-CH"/>
        </w:rPr>
        <w:t>l</w:t>
      </w:r>
      <w:r w:rsidRPr="00D47E73">
        <w:rPr>
          <w:lang w:eastAsia="fr-CH"/>
        </w:rPr>
        <w:t xml:space="preserve">es installations, </w:t>
      </w:r>
      <w:r w:rsidRPr="00D47E73" w:rsidR="004C2CFA">
        <w:rPr>
          <w:lang w:eastAsia="fr-CH"/>
        </w:rPr>
        <w:t>biens</w:t>
      </w:r>
      <w:r w:rsidRPr="00D47E73">
        <w:rPr>
          <w:lang w:eastAsia="fr-CH"/>
        </w:rPr>
        <w:t xml:space="preserve"> et moyens de transport qui en sont </w:t>
      </w:r>
      <w:r w:rsidRPr="00D47E73" w:rsidR="00DA6032">
        <w:rPr>
          <w:lang w:eastAsia="fr-CH"/>
        </w:rPr>
        <w:t>revêtu</w:t>
      </w:r>
      <w:r w:rsidRPr="00D47E73">
        <w:rPr>
          <w:lang w:eastAsia="fr-CH"/>
        </w:rPr>
        <w:t>s;</w:t>
      </w:r>
    </w:p>
    <w:p w:rsidRPr="00D47E73" w:rsidR="00DA6032" w:rsidP="00D55267" w:rsidRDefault="00DA6032" w14:paraId="23698A07" w14:textId="69F22483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c)</w:t>
      </w:r>
      <w:r w:rsidRPr="00D47E73">
        <w:rPr>
          <w:lang w:eastAsia="fr-CH"/>
        </w:rPr>
        <w:tab/>
      </w:r>
      <w:r w:rsidRPr="00D47E73" w:rsidR="00D40226">
        <w:rPr>
          <w:lang w:eastAsia="fr-CH"/>
        </w:rPr>
        <w:t>que la mise en œuvre des dispositions relatives aux signaux radioélectriques utilisés par les unités médicales ou les moyens de transport sanitaires figurant à l</w:t>
      </w:r>
      <w:r w:rsidRPr="00D47E73" w:rsidR="00C14411">
        <w:rPr>
          <w:lang w:eastAsia="fr-CH"/>
        </w:rPr>
        <w:t>'</w:t>
      </w:r>
      <w:r w:rsidRPr="00D47E73" w:rsidR="00D40226">
        <w:rPr>
          <w:lang w:eastAsia="fr-CH"/>
        </w:rPr>
        <w:t>Annexe I du Protocole additionnel I aux Conventions de Genève de 1949 concernant les règles d</w:t>
      </w:r>
      <w:r w:rsidRPr="00D47E73" w:rsidR="00C14411">
        <w:rPr>
          <w:lang w:eastAsia="fr-CH"/>
        </w:rPr>
        <w:t>'</w:t>
      </w:r>
      <w:r w:rsidRPr="00D47E73" w:rsidR="00D40226">
        <w:rPr>
          <w:lang w:eastAsia="fr-CH"/>
        </w:rPr>
        <w:t>identification, tel que modifié le 30 novembre 1993, s</w:t>
      </w:r>
      <w:r w:rsidRPr="00D47E73" w:rsidR="00C14411">
        <w:rPr>
          <w:lang w:eastAsia="fr-CH"/>
        </w:rPr>
        <w:t>'</w:t>
      </w:r>
      <w:r w:rsidRPr="00D47E73" w:rsidR="00D40226">
        <w:rPr>
          <w:lang w:eastAsia="fr-CH"/>
        </w:rPr>
        <w:t>appuie sur les dispositions de la Constitution, de la Convention et du Règlement des radiocommunications de l</w:t>
      </w:r>
      <w:r w:rsidRPr="00D47E73" w:rsidR="00C14411">
        <w:rPr>
          <w:lang w:eastAsia="fr-CH"/>
        </w:rPr>
        <w:t>'</w:t>
      </w:r>
      <w:r w:rsidRPr="00D47E73" w:rsidR="00D40226">
        <w:rPr>
          <w:lang w:eastAsia="fr-CH"/>
        </w:rPr>
        <w:t>UIT, ainsi que sur les Recommandations de l</w:t>
      </w:r>
      <w:r w:rsidRPr="00D47E73" w:rsidR="00C14411">
        <w:rPr>
          <w:lang w:eastAsia="fr-CH"/>
        </w:rPr>
        <w:t>'</w:t>
      </w:r>
      <w:r w:rsidRPr="00D47E73" w:rsidR="00D40226">
        <w:rPr>
          <w:lang w:eastAsia="fr-CH"/>
        </w:rPr>
        <w:t>UIT-R,</w:t>
      </w:r>
    </w:p>
    <w:p w:rsidRPr="00D47E73" w:rsidR="00C550F9" w:rsidP="00C14411" w:rsidRDefault="00D40226" w14:paraId="7FD0AAD2" w14:textId="46E363E7">
      <w:pPr>
        <w:pStyle w:val="Call"/>
        <w:rPr>
          <w:lang w:eastAsia="fr-CH"/>
        </w:rPr>
      </w:pPr>
      <w:r w:rsidRPr="00D47E73">
        <w:rPr>
          <w:lang w:eastAsia="fr-CH"/>
        </w:rPr>
        <w:t>notant avec préoccupation</w:t>
      </w:r>
    </w:p>
    <w:p w:rsidRPr="00D47E73" w:rsidR="00D40226" w:rsidP="00D55267" w:rsidRDefault="006A0266" w14:paraId="332329D1" w14:textId="3D127229">
      <w:pPr>
        <w:jc w:val="both"/>
        <w:rPr>
          <w:lang w:eastAsia="fr-CH"/>
        </w:rPr>
      </w:pPr>
      <w:r w:rsidRPr="00D47E73">
        <w:rPr>
          <w:lang w:eastAsia="fr-CH"/>
        </w:rPr>
        <w:t>les activités malveillantes dans le domaine des TIC visant les organisations internationales et les organisations humanitaires, qui risquent de compromettre la capacité de ces organisations à s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acquitter de leurs mandats respectifs en toute sécurité et en toute indépendance et de saper la confiance vis-à-vis de leur action (</w:t>
      </w:r>
      <w:r w:rsidRPr="00D47E73" w:rsidR="00C14411">
        <w:rPr>
          <w:lang w:eastAsia="fr-CH"/>
        </w:rPr>
        <w:t>D</w:t>
      </w:r>
      <w:r w:rsidRPr="00D47E73">
        <w:rPr>
          <w:lang w:eastAsia="fr-CH"/>
        </w:rPr>
        <w:t xml:space="preserve">ocument </w:t>
      </w:r>
      <w:r w:rsidRPr="00D47E73" w:rsidR="004C2CFA">
        <w:rPr>
          <w:lang w:eastAsia="fr-CH"/>
        </w:rPr>
        <w:t>de l</w:t>
      </w:r>
      <w:r w:rsidRPr="00D47E73" w:rsidR="00C14411">
        <w:rPr>
          <w:lang w:eastAsia="fr-CH"/>
        </w:rPr>
        <w:t>'</w:t>
      </w:r>
      <w:r w:rsidRPr="00D47E73" w:rsidR="004C2CFA">
        <w:rPr>
          <w:lang w:eastAsia="fr-CH"/>
        </w:rPr>
        <w:t xml:space="preserve">ONU </w:t>
      </w:r>
      <w:r w:rsidRPr="00D47E73">
        <w:rPr>
          <w:lang w:eastAsia="fr-CH"/>
        </w:rPr>
        <w:t>A/79/214, § 17),</w:t>
      </w:r>
    </w:p>
    <w:p w:rsidRPr="00D47E73" w:rsidR="00D40226" w:rsidP="00C14411" w:rsidRDefault="006A0266" w14:paraId="3761AFF3" w14:textId="1C7C7F3E">
      <w:pPr>
        <w:pStyle w:val="Call"/>
        <w:rPr>
          <w:lang w:eastAsia="fr-CH"/>
        </w:rPr>
      </w:pPr>
      <w:r w:rsidRPr="00D47E73">
        <w:rPr>
          <w:lang w:eastAsia="fr-CH"/>
        </w:rPr>
        <w:t>considérant</w:t>
      </w:r>
    </w:p>
    <w:p w:rsidRPr="00D47E73" w:rsidR="006A0266" w:rsidP="00D55267" w:rsidRDefault="006A0266" w14:paraId="0349497C" w14:textId="65B00B6B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a)</w:t>
      </w:r>
      <w:r w:rsidRPr="00D47E73">
        <w:rPr>
          <w:lang w:eastAsia="fr-CH"/>
        </w:rPr>
        <w:tab/>
        <w:t>que le CICR étudie la possibilité de transposer dans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 xml:space="preserve">environnement numérique les fonctions des emblèmes distinctifs internationalement reconnus de la Croix-Rouge, du Croissant-Rouge et du Cristal rouge, notamment sous une forme lisible </w:t>
      </w:r>
      <w:r w:rsidRPr="00D47E73" w:rsidR="004C37A3">
        <w:rPr>
          <w:lang w:eastAsia="fr-CH"/>
        </w:rPr>
        <w:t xml:space="preserve">par la machine </w:t>
      </w:r>
      <w:r w:rsidRPr="00D47E73">
        <w:rPr>
          <w:lang w:eastAsia="fr-CH"/>
        </w:rPr>
        <w:t>et vérifiable;</w:t>
      </w:r>
    </w:p>
    <w:p w:rsidRPr="00D47E73" w:rsidR="004C37A3" w:rsidP="00D55267" w:rsidRDefault="004C37A3" w14:paraId="6543F028" w14:textId="638DF8C7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b)</w:t>
      </w:r>
      <w:r w:rsidRPr="00D47E73">
        <w:rPr>
          <w:lang w:eastAsia="fr-CH"/>
        </w:rPr>
        <w:tab/>
        <w:t>que la 34ème Conférence internationale de la Croix-Rouge et du Croissant-Rouge, qui a rassemblé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ensemble des 196 États parties aux Conventions de Genève, a adopté la Résolution</w:t>
      </w:r>
      <w:r w:rsidRPr="00D47E73" w:rsidR="00C14411">
        <w:rPr>
          <w:lang w:eastAsia="fr-CH"/>
        </w:rPr>
        <w:t> </w:t>
      </w:r>
      <w:r w:rsidRPr="00D47E73">
        <w:rPr>
          <w:lang w:eastAsia="fr-CH"/>
        </w:rPr>
        <w:t xml:space="preserve">2 </w:t>
      </w:r>
      <w:r w:rsidRPr="00D47E73" w:rsidR="0027371F">
        <w:rPr>
          <w:lang w:eastAsia="fr-CH"/>
        </w:rPr>
        <w:t>relative à</w:t>
      </w:r>
      <w:r w:rsidRPr="00D47E73">
        <w:rPr>
          <w:lang w:eastAsia="fr-CH"/>
        </w:rPr>
        <w:t xml:space="preserve"> la protection des civils et des autres personnes et biens protégés contre le coût humain que pourraient </w:t>
      </w:r>
      <w:r w:rsidRPr="00D47E73" w:rsidR="0027371F">
        <w:rPr>
          <w:lang w:eastAsia="fr-CH"/>
        </w:rPr>
        <w:t>engendrer</w:t>
      </w:r>
      <w:r w:rsidRPr="00D47E73">
        <w:rPr>
          <w:lang w:eastAsia="fr-CH"/>
        </w:rPr>
        <w:t xml:space="preserve"> les activités liées aux TIC en </w:t>
      </w:r>
      <w:r w:rsidRPr="00D47E73" w:rsidR="0027371F">
        <w:rPr>
          <w:lang w:eastAsia="fr-CH"/>
        </w:rPr>
        <w:t>période</w:t>
      </w:r>
      <w:r w:rsidRPr="00D47E73">
        <w:rPr>
          <w:lang w:eastAsia="fr-CH"/>
        </w:rPr>
        <w:t xml:space="preserve"> de conflit armé, par laquelle le CICR est notamment encouragé à </w:t>
      </w:r>
      <w:r w:rsidRPr="00D47E73" w:rsidR="00534731">
        <w:rPr>
          <w:lang w:eastAsia="fr-CH"/>
        </w:rPr>
        <w:t>poursuivre ses consultations et sa collaboration active avec l</w:t>
      </w:r>
      <w:r w:rsidRPr="00D47E73">
        <w:rPr>
          <w:lang w:eastAsia="fr-CH"/>
        </w:rPr>
        <w:t xml:space="preserve">es États et les composantes du Mouvement </w:t>
      </w:r>
      <w:r w:rsidRPr="00D47E73" w:rsidR="00534731">
        <w:rPr>
          <w:lang w:eastAsia="fr-CH"/>
        </w:rPr>
        <w:t xml:space="preserve">afin de </w:t>
      </w:r>
      <w:r w:rsidRPr="00D47E73">
        <w:rPr>
          <w:lang w:eastAsia="fr-CH"/>
        </w:rPr>
        <w:t>préciser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objectif spécifique et la faisabilité technique d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 xml:space="preserve">un emblème numérique et </w:t>
      </w:r>
      <w:r w:rsidRPr="00D47E73" w:rsidR="00534731">
        <w:rPr>
          <w:lang w:eastAsia="fr-CH"/>
        </w:rPr>
        <w:t>d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étudier les voies juridiques et diplomatiques possibles pour son utilisation,</w:t>
      </w:r>
    </w:p>
    <w:p w:rsidRPr="00D47E73" w:rsidR="006A0266" w:rsidP="00C14411" w:rsidRDefault="00534731" w14:paraId="4FD1D9BE" w14:textId="588DC554">
      <w:pPr>
        <w:pStyle w:val="Call"/>
        <w:rPr>
          <w:lang w:eastAsia="fr-CH"/>
        </w:rPr>
      </w:pPr>
      <w:r w:rsidRPr="00D47E73">
        <w:rPr>
          <w:lang w:eastAsia="fr-CH"/>
        </w:rPr>
        <w:t>considérant en outre</w:t>
      </w:r>
    </w:p>
    <w:p w:rsidRPr="00D47E73" w:rsidR="00534731" w:rsidP="00D55267" w:rsidRDefault="00534731" w14:paraId="358C098C" w14:textId="6E395BD2">
      <w:pPr>
        <w:jc w:val="both"/>
        <w:rPr>
          <w:lang w:eastAsia="fr-CH"/>
        </w:rPr>
      </w:pPr>
      <w:r w:rsidRPr="00D47E73">
        <w:rPr>
          <w:lang w:eastAsia="fr-CH"/>
        </w:rPr>
        <w:t>que la Résolution 12 du Conseil des délégués du Mouvement international de la Croix-Rouge et du Croissant-Rouge sur la protection des données humanitaires souligne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importance de la confidentialité, de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intégrité et de la disponibilité des données pour les opérations humanitaires,</w:t>
      </w:r>
    </w:p>
    <w:p w:rsidRPr="00D47E73" w:rsidR="006A0266" w:rsidP="00C14411" w:rsidRDefault="00534731" w14:paraId="1F09B048" w14:textId="51D81BF4">
      <w:pPr>
        <w:pStyle w:val="Call"/>
        <w:rPr>
          <w:lang w:eastAsia="fr-CH"/>
        </w:rPr>
      </w:pPr>
      <w:r w:rsidRPr="00D47E73">
        <w:rPr>
          <w:lang w:eastAsia="fr-CH"/>
        </w:rPr>
        <w:t>notant</w:t>
      </w:r>
    </w:p>
    <w:p w:rsidRPr="00D47E73" w:rsidR="00534731" w:rsidP="00D55267" w:rsidRDefault="00534731" w14:paraId="6B9FE0CF" w14:textId="66C157D1">
      <w:pPr>
        <w:jc w:val="both"/>
        <w:rPr>
          <w:lang w:eastAsia="fr-CH"/>
        </w:rPr>
      </w:pPr>
      <w:r w:rsidRPr="00D47E73">
        <w:rPr>
          <w:lang w:eastAsia="fr-CH"/>
        </w:rPr>
        <w:t>que le CICR a commencé à réaliser des prototypes opérationnels d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emblèmes numériques de la Croix</w:t>
      </w:r>
      <w:r w:rsidRPr="00D47E73" w:rsidR="00677A2A">
        <w:rPr>
          <w:lang w:eastAsia="fr-CH"/>
        </w:rPr>
        <w:noBreakHyphen/>
      </w:r>
      <w:r w:rsidRPr="00D47E73">
        <w:rPr>
          <w:lang w:eastAsia="fr-CH"/>
        </w:rPr>
        <w:t xml:space="preserve">Rouge, du Croissant-Rouge et du Cristal rouge, </w:t>
      </w:r>
      <w:r w:rsidRPr="00D47E73" w:rsidR="00AC63DF">
        <w:rPr>
          <w:lang w:eastAsia="fr-CH"/>
        </w:rPr>
        <w:t xml:space="preserve">et </w:t>
      </w:r>
      <w:r w:rsidRPr="00D47E73">
        <w:rPr>
          <w:lang w:eastAsia="fr-CH"/>
        </w:rPr>
        <w:t>notamment à procéder à des essais techniques et à étudier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élaboration de normes techniques quant à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utilisation d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une version numérique de ces emblèmes,</w:t>
      </w:r>
    </w:p>
    <w:p w:rsidRPr="00D47E73" w:rsidR="00D40226" w:rsidP="00C14411" w:rsidRDefault="00214212" w14:paraId="33A27E74" w14:textId="6AB543D1">
      <w:pPr>
        <w:pStyle w:val="Call"/>
        <w:rPr>
          <w:lang w:eastAsia="fr-CH"/>
        </w:rPr>
      </w:pPr>
      <w:r w:rsidRPr="00D47E73">
        <w:rPr>
          <w:lang w:eastAsia="fr-CH"/>
        </w:rPr>
        <w:t>convaincue</w:t>
      </w:r>
    </w:p>
    <w:p w:rsidRPr="00D47E73" w:rsidR="00D40226" w:rsidP="00D55267" w:rsidRDefault="00214212" w14:paraId="721573AF" w14:textId="08757BD6">
      <w:pPr>
        <w:jc w:val="both"/>
        <w:rPr>
          <w:lang w:eastAsia="fr-CH"/>
        </w:rPr>
      </w:pPr>
      <w:r w:rsidRPr="00D47E73">
        <w:rPr>
          <w:i/>
          <w:iCs/>
          <w:lang w:eastAsia="fr-CH"/>
        </w:rPr>
        <w:t>a)</w:t>
      </w:r>
      <w:r w:rsidRPr="00D47E73">
        <w:rPr>
          <w:i/>
          <w:iCs/>
          <w:lang w:eastAsia="fr-CH"/>
        </w:rPr>
        <w:tab/>
      </w:r>
      <w:r w:rsidRPr="00D47E73">
        <w:rPr>
          <w:lang w:eastAsia="fr-CH"/>
        </w:rPr>
        <w:t>que la mise en œuvre d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un cadre régissant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utilisation, la diffusion, la détection et la vérification de solutions techniques permettant de recenser les infrastructures et les systèmes numériques qui doivent être respectés et protégés, ou bénéficier d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 xml:space="preserve">autres protections spécifiques, en vertu des Conventions de Genève et de leurs </w:t>
      </w:r>
      <w:r w:rsidRPr="00D47E73" w:rsidR="00C14411">
        <w:rPr>
          <w:lang w:eastAsia="fr-CH"/>
        </w:rPr>
        <w:t>P</w:t>
      </w:r>
      <w:r w:rsidRPr="00D47E73">
        <w:rPr>
          <w:lang w:eastAsia="fr-CH"/>
        </w:rPr>
        <w:t>rotocoles additionnels, nécessite une large adoption de ces solutions et une coopération soutenue entre de nombreux acteurs;</w:t>
      </w:r>
    </w:p>
    <w:p w:rsidRPr="00D47E73" w:rsidR="00917E3F" w:rsidP="00D55267" w:rsidRDefault="00917E3F" w14:paraId="1189AAD0" w14:textId="212F8EAD">
      <w:pPr>
        <w:jc w:val="both"/>
        <w:rPr>
          <w:lang w:eastAsia="fr-CH"/>
        </w:rPr>
      </w:pPr>
      <w:r w:rsidRPr="00D55267">
        <w:rPr>
          <w:i/>
          <w:iCs/>
          <w:lang w:eastAsia="fr-CH"/>
        </w:rPr>
        <w:t>b)</w:t>
      </w:r>
      <w:r w:rsidRPr="00D47E73">
        <w:rPr>
          <w:lang w:eastAsia="fr-CH"/>
        </w:rPr>
        <w:tab/>
        <w:t>que les compétences et la capacité de mobilisation de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UIT dans les domaines, notamment, de la normalisation technique et du partage des connaissances en matière de politiques et de réglementations relatives aux TIC pourraient s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avérer d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une grande utilité pour le CICR dans les efforts qu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il déploie pour mettre en œuvre la Résolution 2 de la 34ème Conférence internationale de la Croix-Rouge et du Croissant-Rouge,</w:t>
      </w:r>
    </w:p>
    <w:p w:rsidRPr="00D47E73" w:rsidR="00D40226" w:rsidP="00C14411" w:rsidRDefault="00917E3F" w14:paraId="01119EDF" w14:textId="1E1C6C94">
      <w:pPr>
        <w:pStyle w:val="Call"/>
        <w:rPr>
          <w:lang w:eastAsia="fr-CH"/>
        </w:rPr>
      </w:pPr>
      <w:r w:rsidRPr="00D47E73">
        <w:rPr>
          <w:lang w:eastAsia="fr-CH"/>
        </w:rPr>
        <w:t>décide</w:t>
      </w:r>
    </w:p>
    <w:p w:rsidRPr="00D47E73" w:rsidR="00917E3F" w:rsidP="00D55267" w:rsidRDefault="00917E3F" w14:paraId="287AADF4" w14:textId="61B66759">
      <w:pPr>
        <w:jc w:val="both"/>
        <w:rPr>
          <w:lang w:eastAsia="fr-CH"/>
        </w:rPr>
      </w:pPr>
      <w:r w:rsidRPr="00D47E73">
        <w:rPr>
          <w:lang w:eastAsia="fr-CH"/>
        </w:rPr>
        <w:t>que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 xml:space="preserve">UIT devrait offrir son </w:t>
      </w:r>
      <w:r w:rsidRPr="00D47E73" w:rsidR="00AC63DF">
        <w:rPr>
          <w:lang w:eastAsia="fr-CH"/>
        </w:rPr>
        <w:t>assistance</w:t>
      </w:r>
      <w:r w:rsidRPr="00D47E73">
        <w:rPr>
          <w:lang w:eastAsia="fr-CH"/>
        </w:rPr>
        <w:t>, dans le cadre de son mandat, au CICR, afin de faciliter le développement et la diffusion de solutions techniques élaborées sous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égide du CICR et contribuant à la protection des infrastructures et des applications TIC utilisées par les services médicaux et le Mouvement de la Croix-Rouge et du Croissant-Rouge, conformément aux dispositions des Conventions de Genève et de leurs Protocoles additionnels,</w:t>
      </w:r>
    </w:p>
    <w:p w:rsidRPr="00D47E73" w:rsidR="00917E3F" w:rsidP="00C14411" w:rsidRDefault="00917E3F" w14:paraId="3EB7931A" w14:textId="437E2735">
      <w:pPr>
        <w:pStyle w:val="Call"/>
        <w:rPr>
          <w:lang w:eastAsia="fr-CH"/>
        </w:rPr>
      </w:pPr>
      <w:r w:rsidRPr="00D47E73">
        <w:rPr>
          <w:lang w:eastAsia="fr-CH"/>
        </w:rPr>
        <w:t>charge le Conseil de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UIT</w:t>
      </w:r>
    </w:p>
    <w:p w:rsidRPr="00D47E73" w:rsidR="00917E3F" w:rsidP="00D55267" w:rsidRDefault="00917E3F" w14:paraId="5F3C0FAC" w14:textId="55603560">
      <w:pPr>
        <w:jc w:val="both"/>
        <w:rPr>
          <w:lang w:eastAsia="fr-CH"/>
        </w:rPr>
      </w:pPr>
      <w:r w:rsidRPr="00D47E73">
        <w:rPr>
          <w:lang w:eastAsia="fr-CH"/>
        </w:rPr>
        <w:t>d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 xml:space="preserve">examiner le rapport du Secrétaire général et de </w:t>
      </w:r>
      <w:r w:rsidRPr="00D47E73" w:rsidR="00A34A66">
        <w:rPr>
          <w:lang w:eastAsia="fr-CH"/>
        </w:rPr>
        <w:t>rendre compte à</w:t>
      </w:r>
      <w:r w:rsidRPr="00D47E73">
        <w:rPr>
          <w:lang w:eastAsia="fr-CH"/>
        </w:rPr>
        <w:t xml:space="preserve"> la Conférence de plénipotentiaires </w:t>
      </w:r>
      <w:r w:rsidRPr="00D47E73" w:rsidR="00A34A66">
        <w:rPr>
          <w:lang w:eastAsia="fr-CH"/>
        </w:rPr>
        <w:t xml:space="preserve">de </w:t>
      </w:r>
      <w:r w:rsidRPr="00D47E73">
        <w:rPr>
          <w:lang w:eastAsia="fr-CH"/>
        </w:rPr>
        <w:t xml:space="preserve">la mise en œuvre de la présente </w:t>
      </w:r>
      <w:r w:rsidRPr="00D47E73" w:rsidR="00AC63DF">
        <w:rPr>
          <w:lang w:eastAsia="fr-CH"/>
        </w:rPr>
        <w:t>R</w:t>
      </w:r>
      <w:r w:rsidRPr="00D47E73">
        <w:rPr>
          <w:lang w:eastAsia="fr-CH"/>
        </w:rPr>
        <w:t>ésolution,</w:t>
      </w:r>
    </w:p>
    <w:p w:rsidRPr="00D47E73" w:rsidR="00A34A66" w:rsidP="00C14411" w:rsidRDefault="00A34A66" w14:paraId="1154FD9C" w14:textId="59B2F3FE">
      <w:pPr>
        <w:pStyle w:val="Call"/>
        <w:rPr>
          <w:lang w:eastAsia="fr-CH"/>
        </w:rPr>
      </w:pPr>
      <w:r w:rsidRPr="00D47E73">
        <w:rPr>
          <w:lang w:eastAsia="fr-CH"/>
        </w:rPr>
        <w:t>charge le Secrétaire général, en étroite concertation avec les Directeurs des trois Bureaux</w:t>
      </w:r>
    </w:p>
    <w:p w:rsidRPr="00D47E73" w:rsidR="00917E3F" w:rsidP="00D55267" w:rsidRDefault="00A34A66" w14:paraId="4722DD7B" w14:textId="1CC482F2">
      <w:pPr>
        <w:jc w:val="both"/>
        <w:rPr>
          <w:lang w:eastAsia="fr-CH"/>
        </w:rPr>
      </w:pPr>
      <w:r w:rsidRPr="00D47E73">
        <w:rPr>
          <w:lang w:eastAsia="fr-CH"/>
        </w:rPr>
        <w:t>1</w:t>
      </w:r>
      <w:r w:rsidRPr="00D47E73">
        <w:rPr>
          <w:lang w:eastAsia="fr-CH"/>
        </w:rPr>
        <w:tab/>
        <w:t>de porter la présente Résolution à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attention du CICR;</w:t>
      </w:r>
    </w:p>
    <w:p w:rsidRPr="00D47E73" w:rsidR="00917E3F" w:rsidP="00D55267" w:rsidRDefault="00A34A66" w14:paraId="11FEF2A7" w14:textId="11EB63E2">
      <w:pPr>
        <w:jc w:val="both"/>
        <w:rPr>
          <w:lang w:eastAsia="fr-CH"/>
        </w:rPr>
      </w:pPr>
      <w:r w:rsidRPr="00D47E73">
        <w:rPr>
          <w:lang w:eastAsia="fr-CH"/>
        </w:rPr>
        <w:t>2</w:t>
      </w:r>
      <w:r w:rsidRPr="00D47E73">
        <w:rPr>
          <w:lang w:eastAsia="fr-CH"/>
        </w:rPr>
        <w:tab/>
        <w:t>d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encourager la poursuite de la collaboration entre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UIT et le CICR en vue de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élaboration et de la diffusion de normes techniques, conformément aux objectifs énoncés dans la Résolution</w:t>
      </w:r>
      <w:r w:rsidRPr="00D47E73" w:rsidR="00C14411">
        <w:rPr>
          <w:lang w:eastAsia="fr-CH"/>
        </w:rPr>
        <w:t> </w:t>
      </w:r>
      <w:r w:rsidRPr="00D47E73">
        <w:rPr>
          <w:lang w:eastAsia="fr-CH"/>
        </w:rPr>
        <w:t>2 de la 34ème Conférence internationale de la Croix-Rouge et du Croissant-Rouge;</w:t>
      </w:r>
    </w:p>
    <w:p w:rsidRPr="00D47E73" w:rsidR="00A34A66" w:rsidP="00D55267" w:rsidRDefault="00A34A66" w14:paraId="7236182E" w14:textId="1157EC28">
      <w:pPr>
        <w:jc w:val="both"/>
        <w:rPr>
          <w:lang w:eastAsia="fr-CH"/>
        </w:rPr>
      </w:pPr>
      <w:r w:rsidRPr="00D47E73">
        <w:rPr>
          <w:lang w:eastAsia="fr-CH"/>
        </w:rPr>
        <w:t>3</w:t>
      </w:r>
      <w:r w:rsidRPr="00D47E73">
        <w:rPr>
          <w:lang w:eastAsia="fr-CH"/>
        </w:rPr>
        <w:tab/>
        <w:t>de soumettre au Conseil, au cours de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année de la tenue d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 xml:space="preserve">une Conférence de plénipotentiaires, un rapport sur la mise en œuvre de la présente </w:t>
      </w:r>
      <w:r w:rsidRPr="00D47E73" w:rsidR="00AC63DF">
        <w:rPr>
          <w:lang w:eastAsia="fr-CH"/>
        </w:rPr>
        <w:t>R</w:t>
      </w:r>
      <w:r w:rsidRPr="00D47E73">
        <w:rPr>
          <w:lang w:eastAsia="fr-CH"/>
        </w:rPr>
        <w:t>ésolution,</w:t>
      </w:r>
    </w:p>
    <w:p w:rsidRPr="00D47E73" w:rsidR="00917E3F" w:rsidP="00C14411" w:rsidRDefault="00A34A66" w14:paraId="7921F225" w14:textId="0E638D4D">
      <w:pPr>
        <w:pStyle w:val="Call"/>
        <w:rPr>
          <w:lang w:eastAsia="fr-CH"/>
        </w:rPr>
      </w:pPr>
      <w:r w:rsidRPr="00D47E73">
        <w:rPr>
          <w:lang w:eastAsia="fr-CH"/>
        </w:rPr>
        <w:t>invite les États Membres, les Membres de Secteur, les Associés et les établissements universitaires, ainsi que les parties prenantes</w:t>
      </w:r>
    </w:p>
    <w:p w:rsidRPr="00D47E73" w:rsidR="00A34A66" w:rsidP="00D55267" w:rsidRDefault="00A34A66" w14:paraId="61431412" w14:textId="54CF9A25">
      <w:pPr>
        <w:jc w:val="both"/>
        <w:rPr>
          <w:lang w:eastAsia="fr-CH"/>
        </w:rPr>
      </w:pPr>
      <w:r w:rsidRPr="00D47E73">
        <w:rPr>
          <w:lang w:eastAsia="fr-CH"/>
        </w:rPr>
        <w:t>à contribuer aux activités de l</w:t>
      </w:r>
      <w:r w:rsidRPr="00D47E73" w:rsidR="00C14411">
        <w:rPr>
          <w:lang w:eastAsia="fr-CH"/>
        </w:rPr>
        <w:t>'</w:t>
      </w:r>
      <w:r w:rsidRPr="00D47E73">
        <w:rPr>
          <w:lang w:eastAsia="fr-CH"/>
        </w:rPr>
        <w:t>UIT relatives aux normes techniques</w:t>
      </w:r>
      <w:r w:rsidRPr="00D47E73" w:rsidR="000F4EBE">
        <w:rPr>
          <w:lang w:eastAsia="fr-CH"/>
        </w:rPr>
        <w:t xml:space="preserve"> et à y collaborer</w:t>
      </w:r>
      <w:r w:rsidRPr="00D47E73">
        <w:rPr>
          <w:lang w:eastAsia="fr-CH"/>
        </w:rPr>
        <w:t>, conformément aux objectifs énoncés dans la Résolution 2 de la 34ème Conférence internationale de la Croix-Rouge et du Croissant-Rouge,</w:t>
      </w:r>
    </w:p>
    <w:p w:rsidRPr="00D47E73" w:rsidR="00A34A66" w:rsidP="00C14411" w:rsidRDefault="000F4EBE" w14:paraId="13530D3A" w14:textId="1C307F4B">
      <w:pPr>
        <w:pStyle w:val="Call"/>
        <w:rPr>
          <w:lang w:eastAsia="fr-CH"/>
        </w:rPr>
      </w:pPr>
      <w:r w:rsidRPr="00D47E73">
        <w:rPr>
          <w:lang w:eastAsia="fr-CH"/>
        </w:rPr>
        <w:t>invite le Comité international de la Croix-Rouge</w:t>
      </w:r>
    </w:p>
    <w:p w:rsidRPr="00D47E73" w:rsidR="00A34A66" w:rsidP="00D55267" w:rsidRDefault="00AC63DF" w14:paraId="4D1A8637" w14:textId="09ED9DC3">
      <w:pPr>
        <w:jc w:val="both"/>
        <w:rPr>
          <w:lang w:eastAsia="fr-CH"/>
        </w:rPr>
      </w:pPr>
      <w:r w:rsidRPr="00D47E73">
        <w:rPr>
          <w:lang w:eastAsia="fr-CH"/>
        </w:rPr>
        <w:t xml:space="preserve">à </w:t>
      </w:r>
      <w:r w:rsidRPr="00D47E73" w:rsidR="000F4EBE">
        <w:rPr>
          <w:lang w:eastAsia="fr-CH"/>
        </w:rPr>
        <w:t>informer l</w:t>
      </w:r>
      <w:r w:rsidRPr="00D47E73" w:rsidR="00C14411">
        <w:rPr>
          <w:lang w:eastAsia="fr-CH"/>
        </w:rPr>
        <w:t>'</w:t>
      </w:r>
      <w:r w:rsidRPr="00D47E73" w:rsidR="000F4EBE">
        <w:rPr>
          <w:lang w:eastAsia="fr-CH"/>
        </w:rPr>
        <w:t>UIT</w:t>
      </w:r>
      <w:r w:rsidRPr="00D47E73">
        <w:rPr>
          <w:lang w:eastAsia="fr-CH"/>
        </w:rPr>
        <w:t>,</w:t>
      </w:r>
      <w:r w:rsidRPr="00D47E73" w:rsidR="000F4EBE">
        <w:rPr>
          <w:lang w:eastAsia="fr-CH"/>
        </w:rPr>
        <w:t xml:space="preserve"> en temps voulu</w:t>
      </w:r>
      <w:r w:rsidRPr="00D47E73">
        <w:rPr>
          <w:lang w:eastAsia="fr-CH"/>
        </w:rPr>
        <w:t>,</w:t>
      </w:r>
      <w:r w:rsidRPr="00D47E73" w:rsidR="000F4EBE">
        <w:rPr>
          <w:lang w:eastAsia="fr-CH"/>
        </w:rPr>
        <w:t xml:space="preserve"> des progrès qu</w:t>
      </w:r>
      <w:r w:rsidRPr="00D47E73" w:rsidR="00C14411">
        <w:rPr>
          <w:lang w:eastAsia="fr-CH"/>
        </w:rPr>
        <w:t>'</w:t>
      </w:r>
      <w:r w:rsidRPr="00D47E73" w:rsidR="000F4EBE">
        <w:rPr>
          <w:lang w:eastAsia="fr-CH"/>
        </w:rPr>
        <w:t xml:space="preserve">il a accomplis, ainsi que </w:t>
      </w:r>
      <w:r w:rsidRPr="00D47E73">
        <w:rPr>
          <w:lang w:eastAsia="fr-CH"/>
        </w:rPr>
        <w:t xml:space="preserve">de </w:t>
      </w:r>
      <w:r w:rsidRPr="00D47E73" w:rsidR="000F4EBE">
        <w:rPr>
          <w:lang w:eastAsia="fr-CH"/>
        </w:rPr>
        <w:t xml:space="preserve">ceux réalisés par les </w:t>
      </w:r>
      <w:r w:rsidRPr="00D47E73" w:rsidR="000F4EBE">
        <w:rPr>
          <w:rFonts w:cs="Calibri"/>
          <w:lang w:eastAsia="fr-CH"/>
        </w:rPr>
        <w:t>É</w:t>
      </w:r>
      <w:r w:rsidRPr="00D47E73" w:rsidR="000F4EBE">
        <w:rPr>
          <w:lang w:eastAsia="fr-CH"/>
        </w:rPr>
        <w:t>tats et les composantes du Mouvement, en ce qui concerne la transposition dans l</w:t>
      </w:r>
      <w:r w:rsidRPr="00D47E73" w:rsidR="00C14411">
        <w:rPr>
          <w:lang w:eastAsia="fr-CH"/>
        </w:rPr>
        <w:t>'</w:t>
      </w:r>
      <w:r w:rsidRPr="00D47E73" w:rsidR="000F4EBE">
        <w:rPr>
          <w:lang w:eastAsia="fr-CH"/>
        </w:rPr>
        <w:t>environnement numérique des fonctions des emblèmes distinctifs internationalement reconnus de la Croix-Rouge, du Croissant-Rouge et du Cristal rouge.</w:t>
      </w:r>
    </w:p>
    <w:sectPr>
      <w:pgSz w:w="11913" w:h="16834" w:orient="portrait" w:code="9"/>
      <w:pgMar w:top="1418" w:right="1134" w:bottom="1418" w:left="1134" w:header="720" w:footer="72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477ED" w14:textId="77777777" w:rsidR="002218E0" w:rsidRPr="00C14411" w:rsidRDefault="002218E0">
      <w:r w:rsidRPr="00C14411">
        <w:separator/>
      </w:r>
    </w:p>
  </w:endnote>
  <w:endnote w:type="continuationSeparator" w:id="0">
    <w:p w14:paraId="5D627A22" w14:textId="77777777" w:rsidR="002218E0" w:rsidRPr="00C14411" w:rsidRDefault="002218E0">
      <w:r w:rsidRPr="00C144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9ED497" w14:textId="77777777" w:rsidR="002218E0" w:rsidRPr="00C14411" w:rsidRDefault="002218E0">
      <w:r w:rsidRPr="00C14411">
        <w:t>____________________</w:t>
      </w:r>
    </w:p>
  </w:footnote>
  <w:footnote w:type="continuationSeparator" w:id="0">
    <w:p w14:paraId="3CA3EA4A" w14:textId="77777777" w:rsidR="002218E0" w:rsidRPr="00C14411" w:rsidRDefault="002218E0">
      <w:r w:rsidRPr="00C14411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E02000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BD8367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B0202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0E87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DC0D6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9C373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EB276D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3A0388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1C048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7893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14353966">
    <w:abstractNumId w:val="9"/>
  </w:num>
  <w:num w:numId="2" w16cid:durableId="1386756599">
    <w:abstractNumId w:val="7"/>
  </w:num>
  <w:num w:numId="3" w16cid:durableId="227032400">
    <w:abstractNumId w:val="6"/>
  </w:num>
  <w:num w:numId="4" w16cid:durableId="140660450">
    <w:abstractNumId w:val="5"/>
  </w:num>
  <w:num w:numId="5" w16cid:durableId="355615950">
    <w:abstractNumId w:val="4"/>
  </w:num>
  <w:num w:numId="6" w16cid:durableId="335423847">
    <w:abstractNumId w:val="8"/>
  </w:num>
  <w:num w:numId="7" w16cid:durableId="1644429874">
    <w:abstractNumId w:val="3"/>
  </w:num>
  <w:num w:numId="8" w16cid:durableId="1257637336">
    <w:abstractNumId w:val="2"/>
  </w:num>
  <w:num w:numId="9" w16cid:durableId="290210101">
    <w:abstractNumId w:val="1"/>
  </w:num>
  <w:num w:numId="10" w16cid:durableId="260844668">
    <w:abstractNumId w:val="0"/>
  </w:num>
  <w:num w:numId="11" w16cid:durableId="2021080943">
    <w:abstractNumId w:val="8"/>
  </w:num>
  <w:num w:numId="12" w16cid:durableId="188494129">
    <w:abstractNumId w:val="3"/>
  </w:num>
  <w:num w:numId="13" w16cid:durableId="68776024">
    <w:abstractNumId w:val="2"/>
  </w:num>
  <w:num w:numId="14" w16cid:durableId="1823347032">
    <w:abstractNumId w:val="1"/>
  </w:num>
  <w:num w:numId="15" w16cid:durableId="497893309">
    <w:abstractNumId w:val="0"/>
  </w:num>
  <w:num w:numId="16" w16cid:durableId="1222792388">
    <w:abstractNumId w:val="8"/>
  </w:num>
  <w:num w:numId="17" w16cid:durableId="433290394">
    <w:abstractNumId w:val="3"/>
  </w:num>
  <w:num w:numId="18" w16cid:durableId="600841955">
    <w:abstractNumId w:val="2"/>
  </w:num>
  <w:num w:numId="19" w16cid:durableId="335423134">
    <w:abstractNumId w:val="1"/>
  </w:num>
  <w:num w:numId="20" w16cid:durableId="1536387131">
    <w:abstractNumId w:val="0"/>
  </w:num>
  <w:num w:numId="21" w16cid:durableId="84500184">
    <w:abstractNumId w:val="8"/>
  </w:num>
  <w:num w:numId="22" w16cid:durableId="1322002028">
    <w:abstractNumId w:val="3"/>
  </w:num>
  <w:num w:numId="23" w16cid:durableId="751392059">
    <w:abstractNumId w:val="2"/>
  </w:num>
  <w:num w:numId="24" w16cid:durableId="828328732">
    <w:abstractNumId w:val="1"/>
  </w:num>
  <w:num w:numId="25" w16cid:durableId="1401293015">
    <w:abstractNumId w:val="0"/>
  </w:num>
  <w:num w:numId="26" w16cid:durableId="644356455">
    <w:abstractNumId w:val="8"/>
  </w:num>
  <w:num w:numId="27" w16cid:durableId="791748185">
    <w:abstractNumId w:val="3"/>
  </w:num>
  <w:num w:numId="28" w16cid:durableId="519701698">
    <w:abstractNumId w:val="2"/>
  </w:num>
  <w:num w:numId="29" w16cid:durableId="1293829092">
    <w:abstractNumId w:val="1"/>
  </w:num>
  <w:num w:numId="30" w16cid:durableId="2142770218">
    <w:abstractNumId w:val="0"/>
  </w:num>
  <w:num w:numId="31" w16cid:durableId="755633788">
    <w:abstractNumId w:val="8"/>
  </w:num>
  <w:num w:numId="32" w16cid:durableId="190993221">
    <w:abstractNumId w:val="3"/>
  </w:num>
  <w:num w:numId="33" w16cid:durableId="1016686437">
    <w:abstractNumId w:val="2"/>
  </w:num>
  <w:num w:numId="34" w16cid:durableId="189875575">
    <w:abstractNumId w:val="1"/>
  </w:num>
  <w:num w:numId="35" w16cid:durableId="809520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D5E"/>
    <w:rsid w:val="000054D8"/>
    <w:rsid w:val="00060D74"/>
    <w:rsid w:val="00072D5C"/>
    <w:rsid w:val="0008398C"/>
    <w:rsid w:val="00084308"/>
    <w:rsid w:val="000B14B6"/>
    <w:rsid w:val="000C467B"/>
    <w:rsid w:val="000D15FB"/>
    <w:rsid w:val="000F4EBE"/>
    <w:rsid w:val="000F58F7"/>
    <w:rsid w:val="001051E4"/>
    <w:rsid w:val="001354EA"/>
    <w:rsid w:val="00136878"/>
    <w:rsid w:val="00136FCE"/>
    <w:rsid w:val="00153BA4"/>
    <w:rsid w:val="001941AD"/>
    <w:rsid w:val="0019732C"/>
    <w:rsid w:val="001A0682"/>
    <w:rsid w:val="001B4D8D"/>
    <w:rsid w:val="001C3790"/>
    <w:rsid w:val="001D31B2"/>
    <w:rsid w:val="001E1B9B"/>
    <w:rsid w:val="001E2226"/>
    <w:rsid w:val="001F0B24"/>
    <w:rsid w:val="001F6233"/>
    <w:rsid w:val="00214212"/>
    <w:rsid w:val="00214288"/>
    <w:rsid w:val="002218E0"/>
    <w:rsid w:val="00224E56"/>
    <w:rsid w:val="002355CD"/>
    <w:rsid w:val="00270B2F"/>
    <w:rsid w:val="002712F9"/>
    <w:rsid w:val="0027371F"/>
    <w:rsid w:val="002A0E1B"/>
    <w:rsid w:val="002A7A1D"/>
    <w:rsid w:val="002C1059"/>
    <w:rsid w:val="002C2F9C"/>
    <w:rsid w:val="002E1AF7"/>
    <w:rsid w:val="002F3582"/>
    <w:rsid w:val="00322DEA"/>
    <w:rsid w:val="00355FBD"/>
    <w:rsid w:val="00371863"/>
    <w:rsid w:val="003777EB"/>
    <w:rsid w:val="00381461"/>
    <w:rsid w:val="00391C12"/>
    <w:rsid w:val="003A0B7D"/>
    <w:rsid w:val="003A45C2"/>
    <w:rsid w:val="003B7A11"/>
    <w:rsid w:val="003C4BE2"/>
    <w:rsid w:val="003D147D"/>
    <w:rsid w:val="003D637A"/>
    <w:rsid w:val="00413CB9"/>
    <w:rsid w:val="00430015"/>
    <w:rsid w:val="004678D0"/>
    <w:rsid w:val="00482954"/>
    <w:rsid w:val="004951C0"/>
    <w:rsid w:val="004C2CFA"/>
    <w:rsid w:val="004C37A3"/>
    <w:rsid w:val="004C7646"/>
    <w:rsid w:val="004D4BC3"/>
    <w:rsid w:val="00524001"/>
    <w:rsid w:val="00534731"/>
    <w:rsid w:val="00564B63"/>
    <w:rsid w:val="005702C8"/>
    <w:rsid w:val="00575DC7"/>
    <w:rsid w:val="005836C2"/>
    <w:rsid w:val="005A4EFD"/>
    <w:rsid w:val="005A5ABE"/>
    <w:rsid w:val="005C2ECC"/>
    <w:rsid w:val="005C6744"/>
    <w:rsid w:val="005E419E"/>
    <w:rsid w:val="005F63BD"/>
    <w:rsid w:val="00611CF1"/>
    <w:rsid w:val="006201D9"/>
    <w:rsid w:val="006216A3"/>
    <w:rsid w:val="006277DB"/>
    <w:rsid w:val="00635B7B"/>
    <w:rsid w:val="00655B98"/>
    <w:rsid w:val="00664B7C"/>
    <w:rsid w:val="00667173"/>
    <w:rsid w:val="006710E6"/>
    <w:rsid w:val="00677A2A"/>
    <w:rsid w:val="00686973"/>
    <w:rsid w:val="00696B2D"/>
    <w:rsid w:val="00697A8D"/>
    <w:rsid w:val="006A0266"/>
    <w:rsid w:val="006A2656"/>
    <w:rsid w:val="006A3475"/>
    <w:rsid w:val="006A6342"/>
    <w:rsid w:val="006B6C9C"/>
    <w:rsid w:val="006C7AE3"/>
    <w:rsid w:val="006D55E8"/>
    <w:rsid w:val="006E1921"/>
    <w:rsid w:val="006E5B05"/>
    <w:rsid w:val="006F36F9"/>
    <w:rsid w:val="0070576B"/>
    <w:rsid w:val="00713335"/>
    <w:rsid w:val="00727C2F"/>
    <w:rsid w:val="00735F13"/>
    <w:rsid w:val="007575CC"/>
    <w:rsid w:val="007717F2"/>
    <w:rsid w:val="00772E3B"/>
    <w:rsid w:val="00780430"/>
    <w:rsid w:val="0078134C"/>
    <w:rsid w:val="007A47E9"/>
    <w:rsid w:val="007A5830"/>
    <w:rsid w:val="007D21FB"/>
    <w:rsid w:val="00801256"/>
    <w:rsid w:val="008264FC"/>
    <w:rsid w:val="008407A7"/>
    <w:rsid w:val="008703CB"/>
    <w:rsid w:val="00875F07"/>
    <w:rsid w:val="0089553C"/>
    <w:rsid w:val="008B61AF"/>
    <w:rsid w:val="008C33C2"/>
    <w:rsid w:val="008C6137"/>
    <w:rsid w:val="008D064F"/>
    <w:rsid w:val="008E2DB4"/>
    <w:rsid w:val="00901DD5"/>
    <w:rsid w:val="00901E77"/>
    <w:rsid w:val="0090735B"/>
    <w:rsid w:val="00912D5E"/>
    <w:rsid w:val="00917E3F"/>
    <w:rsid w:val="00923825"/>
    <w:rsid w:val="00934340"/>
    <w:rsid w:val="00956DC7"/>
    <w:rsid w:val="00966CD3"/>
    <w:rsid w:val="00987A20"/>
    <w:rsid w:val="009A0E15"/>
    <w:rsid w:val="009D4037"/>
    <w:rsid w:val="009F0592"/>
    <w:rsid w:val="009F6AD3"/>
    <w:rsid w:val="00A20E72"/>
    <w:rsid w:val="00A246DC"/>
    <w:rsid w:val="00A34A66"/>
    <w:rsid w:val="00A47BAF"/>
    <w:rsid w:val="00A47C7F"/>
    <w:rsid w:val="00A542D3"/>
    <w:rsid w:val="00A5784F"/>
    <w:rsid w:val="00A8436E"/>
    <w:rsid w:val="00A95B66"/>
    <w:rsid w:val="00A9689B"/>
    <w:rsid w:val="00AB190D"/>
    <w:rsid w:val="00AB536A"/>
    <w:rsid w:val="00AC63DF"/>
    <w:rsid w:val="00AE0667"/>
    <w:rsid w:val="00AF56C0"/>
    <w:rsid w:val="00B41E0A"/>
    <w:rsid w:val="00B42553"/>
    <w:rsid w:val="00B56DE0"/>
    <w:rsid w:val="00B64171"/>
    <w:rsid w:val="00B71F12"/>
    <w:rsid w:val="00B76FEC"/>
    <w:rsid w:val="00B85921"/>
    <w:rsid w:val="00B96B1E"/>
    <w:rsid w:val="00BB2A6F"/>
    <w:rsid w:val="00BC6911"/>
    <w:rsid w:val="00BD1614"/>
    <w:rsid w:val="00BD382C"/>
    <w:rsid w:val="00BD5C12"/>
    <w:rsid w:val="00BD5DA6"/>
    <w:rsid w:val="00BF7D25"/>
    <w:rsid w:val="00C010C0"/>
    <w:rsid w:val="00C0405F"/>
    <w:rsid w:val="00C14411"/>
    <w:rsid w:val="00C40CB5"/>
    <w:rsid w:val="00C54CE6"/>
    <w:rsid w:val="00C550F9"/>
    <w:rsid w:val="00C575E2"/>
    <w:rsid w:val="00C7368B"/>
    <w:rsid w:val="00C83906"/>
    <w:rsid w:val="00C92746"/>
    <w:rsid w:val="00CA2498"/>
    <w:rsid w:val="00CC4DC5"/>
    <w:rsid w:val="00CE1A7C"/>
    <w:rsid w:val="00CE496F"/>
    <w:rsid w:val="00D0464B"/>
    <w:rsid w:val="00D12C74"/>
    <w:rsid w:val="00D2263F"/>
    <w:rsid w:val="00D40226"/>
    <w:rsid w:val="00D47E73"/>
    <w:rsid w:val="00D55267"/>
    <w:rsid w:val="00D56483"/>
    <w:rsid w:val="00D5658F"/>
    <w:rsid w:val="00D56AD6"/>
    <w:rsid w:val="00D70019"/>
    <w:rsid w:val="00D74B58"/>
    <w:rsid w:val="00D82ABE"/>
    <w:rsid w:val="00D87802"/>
    <w:rsid w:val="00DA4ABA"/>
    <w:rsid w:val="00DA6032"/>
    <w:rsid w:val="00DA685B"/>
    <w:rsid w:val="00DA742B"/>
    <w:rsid w:val="00DE6F89"/>
    <w:rsid w:val="00DF25C1"/>
    <w:rsid w:val="00DF48F7"/>
    <w:rsid w:val="00DF4964"/>
    <w:rsid w:val="00DF4D73"/>
    <w:rsid w:val="00DF79B0"/>
    <w:rsid w:val="00E1047D"/>
    <w:rsid w:val="00E35F46"/>
    <w:rsid w:val="00E4050B"/>
    <w:rsid w:val="00E42C4C"/>
    <w:rsid w:val="00E443FA"/>
    <w:rsid w:val="00E54FCE"/>
    <w:rsid w:val="00E60DA1"/>
    <w:rsid w:val="00E921A2"/>
    <w:rsid w:val="00E93D35"/>
    <w:rsid w:val="00EA45DB"/>
    <w:rsid w:val="00EC1877"/>
    <w:rsid w:val="00ED2CD9"/>
    <w:rsid w:val="00F07DA7"/>
    <w:rsid w:val="00F16191"/>
    <w:rsid w:val="00F3254F"/>
    <w:rsid w:val="00F564C1"/>
    <w:rsid w:val="00F77FA2"/>
    <w:rsid w:val="00F8357A"/>
    <w:rsid w:val="00FA1B77"/>
    <w:rsid w:val="00FA55B4"/>
    <w:rsid w:val="00FB4B65"/>
    <w:rsid w:val="00FB74B8"/>
    <w:rsid w:val="00FC3D20"/>
    <w:rsid w:val="00FC49E0"/>
    <w:rsid w:val="00FD3A17"/>
    <w:rsid w:val="00FF0484"/>
    <w:rsid w:val="00FF4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EC0ED7"/>
  <w15:docId w15:val="{F7996034-3CD0-499A-8D2F-018CE164A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10E6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4"/>
      <w:lang w:val="fr-FR" w:eastAsia="en-US"/>
    </w:rPr>
  </w:style>
  <w:style w:type="paragraph" w:styleId="Heading1">
    <w:name w:val="heading 1"/>
    <w:basedOn w:val="Normal"/>
    <w:next w:val="Normal"/>
    <w:qFormat/>
    <w:rsid w:val="005A4EFD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686973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686973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3A0B7D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3A0B7D"/>
    <w:pPr>
      <w:outlineLvl w:val="4"/>
    </w:pPr>
  </w:style>
  <w:style w:type="paragraph" w:styleId="Heading6">
    <w:name w:val="heading 6"/>
    <w:basedOn w:val="Heading4"/>
    <w:next w:val="Normal"/>
    <w:qFormat/>
    <w:rsid w:val="003A0B7D"/>
    <w:pPr>
      <w:outlineLvl w:val="5"/>
    </w:pPr>
  </w:style>
  <w:style w:type="paragraph" w:styleId="Heading7">
    <w:name w:val="heading 7"/>
    <w:basedOn w:val="Heading4"/>
    <w:next w:val="Normal"/>
    <w:qFormat/>
    <w:rsid w:val="003A0B7D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3A0B7D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3A0B7D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Date">
    <w:name w:val="Date"/>
    <w:basedOn w:val="Normal"/>
    <w:rsid w:val="003A0B7D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styleId="Footer">
    <w:name w:val="footer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5A4EFD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3A0B7D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3A0B7D"/>
    <w:pPr>
      <w:ind w:left="567"/>
    </w:pPr>
  </w:style>
  <w:style w:type="paragraph" w:customStyle="1" w:styleId="Tablelegend">
    <w:name w:val="Table_legend"/>
    <w:basedOn w:val="Tabletext"/>
    <w:rsid w:val="003A0B7D"/>
    <w:pPr>
      <w:spacing w:before="120"/>
    </w:pPr>
  </w:style>
  <w:style w:type="paragraph" w:customStyle="1" w:styleId="Tabletext">
    <w:name w:val="Table_text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3A0B7D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3A0B7D"/>
    <w:pPr>
      <w:spacing w:before="86"/>
      <w:ind w:left="567" w:hanging="567"/>
    </w:pPr>
  </w:style>
  <w:style w:type="paragraph" w:customStyle="1" w:styleId="enumlev2">
    <w:name w:val="enumlev2"/>
    <w:basedOn w:val="enumlev1"/>
    <w:rsid w:val="003A0B7D"/>
    <w:pPr>
      <w:ind w:left="1134"/>
    </w:pPr>
  </w:style>
  <w:style w:type="paragraph" w:customStyle="1" w:styleId="enumlev3">
    <w:name w:val="enumlev3"/>
    <w:basedOn w:val="enumlev2"/>
    <w:rsid w:val="003A0B7D"/>
    <w:pPr>
      <w:ind w:left="1701"/>
    </w:pPr>
  </w:style>
  <w:style w:type="paragraph" w:customStyle="1" w:styleId="Tablehead">
    <w:name w:val="Table_head"/>
    <w:basedOn w:val="Tabletext"/>
    <w:rsid w:val="003A0B7D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3A0B7D"/>
    <w:pPr>
      <w:spacing w:before="240"/>
    </w:pPr>
  </w:style>
  <w:style w:type="paragraph" w:customStyle="1" w:styleId="AnnexNo">
    <w:name w:val="Annex_No"/>
    <w:basedOn w:val="Normal"/>
    <w:next w:val="Annexref"/>
    <w:rsid w:val="00686973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686973"/>
    <w:pPr>
      <w:jc w:val="center"/>
    </w:pPr>
    <w:rPr>
      <w:sz w:val="28"/>
    </w:rPr>
  </w:style>
  <w:style w:type="paragraph" w:customStyle="1" w:styleId="Annextitle">
    <w:name w:val="Annex_title"/>
    <w:basedOn w:val="Normal"/>
    <w:next w:val="Normal"/>
    <w:rsid w:val="00686973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686973"/>
  </w:style>
  <w:style w:type="paragraph" w:customStyle="1" w:styleId="Appendixref">
    <w:name w:val="Appendix_ref"/>
    <w:basedOn w:val="Annexref"/>
    <w:next w:val="Appendixtitle"/>
    <w:rsid w:val="003A0B7D"/>
  </w:style>
  <w:style w:type="paragraph" w:customStyle="1" w:styleId="Appendixtitle">
    <w:name w:val="Appendix_title"/>
    <w:basedOn w:val="Annextitle"/>
    <w:next w:val="Normal"/>
    <w:rsid w:val="003A0B7D"/>
  </w:style>
  <w:style w:type="paragraph" w:customStyle="1" w:styleId="Reftitle">
    <w:name w:val="Ref_title"/>
    <w:basedOn w:val="Normal"/>
    <w:next w:val="Reftext"/>
    <w:rsid w:val="00686973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3A0B7D"/>
    <w:pPr>
      <w:ind w:left="567" w:hanging="567"/>
    </w:pPr>
  </w:style>
  <w:style w:type="paragraph" w:customStyle="1" w:styleId="Rectitle">
    <w:name w:val="Rec_title"/>
    <w:basedOn w:val="Normal"/>
    <w:next w:val="Heading1"/>
    <w:rsid w:val="005A4EFD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3A0B7D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cNo">
    <w:name w:val="Rec_No"/>
    <w:basedOn w:val="Normal"/>
    <w:next w:val="Rectitle"/>
    <w:rsid w:val="00686973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3A0B7D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3A0B7D"/>
    <w:pPr>
      <w:ind w:left="-1701" w:hanging="284"/>
    </w:pPr>
  </w:style>
  <w:style w:type="paragraph" w:customStyle="1" w:styleId="Title3">
    <w:name w:val="Title 3"/>
    <w:basedOn w:val="Title2"/>
    <w:next w:val="Normalaftertitle"/>
    <w:rsid w:val="003A0B7D"/>
    <w:rPr>
      <w:caps w:val="0"/>
    </w:rPr>
  </w:style>
  <w:style w:type="paragraph" w:customStyle="1" w:styleId="Title2">
    <w:name w:val="Title 2"/>
    <w:basedOn w:val="Source"/>
    <w:next w:val="Title3"/>
    <w:rsid w:val="003A0B7D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F564C1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3A0B7D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3A0B7D"/>
  </w:style>
  <w:style w:type="paragraph" w:customStyle="1" w:styleId="Chaptitle">
    <w:name w:val="Chap_title"/>
    <w:basedOn w:val="Arttitle"/>
    <w:next w:val="Normal"/>
    <w:rsid w:val="003A0B7D"/>
  </w:style>
  <w:style w:type="paragraph" w:customStyle="1" w:styleId="Reasons">
    <w:name w:val="Reasons"/>
    <w:basedOn w:val="Normal"/>
    <w:rsid w:val="003A0B7D"/>
  </w:style>
  <w:style w:type="paragraph" w:customStyle="1" w:styleId="ResNo">
    <w:name w:val="Res_No"/>
    <w:basedOn w:val="AnnexNo"/>
    <w:next w:val="Restitle"/>
    <w:rsid w:val="003A0B7D"/>
  </w:style>
  <w:style w:type="paragraph" w:customStyle="1" w:styleId="Restitle">
    <w:name w:val="Res_title"/>
    <w:basedOn w:val="Annextitle"/>
    <w:next w:val="Normal"/>
    <w:rsid w:val="005A4EFD"/>
  </w:style>
  <w:style w:type="paragraph" w:customStyle="1" w:styleId="AnnexNoS2">
    <w:name w:val="Annex_No_S2"/>
    <w:basedOn w:val="AnnexNo"/>
    <w:next w:val="Anne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refS2">
    <w:name w:val="Annex_ref_S2"/>
    <w:basedOn w:val="Anne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nnextitleS2">
    <w:name w:val="Annex_title_S2"/>
    <w:basedOn w:val="Anne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NormalS2">
    <w:name w:val="Normal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Section1">
    <w:name w:val="Section 1"/>
    <w:basedOn w:val="ChapNo"/>
    <w:next w:val="Normal"/>
    <w:rsid w:val="003A0B7D"/>
    <w:rPr>
      <w:caps w:val="0"/>
    </w:rPr>
  </w:style>
  <w:style w:type="paragraph" w:customStyle="1" w:styleId="Section2">
    <w:name w:val="Section 2"/>
    <w:basedOn w:val="Section1"/>
    <w:next w:val="Normal"/>
    <w:rsid w:val="003A0B7D"/>
    <w:pPr>
      <w:spacing w:before="240"/>
    </w:pPr>
    <w:rPr>
      <w:b/>
      <w:i/>
    </w:rPr>
  </w:style>
  <w:style w:type="paragraph" w:customStyle="1" w:styleId="AppendixNoS2">
    <w:name w:val="Appendix_No_S2"/>
    <w:basedOn w:val="AppendixNo"/>
    <w:next w:val="Appendixref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titleS2">
    <w:name w:val="Appendix_title_S2"/>
    <w:basedOn w:val="Appendix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686973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5A4EFD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686973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3A0B7D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3A0B7D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ReasonsS2">
    <w:name w:val="Reasons_S2"/>
    <w:basedOn w:val="Reasons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4"/>
    </w:rPr>
  </w:style>
  <w:style w:type="paragraph" w:customStyle="1" w:styleId="ReftextS2">
    <w:name w:val="Ref_text_S2"/>
    <w:basedOn w:val="Reftext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686973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5A4EFD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3A0B7D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itleS2">
    <w:name w:val="Table_title_S2"/>
    <w:basedOn w:val="Tabletitle"/>
    <w:next w:val="TabletextS2"/>
    <w:rsid w:val="003A0B7D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abletextS2">
    <w:name w:val="Table_text_S2"/>
    <w:basedOn w:val="Tabletext"/>
    <w:rsid w:val="003A0B7D"/>
    <w:pPr>
      <w:tabs>
        <w:tab w:val="left" w:pos="851"/>
      </w:tabs>
    </w:pPr>
    <w:rPr>
      <w:b/>
    </w:rPr>
  </w:style>
  <w:style w:type="paragraph" w:customStyle="1" w:styleId="TablelegendS2">
    <w:name w:val="Table_legend_S2"/>
    <w:basedOn w:val="Tablelegend"/>
    <w:rsid w:val="003A0B7D"/>
    <w:pPr>
      <w:tabs>
        <w:tab w:val="left" w:pos="851"/>
      </w:tabs>
      <w:spacing w:after="0"/>
    </w:pPr>
    <w:rPr>
      <w:b/>
    </w:rPr>
  </w:style>
  <w:style w:type="paragraph" w:customStyle="1" w:styleId="FooterS2">
    <w:name w:val="Footer_S2"/>
    <w:basedOn w:val="Footer"/>
    <w:rsid w:val="003A0B7D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3A0B7D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3A0B7D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1c">
    <w:name w:val="Heading 1c"/>
    <w:basedOn w:val="Heading1"/>
    <w:next w:val="Normal"/>
    <w:rsid w:val="00CC4DC5"/>
    <w:pPr>
      <w:ind w:left="0" w:firstLine="0"/>
      <w:jc w:val="center"/>
      <w:outlineLvl w:val="9"/>
    </w:pPr>
  </w:style>
  <w:style w:type="paragraph" w:customStyle="1" w:styleId="Heading2i">
    <w:name w:val="Heading 2i"/>
    <w:basedOn w:val="Heading2"/>
    <w:next w:val="Normal"/>
    <w:rsid w:val="005A4EFD"/>
    <w:rPr>
      <w:b w:val="0"/>
      <w:i/>
    </w:rPr>
  </w:style>
  <w:style w:type="paragraph" w:customStyle="1" w:styleId="Heading1cS2">
    <w:name w:val="Heading 1c_S2"/>
    <w:basedOn w:val="Heading1c"/>
    <w:next w:val="NormalS2"/>
    <w:rsid w:val="00686973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FirstFooter">
    <w:name w:val="FirstFooter"/>
    <w:basedOn w:val="Footer"/>
    <w:rsid w:val="003A0B7D"/>
    <w:rPr>
      <w:caps w:val="0"/>
    </w:rPr>
  </w:style>
  <w:style w:type="paragraph" w:customStyle="1" w:styleId="Headingb">
    <w:name w:val="Heading_b"/>
    <w:basedOn w:val="Heading3"/>
    <w:next w:val="Normal"/>
    <w:rsid w:val="003A0B7D"/>
    <w:pPr>
      <w:spacing w:before="160"/>
      <w:outlineLvl w:val="0"/>
    </w:pPr>
  </w:style>
  <w:style w:type="paragraph" w:styleId="TOC9">
    <w:name w:val="toc 9"/>
    <w:basedOn w:val="Normal"/>
    <w:next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leader="dot" w:pos="9645"/>
      </w:tabs>
      <w:ind w:left="1920"/>
    </w:pPr>
  </w:style>
  <w:style w:type="paragraph" w:customStyle="1" w:styleId="Headingi">
    <w:name w:val="Heading_i"/>
    <w:basedOn w:val="Heading3"/>
    <w:next w:val="Normal"/>
    <w:rsid w:val="005A4EFD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iS2">
    <w:name w:val="Heading 2i_S2"/>
    <w:basedOn w:val="Heading2i"/>
    <w:next w:val="NormalS2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PageNumber">
    <w:name w:val="page number"/>
    <w:basedOn w:val="DefaultParagraphFont"/>
    <w:rsid w:val="005A4EFD"/>
    <w:rPr>
      <w:rFonts w:ascii="Calibri" w:hAnsi="Calibri"/>
    </w:rPr>
  </w:style>
  <w:style w:type="character" w:styleId="Hyperlink">
    <w:name w:val="Hyperlink"/>
    <w:basedOn w:val="DefaultParagraphFont"/>
    <w:uiPriority w:val="99"/>
    <w:rsid w:val="00CC4DC5"/>
    <w:rPr>
      <w:rFonts w:ascii="Calibri" w:hAnsi="Calibri"/>
      <w:color w:val="0000FF"/>
      <w:u w:val="single"/>
    </w:rPr>
  </w:style>
  <w:style w:type="paragraph" w:customStyle="1" w:styleId="firstfooter0">
    <w:name w:val="firstfooter"/>
    <w:basedOn w:val="Normal"/>
    <w:rsid w:val="00966CD3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Cs w:val="24"/>
      <w:lang w:val="en-US" w:eastAsia="zh-CN"/>
    </w:rPr>
  </w:style>
  <w:style w:type="paragraph" w:customStyle="1" w:styleId="Normalpv">
    <w:name w:val="Normal pv"/>
    <w:basedOn w:val="Normal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3A0B7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686973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686973"/>
    <w:pPr>
      <w:spacing w:before="200"/>
      <w:outlineLvl w:val="2"/>
    </w:pPr>
    <w:rPr>
      <w:sz w:val="24"/>
    </w:rPr>
  </w:style>
  <w:style w:type="paragraph" w:customStyle="1" w:styleId="NormalendS2">
    <w:name w:val="Normal_end_S2"/>
    <w:basedOn w:val="Normal"/>
    <w:qFormat/>
    <w:rsid w:val="006C7AE3"/>
  </w:style>
  <w:style w:type="paragraph" w:customStyle="1" w:styleId="Dectitle">
    <w:name w:val="Dec_title"/>
    <w:basedOn w:val="Restitle"/>
    <w:next w:val="Normalaftertitle"/>
    <w:qFormat/>
    <w:rsid w:val="00C92746"/>
  </w:style>
  <w:style w:type="paragraph" w:customStyle="1" w:styleId="DecNo">
    <w:name w:val="Dec_No"/>
    <w:basedOn w:val="ResNo"/>
    <w:next w:val="Dectitle"/>
    <w:qFormat/>
    <w:rsid w:val="00C92746"/>
  </w:style>
  <w:style w:type="paragraph" w:customStyle="1" w:styleId="DectitleS2">
    <w:name w:val="Dec_title_S2"/>
    <w:basedOn w:val="RestitleS2"/>
    <w:next w:val="Normal"/>
    <w:qFormat/>
    <w:rsid w:val="00C92746"/>
  </w:style>
  <w:style w:type="paragraph" w:customStyle="1" w:styleId="DecNoS2">
    <w:name w:val="Dec_No_S2"/>
    <w:basedOn w:val="ResNoS2"/>
    <w:next w:val="DectitleS2"/>
    <w:qFormat/>
    <w:rsid w:val="00C92746"/>
  </w:style>
  <w:style w:type="paragraph" w:customStyle="1" w:styleId="SectionNo">
    <w:name w:val="Section_No"/>
    <w:basedOn w:val="ArtNo"/>
    <w:next w:val="Normal"/>
    <w:qFormat/>
    <w:rsid w:val="0090735B"/>
    <w:rPr>
      <w:lang w:val="en-GB"/>
    </w:rPr>
  </w:style>
  <w:style w:type="paragraph" w:customStyle="1" w:styleId="SectionNoS2">
    <w:name w:val="Section_No_S2"/>
    <w:basedOn w:val="ArtNoS2"/>
    <w:next w:val="Normal"/>
    <w:qFormat/>
    <w:rsid w:val="0090735B"/>
    <w:rPr>
      <w:lang w:val="en-GB"/>
    </w:rPr>
  </w:style>
  <w:style w:type="paragraph" w:customStyle="1" w:styleId="Sectiontitle">
    <w:name w:val="Section_title"/>
    <w:basedOn w:val="Arttitle"/>
    <w:next w:val="Normalaftertitle"/>
    <w:qFormat/>
    <w:rsid w:val="0090735B"/>
    <w:rPr>
      <w:lang w:val="en-GB"/>
    </w:rPr>
  </w:style>
  <w:style w:type="paragraph" w:customStyle="1" w:styleId="SectiontitleS2">
    <w:name w:val="Section_title_S2"/>
    <w:basedOn w:val="ArttitleS2"/>
    <w:next w:val="Normal"/>
    <w:qFormat/>
    <w:rsid w:val="0090735B"/>
    <w:rPr>
      <w:lang w:val="en-GB"/>
    </w:rPr>
  </w:style>
  <w:style w:type="paragraph" w:customStyle="1" w:styleId="Proposal">
    <w:name w:val="Proposal"/>
    <w:basedOn w:val="Normal"/>
    <w:next w:val="Normal"/>
    <w:rsid w:val="008B61AF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="Times New Roman Bold"/>
      <w:b/>
    </w:rPr>
  </w:style>
  <w:style w:type="paragraph" w:customStyle="1" w:styleId="Agendaitem">
    <w:name w:val="Agenda_item"/>
    <w:basedOn w:val="Normal"/>
    <w:next w:val="Normal"/>
    <w:qFormat/>
    <w:rsid w:val="00BD161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fr-CH"/>
    </w:rPr>
  </w:style>
  <w:style w:type="paragraph" w:customStyle="1" w:styleId="Committee">
    <w:name w:val="Committee"/>
    <w:basedOn w:val="Normal"/>
    <w:qFormat/>
    <w:rsid w:val="00BD161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zCs w:val="24"/>
      <w:lang w:val="en-US"/>
    </w:rPr>
  </w:style>
  <w:style w:type="character" w:customStyle="1" w:styleId="HeaderChar">
    <w:name w:val="Header Char"/>
    <w:basedOn w:val="DefaultParagraphFont"/>
    <w:link w:val="Header"/>
    <w:rsid w:val="00BD1614"/>
    <w:rPr>
      <w:rFonts w:ascii="Calibri" w:hAnsi="Calibri"/>
      <w:sz w:val="18"/>
      <w:lang w:val="fr-FR" w:eastAsia="en-US"/>
    </w:rPr>
  </w:style>
  <w:style w:type="paragraph" w:styleId="BalloonText">
    <w:name w:val="Balloon Text"/>
    <w:basedOn w:val="Normal"/>
    <w:link w:val="BalloonTextChar"/>
    <w:rsid w:val="00AE0667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0667"/>
    <w:rPr>
      <w:rFonts w:ascii="Tahoma" w:hAnsi="Tahoma" w:cs="Tahoma"/>
      <w:sz w:val="16"/>
      <w:szCs w:val="16"/>
      <w:lang w:val="fr-FR" w:eastAsia="en-US"/>
    </w:rPr>
  </w:style>
  <w:style w:type="paragraph" w:customStyle="1" w:styleId="OP">
    <w:name w:val="OP"/>
    <w:basedOn w:val="Normal"/>
    <w:next w:val="Normal"/>
    <w:qFormat/>
    <w:rsid w:val="00D5658F"/>
    <w:pPr>
      <w:pageBreakBefore/>
      <w:tabs>
        <w:tab w:val="clear" w:pos="1134"/>
        <w:tab w:val="clear" w:pos="2268"/>
        <w:tab w:val="right" w:pos="567"/>
        <w:tab w:val="left" w:pos="794"/>
        <w:tab w:val="left" w:pos="1191"/>
        <w:tab w:val="left" w:pos="1588"/>
        <w:tab w:val="left" w:pos="1985"/>
      </w:tabs>
      <w:spacing w:before="240" w:after="240" w:line="480" w:lineRule="atLeast"/>
      <w:jc w:val="center"/>
    </w:pPr>
    <w:rPr>
      <w:b/>
      <w:sz w:val="32"/>
      <w:lang w:val="en-GB"/>
    </w:rPr>
  </w:style>
  <w:style w:type="paragraph" w:customStyle="1" w:styleId="OPtitle">
    <w:name w:val="OP_title"/>
    <w:basedOn w:val="Normal"/>
    <w:next w:val="Normalaftertitle"/>
    <w:qFormat/>
    <w:rsid w:val="00D5658F"/>
    <w:pPr>
      <w:jc w:val="center"/>
    </w:pPr>
    <w:rPr>
      <w:b/>
      <w:bCs/>
      <w:lang w:val="en-GB"/>
    </w:rPr>
  </w:style>
  <w:style w:type="paragraph" w:customStyle="1" w:styleId="VolumeTitle">
    <w:name w:val="VolumeTitle"/>
    <w:basedOn w:val="Normal"/>
    <w:next w:val="Normal"/>
    <w:rsid w:val="00270B2F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character" w:customStyle="1" w:styleId="href">
    <w:name w:val="href"/>
    <w:basedOn w:val="DefaultParagraphFont"/>
    <w:rsid w:val="006710E6"/>
    <w:rPr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7575C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901E77"/>
    <w:rPr>
      <w:color w:val="800080" w:themeColor="followedHyperlink"/>
      <w:u w:val="single"/>
    </w:rPr>
  </w:style>
  <w:style w:type="paragraph" w:customStyle="1" w:styleId="VolumeTitleS2">
    <w:name w:val="VolumeTitle_S2"/>
    <w:basedOn w:val="VolumeTitle"/>
    <w:next w:val="Normal"/>
    <w:qFormat/>
    <w:rsid w:val="00214288"/>
  </w:style>
  <w:style w:type="paragraph" w:styleId="ListParagraph">
    <w:name w:val="List Paragraph"/>
    <w:basedOn w:val="Normal"/>
    <w:uiPriority w:val="34"/>
    <w:qFormat/>
    <w:rsid w:val="00D87802"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/word/footnotes.xml" Id="R5f38eb6c7fad4a86" /><Relationship Type="http://schemas.openxmlformats.org/officeDocument/2006/relationships/styles" Target="/word/styles.xml" Id="R5d61afb79cbb4eea" /><Relationship Type="http://schemas.openxmlformats.org/officeDocument/2006/relationships/theme" Target="/word/theme/theme1.xml" Id="R733dcf0bcc8c467f" /><Relationship Type="http://schemas.openxmlformats.org/officeDocument/2006/relationships/fontTable" Target="/word/fontTable.xml" Id="R2483add9a0f840c3" /><Relationship Type="http://schemas.openxmlformats.org/officeDocument/2006/relationships/numbering" Target="/word/numbering.xml" Id="R4c1259970c0a4df3" /><Relationship Type="http://schemas.openxmlformats.org/officeDocument/2006/relationships/endnotes" Target="/word/endnotes.xml" Id="R2666bd5525184740" /><Relationship Type="http://schemas.openxmlformats.org/officeDocument/2006/relationships/settings" Target="/word/settings.xml" Id="R85fd14a8f17141d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