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CB5884" w14:paraId="0C2510B4" w14:textId="77777777" w:rsidTr="005A329F">
        <w:trPr>
          <w:cantSplit/>
          <w:jc w:val="center"/>
        </w:trPr>
        <w:tc>
          <w:tcPr>
            <w:tcW w:w="10031" w:type="dxa"/>
            <w:gridSpan w:val="2"/>
            <w:tcMar>
              <w:left w:w="0" w:type="dxa"/>
              <w:right w:w="0" w:type="dxa"/>
            </w:tcMar>
            <w:vAlign w:val="center"/>
          </w:tcPr>
          <w:p w14:paraId="0027A657" w14:textId="77777777" w:rsidR="00BF32F2" w:rsidRPr="00CB5884" w:rsidRDefault="00BF32F2" w:rsidP="00BF32F2">
            <w:pPr>
              <w:spacing w:before="0" w:line="240" w:lineRule="atLeast"/>
              <w:rPr>
                <w:rFonts w:cstheme="minorHAnsi"/>
                <w:lang w:val="es-ES"/>
              </w:rPr>
            </w:pPr>
            <w:bookmarkStart w:id="0" w:name="ditulogo"/>
            <w:bookmarkEnd w:id="0"/>
            <w:r w:rsidRPr="00CB5884">
              <w:rPr>
                <w:rFonts w:cstheme="minorHAnsi"/>
                <w:noProof/>
                <w:lang w:val="es-ES"/>
              </w:rPr>
              <w:drawing>
                <wp:anchor distT="0" distB="0" distL="0" distR="0" simplePos="0" relativeHeight="251658240" behindDoc="1" locked="0" layoutInCell="1" allowOverlap="1" wp14:anchorId="48435949" wp14:editId="5AC5277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CB5884" w14:paraId="3464D58A" w14:textId="77777777" w:rsidTr="005A329F">
        <w:trPr>
          <w:cantSplit/>
          <w:trHeight w:val="283"/>
          <w:jc w:val="center"/>
        </w:trPr>
        <w:tc>
          <w:tcPr>
            <w:tcW w:w="10031" w:type="dxa"/>
            <w:gridSpan w:val="2"/>
            <w:tcBorders>
              <w:bottom w:val="single" w:sz="12" w:space="0" w:color="71716F"/>
            </w:tcBorders>
          </w:tcPr>
          <w:p w14:paraId="04FE8C9B" w14:textId="77777777" w:rsidR="00277985" w:rsidRPr="00CB5884" w:rsidRDefault="00277985" w:rsidP="00BF32F2">
            <w:pPr>
              <w:spacing w:before="0" w:line="240" w:lineRule="atLeast"/>
              <w:rPr>
                <w:rFonts w:cstheme="minorHAnsi"/>
                <w:b/>
                <w:smallCaps/>
                <w:szCs w:val="24"/>
                <w:lang w:val="es-ES"/>
              </w:rPr>
            </w:pPr>
            <w:bookmarkStart w:id="1" w:name="dhead"/>
          </w:p>
        </w:tc>
      </w:tr>
      <w:tr w:rsidR="00255FA1" w:rsidRPr="00CB5884" w14:paraId="0BD93652" w14:textId="77777777" w:rsidTr="005A329F">
        <w:trPr>
          <w:cantSplit/>
          <w:trHeight w:val="255"/>
          <w:jc w:val="center"/>
        </w:trPr>
        <w:tc>
          <w:tcPr>
            <w:tcW w:w="7229" w:type="dxa"/>
            <w:tcBorders>
              <w:top w:val="single" w:sz="12" w:space="0" w:color="71716F"/>
            </w:tcBorders>
          </w:tcPr>
          <w:p w14:paraId="1B60E568" w14:textId="77777777" w:rsidR="00255FA1" w:rsidRPr="00CB5884"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6F4D844B" w14:textId="77777777" w:rsidR="00255FA1" w:rsidRPr="00CB5884" w:rsidRDefault="00255FA1" w:rsidP="00BF32F2">
            <w:pPr>
              <w:spacing w:before="0"/>
              <w:rPr>
                <w:rFonts w:cstheme="minorHAnsi"/>
                <w:szCs w:val="24"/>
                <w:lang w:val="es-ES"/>
              </w:rPr>
            </w:pPr>
          </w:p>
        </w:tc>
      </w:tr>
      <w:tr w:rsidR="00255FA1" w:rsidRPr="00CB5884" w14:paraId="3C366807" w14:textId="77777777" w:rsidTr="005A329F">
        <w:trPr>
          <w:cantSplit/>
          <w:jc w:val="center"/>
        </w:trPr>
        <w:tc>
          <w:tcPr>
            <w:tcW w:w="7229" w:type="dxa"/>
          </w:tcPr>
          <w:p w14:paraId="2705B20B" w14:textId="77777777" w:rsidR="00255FA1" w:rsidRPr="00CB5884" w:rsidRDefault="00255FA1" w:rsidP="003B5DC9">
            <w:pPr>
              <w:pStyle w:val="Committee"/>
              <w:framePr w:hSpace="0" w:wrap="auto" w:hAnchor="text" w:yAlign="inline"/>
              <w:spacing w:after="0" w:line="240" w:lineRule="auto"/>
              <w:rPr>
                <w:lang w:val="es-ES"/>
              </w:rPr>
            </w:pPr>
            <w:r w:rsidRPr="00CB5884">
              <w:rPr>
                <w:lang w:val="es-ES"/>
              </w:rPr>
              <w:t>SESIÓN PLENARIA</w:t>
            </w:r>
          </w:p>
        </w:tc>
        <w:tc>
          <w:tcPr>
            <w:tcW w:w="2802" w:type="dxa"/>
          </w:tcPr>
          <w:p w14:paraId="208C2A10" w14:textId="77777777" w:rsidR="00255FA1" w:rsidRPr="00CB5884" w:rsidRDefault="00255FA1" w:rsidP="003B5DC9">
            <w:pPr>
              <w:spacing w:before="0"/>
              <w:rPr>
                <w:rFonts w:cstheme="minorHAnsi"/>
                <w:szCs w:val="24"/>
                <w:lang w:val="es-ES"/>
              </w:rPr>
            </w:pPr>
            <w:r w:rsidRPr="00CB5884">
              <w:rPr>
                <w:rFonts w:cstheme="minorHAnsi"/>
                <w:b/>
                <w:szCs w:val="24"/>
                <w:lang w:val="es-ES"/>
              </w:rPr>
              <w:t>Documento 45</w:t>
            </w:r>
            <w:r w:rsidR="00262FF4" w:rsidRPr="00CB5884">
              <w:rPr>
                <w:rFonts w:cstheme="minorHAnsi"/>
                <w:b/>
                <w:szCs w:val="24"/>
                <w:lang w:val="es-ES"/>
              </w:rPr>
              <w:t>-S</w:t>
            </w:r>
          </w:p>
        </w:tc>
      </w:tr>
      <w:tr w:rsidR="00255FA1" w:rsidRPr="00CB5884" w14:paraId="613A1684" w14:textId="77777777" w:rsidTr="005A329F">
        <w:trPr>
          <w:cantSplit/>
          <w:jc w:val="center"/>
        </w:trPr>
        <w:tc>
          <w:tcPr>
            <w:tcW w:w="7229" w:type="dxa"/>
          </w:tcPr>
          <w:p w14:paraId="0E41A193" w14:textId="77777777" w:rsidR="00255FA1" w:rsidRPr="00CB5884" w:rsidRDefault="00255FA1" w:rsidP="003B5DC9">
            <w:pPr>
              <w:spacing w:before="0"/>
              <w:rPr>
                <w:rFonts w:cstheme="minorHAnsi"/>
                <w:b/>
                <w:szCs w:val="24"/>
                <w:lang w:val="es-ES"/>
              </w:rPr>
            </w:pPr>
          </w:p>
        </w:tc>
        <w:tc>
          <w:tcPr>
            <w:tcW w:w="2802" w:type="dxa"/>
          </w:tcPr>
          <w:p w14:paraId="06E02D64" w14:textId="77777777" w:rsidR="00255FA1" w:rsidRPr="00CB5884" w:rsidRDefault="00255FA1" w:rsidP="003B5DC9">
            <w:pPr>
              <w:spacing w:before="0"/>
              <w:rPr>
                <w:rFonts w:cstheme="minorHAnsi"/>
                <w:b/>
                <w:szCs w:val="24"/>
                <w:lang w:val="es-ES"/>
              </w:rPr>
            </w:pPr>
            <w:r w:rsidRPr="00CB5884">
              <w:rPr>
                <w:rFonts w:cstheme="minorHAnsi"/>
                <w:b/>
                <w:szCs w:val="24"/>
                <w:lang w:val="es-ES"/>
              </w:rPr>
              <w:t>10 de septiembre de 2026</w:t>
            </w:r>
          </w:p>
        </w:tc>
      </w:tr>
      <w:tr w:rsidR="00255FA1" w:rsidRPr="00CB5884" w14:paraId="5887ACBB" w14:textId="77777777" w:rsidTr="005A329F">
        <w:trPr>
          <w:cantSplit/>
          <w:jc w:val="center"/>
        </w:trPr>
        <w:tc>
          <w:tcPr>
            <w:tcW w:w="7229" w:type="dxa"/>
          </w:tcPr>
          <w:p w14:paraId="0C7EA0D8" w14:textId="77777777" w:rsidR="00255FA1" w:rsidRPr="00CB5884" w:rsidRDefault="00255FA1" w:rsidP="003B5DC9">
            <w:pPr>
              <w:spacing w:before="0"/>
              <w:rPr>
                <w:rFonts w:cstheme="minorHAnsi"/>
                <w:b/>
                <w:smallCaps/>
                <w:szCs w:val="24"/>
                <w:lang w:val="es-ES"/>
              </w:rPr>
            </w:pPr>
          </w:p>
        </w:tc>
        <w:tc>
          <w:tcPr>
            <w:tcW w:w="2802" w:type="dxa"/>
          </w:tcPr>
          <w:p w14:paraId="70ED3E9B" w14:textId="77777777" w:rsidR="00255FA1" w:rsidRPr="00CB5884" w:rsidRDefault="00255FA1" w:rsidP="003B5DC9">
            <w:pPr>
              <w:spacing w:before="0"/>
              <w:rPr>
                <w:rFonts w:cstheme="minorHAnsi"/>
                <w:b/>
                <w:szCs w:val="24"/>
                <w:lang w:val="es-ES"/>
              </w:rPr>
            </w:pPr>
            <w:r w:rsidRPr="00CB5884">
              <w:rPr>
                <w:rFonts w:cstheme="minorHAnsi"/>
                <w:b/>
                <w:szCs w:val="24"/>
                <w:lang w:val="es-ES"/>
              </w:rPr>
              <w:t>Original: inglés</w:t>
            </w:r>
          </w:p>
        </w:tc>
      </w:tr>
      <w:tr w:rsidR="00255FA1" w:rsidRPr="00CB5884" w14:paraId="09AE1778" w14:textId="77777777" w:rsidTr="005A329F">
        <w:trPr>
          <w:cantSplit/>
          <w:jc w:val="center"/>
        </w:trPr>
        <w:tc>
          <w:tcPr>
            <w:tcW w:w="10031" w:type="dxa"/>
            <w:gridSpan w:val="2"/>
          </w:tcPr>
          <w:p w14:paraId="67FA557A" w14:textId="77777777" w:rsidR="00255FA1" w:rsidRPr="00CB5884" w:rsidRDefault="00255FA1" w:rsidP="003B5DC9">
            <w:pPr>
              <w:spacing w:before="0" w:line="240" w:lineRule="atLeast"/>
              <w:rPr>
                <w:rFonts w:cstheme="minorHAnsi"/>
                <w:b/>
                <w:szCs w:val="24"/>
                <w:lang w:val="es-ES"/>
              </w:rPr>
            </w:pPr>
          </w:p>
        </w:tc>
      </w:tr>
      <w:tr w:rsidR="00255FA1" w:rsidRPr="00CB5884" w14:paraId="4CEB656F" w14:textId="77777777" w:rsidTr="005A329F">
        <w:trPr>
          <w:cantSplit/>
          <w:jc w:val="center"/>
        </w:trPr>
        <w:tc>
          <w:tcPr>
            <w:tcW w:w="10031" w:type="dxa"/>
            <w:gridSpan w:val="2"/>
          </w:tcPr>
          <w:p w14:paraId="76C70A84" w14:textId="77777777" w:rsidR="00255FA1" w:rsidRPr="00CB5884" w:rsidRDefault="00255FA1" w:rsidP="003B5DC9">
            <w:pPr>
              <w:pStyle w:val="Source"/>
              <w:rPr>
                <w:lang w:val="es-ES"/>
              </w:rPr>
            </w:pPr>
            <w:bookmarkStart w:id="2" w:name="dsource" w:colFirst="0" w:colLast="0"/>
            <w:bookmarkEnd w:id="1"/>
            <w:r w:rsidRPr="00CB5884">
              <w:rPr>
                <w:lang w:val="es-ES"/>
              </w:rPr>
              <w:t>Suiza (Confederación)</w:t>
            </w:r>
          </w:p>
        </w:tc>
      </w:tr>
      <w:tr w:rsidR="00255FA1" w:rsidRPr="00CB5884" w14:paraId="608E5F2B" w14:textId="77777777" w:rsidTr="005A329F">
        <w:trPr>
          <w:cantSplit/>
          <w:jc w:val="center"/>
        </w:trPr>
        <w:tc>
          <w:tcPr>
            <w:tcW w:w="10031" w:type="dxa"/>
            <w:gridSpan w:val="2"/>
          </w:tcPr>
          <w:p w14:paraId="7D9F3A59" w14:textId="05B0D372" w:rsidR="00255FA1" w:rsidRPr="00CB5884" w:rsidRDefault="00642A24" w:rsidP="003B5DC9">
            <w:pPr>
              <w:pStyle w:val="Title1"/>
              <w:rPr>
                <w:lang w:val="es-ES"/>
              </w:rPr>
            </w:pPr>
            <w:bookmarkStart w:id="3" w:name="dtitle1" w:colFirst="0" w:colLast="0"/>
            <w:bookmarkEnd w:id="2"/>
            <w:r w:rsidRPr="00CB5884">
              <w:rPr>
                <w:lang w:val="es-ES"/>
              </w:rPr>
              <w:t>PROPUESTAS PARA LOS TRABAJOS DE LA CONFERENCIA</w:t>
            </w:r>
          </w:p>
        </w:tc>
      </w:tr>
      <w:tr w:rsidR="00255FA1" w:rsidRPr="00CB5884" w14:paraId="1BACD0DA" w14:textId="77777777" w:rsidTr="005A329F">
        <w:trPr>
          <w:cantSplit/>
          <w:jc w:val="center"/>
        </w:trPr>
        <w:tc>
          <w:tcPr>
            <w:tcW w:w="10031" w:type="dxa"/>
            <w:gridSpan w:val="2"/>
          </w:tcPr>
          <w:p w14:paraId="50E5D1C2" w14:textId="77777777" w:rsidR="00255FA1" w:rsidRPr="00CB5884" w:rsidRDefault="00255FA1" w:rsidP="003B5DC9">
            <w:pPr>
              <w:pStyle w:val="Title2"/>
              <w:rPr>
                <w:lang w:val="es-ES"/>
              </w:rPr>
            </w:pPr>
            <w:bookmarkStart w:id="4" w:name="dtitle2" w:colFirst="0" w:colLast="0"/>
            <w:bookmarkEnd w:id="3"/>
          </w:p>
        </w:tc>
      </w:tr>
      <w:tr w:rsidR="00255FA1" w:rsidRPr="00CB5884" w14:paraId="38563CD4" w14:textId="77777777" w:rsidTr="005A329F">
        <w:trPr>
          <w:cantSplit/>
          <w:jc w:val="center"/>
        </w:trPr>
        <w:tc>
          <w:tcPr>
            <w:tcW w:w="10031" w:type="dxa"/>
            <w:gridSpan w:val="2"/>
          </w:tcPr>
          <w:p w14:paraId="4FD4F8B6" w14:textId="77777777" w:rsidR="00255FA1" w:rsidRPr="00CB5884" w:rsidRDefault="00255FA1" w:rsidP="003B5DC9">
            <w:pPr>
              <w:pStyle w:val="Agendaitem"/>
              <w:rPr>
                <w:lang w:val="es-ES"/>
              </w:rPr>
            </w:pPr>
            <w:bookmarkStart w:id="5" w:name="dtitle3" w:colFirst="0" w:colLast="0"/>
            <w:bookmarkEnd w:id="4"/>
          </w:p>
        </w:tc>
      </w:tr>
      <w:bookmarkEnd w:id="5"/>
    </w:tbl>
    <w:p w14:paraId="41824021" w14:textId="77777777" w:rsidR="00255FA1" w:rsidRPr="00CB5884"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CB5884">
        <w:rPr>
          <w:rStyle w:val="PageNumber"/>
          <w:lang w:val="es-ES"/>
        </w:rPr>
        <w:br w:type="page"/>
      </w:r>
    </w:p>
    <w:p w14:paraId="2123E2B5" w14:textId="77777777" w:rsidR="00AC563C" w:rsidRPr="005541B4" w:rsidRDefault="00AC563C" w:rsidP="00AC563C">
      <w:pPr>
        <w:pStyle w:val="Proposal"/>
        <w:rPr>
          <w:lang w:val="es-ES"/>
        </w:rPr>
      </w:pPr>
      <w:r>
        <w:rPr>
          <w:lang w:val="es-ES"/>
        </w:rPr>
        <w:lastRenderedPageBreak/>
        <w:t>ADD</w:t>
      </w:r>
      <w:r w:rsidRPr="005541B4">
        <w:rPr>
          <w:lang w:val="es-ES"/>
        </w:rPr>
        <w:tab/>
        <w:t>SUI/45/1</w:t>
      </w:r>
    </w:p>
    <w:p w14:paraId="78BD105E" w14:textId="77777777" w:rsidR="00AC563C" w:rsidRPr="005541B4" w:rsidRDefault="00AC563C" w:rsidP="00AC563C">
      <w:pPr>
        <w:pStyle w:val="ResNo"/>
        <w:rPr>
          <w:rStyle w:val="PageNumber"/>
          <w:rFonts w:asciiTheme="minorHAnsi" w:hAnsiTheme="minorHAnsi"/>
          <w:lang w:val="es-ES"/>
        </w:rPr>
      </w:pPr>
      <w:r w:rsidRPr="005541B4">
        <w:rPr>
          <w:lang w:val="es-ES"/>
        </w:rPr>
        <w:t>Proyecto de nueva Resolución</w:t>
      </w:r>
      <w:r>
        <w:rPr>
          <w:lang w:val="es-ES"/>
        </w:rPr>
        <w:t xml:space="preserve"> </w:t>
      </w:r>
      <w:r>
        <w:t>[SUI-1]</w:t>
      </w:r>
    </w:p>
    <w:p w14:paraId="0829E575" w14:textId="77777777" w:rsidR="00AC563C" w:rsidRPr="005541B4" w:rsidRDefault="00AC563C" w:rsidP="00AC563C">
      <w:pPr>
        <w:pStyle w:val="Restitle"/>
        <w:rPr>
          <w:lang w:val="es-ES"/>
        </w:rPr>
      </w:pPr>
      <w:r w:rsidRPr="005541B4">
        <w:rPr>
          <w:lang w:val="es-ES"/>
        </w:rPr>
        <w:t>Asistencia al Comité Internacional de la Cruz Roja (CICR) para la protección</w:t>
      </w:r>
      <w:r w:rsidRPr="005541B4">
        <w:rPr>
          <w:lang w:val="es-ES"/>
        </w:rPr>
        <w:br/>
        <w:t>de la población civil y de otras personas y bienes protegidos ante el posible</w:t>
      </w:r>
      <w:r w:rsidRPr="005541B4">
        <w:rPr>
          <w:lang w:val="es-ES"/>
        </w:rPr>
        <w:br/>
        <w:t>costo humano de las actividades relacionadas con las tecnologías de</w:t>
      </w:r>
      <w:r w:rsidRPr="005541B4">
        <w:rPr>
          <w:lang w:val="es-ES"/>
        </w:rPr>
        <w:br/>
        <w:t>la información y las comunicaciones durante conflictos armados</w:t>
      </w:r>
    </w:p>
    <w:p w14:paraId="4A545DFE" w14:textId="77777777" w:rsidR="00AC563C" w:rsidRPr="005541B4" w:rsidRDefault="00AC563C" w:rsidP="00A74E5A">
      <w:pPr>
        <w:pStyle w:val="Normalaftertitle"/>
        <w:jc w:val="both"/>
        <w:rPr>
          <w:lang w:val="es-ES"/>
        </w:rPr>
      </w:pPr>
      <w:r w:rsidRPr="005541B4">
        <w:rPr>
          <w:lang w:val="es-ES"/>
        </w:rPr>
        <w:t>La Conferencia de Plenipotenciarios de la Unión Internacional de Telecomunicaciones (Doha,</w:t>
      </w:r>
      <w:r>
        <w:rPr>
          <w:lang w:val="es-ES"/>
        </w:rPr>
        <w:t> </w:t>
      </w:r>
      <w:r w:rsidRPr="005541B4">
        <w:rPr>
          <w:lang w:val="es-ES"/>
        </w:rPr>
        <w:t>2026),</w:t>
      </w:r>
    </w:p>
    <w:p w14:paraId="21A6C4B9" w14:textId="77777777" w:rsidR="00AC563C" w:rsidRPr="005541B4" w:rsidRDefault="00AC563C" w:rsidP="00AC563C">
      <w:pPr>
        <w:pStyle w:val="Call"/>
        <w:rPr>
          <w:lang w:val="es-ES"/>
        </w:rPr>
      </w:pPr>
      <w:r w:rsidRPr="005541B4">
        <w:rPr>
          <w:lang w:val="es-ES"/>
        </w:rPr>
        <w:t>recordando</w:t>
      </w:r>
    </w:p>
    <w:p w14:paraId="15D5B2D1" w14:textId="77777777" w:rsidR="00AC563C" w:rsidRPr="005541B4" w:rsidRDefault="00AC563C" w:rsidP="00AC563C">
      <w:pPr>
        <w:jc w:val="both"/>
        <w:rPr>
          <w:spacing w:val="-2"/>
          <w:lang w:val="es-ES"/>
        </w:rPr>
      </w:pPr>
      <w:r w:rsidRPr="005541B4">
        <w:rPr>
          <w:i/>
          <w:iCs/>
          <w:lang w:val="es-ES"/>
        </w:rPr>
        <w:t>a)</w:t>
      </w:r>
      <w:r w:rsidRPr="005541B4">
        <w:rPr>
          <w:lang w:val="es-ES"/>
        </w:rPr>
        <w:tab/>
        <w:t>las Resoluciones de la Asamblea General de las Naciones Unidas (</w:t>
      </w:r>
      <w:proofErr w:type="spellStart"/>
      <w:r w:rsidRPr="005541B4">
        <w:rPr>
          <w:lang w:val="es-ES"/>
        </w:rPr>
        <w:t>AGNU</w:t>
      </w:r>
      <w:proofErr w:type="spellEnd"/>
      <w:r w:rsidRPr="005541B4">
        <w:rPr>
          <w:lang w:val="es-ES"/>
        </w:rPr>
        <w:t>) por las que se establecen seis Grupos de Expertos Gubernamentales de las Naciones Unidas (2004/2005, A/RES/58/32; 2009/2010, A/RES/60/45; 2012/2013, A/RES/66/24; 2014/2015, A/RES/68/243; 2016/2017, A/RES/70/237; y 2019/2021, A/RES/73/266), dos Grupos de Trabajo de Composición Abierta (</w:t>
      </w:r>
      <w:proofErr w:type="spellStart"/>
      <w:r w:rsidRPr="005541B4">
        <w:rPr>
          <w:lang w:val="es-ES"/>
        </w:rPr>
        <w:t>GTCA</w:t>
      </w:r>
      <w:proofErr w:type="spellEnd"/>
      <w:r w:rsidRPr="005541B4">
        <w:rPr>
          <w:lang w:val="es-ES"/>
        </w:rPr>
        <w:t>) sobre la seguridad y la utilización de las tecnologías de la información y la comunicación (TIC) (2019/2021, A/RES/73/27; 2021/2025, A/RES/75/240) y el Mecanismo Mundial sobre los avances en la esfera de las TIC en el contexto de la seguridad internacional y la promoción de un comportamiento responsable de los Estados en la utilización de las TIC;</w:t>
      </w:r>
    </w:p>
    <w:p w14:paraId="4239CBF3" w14:textId="77777777" w:rsidR="00AC563C" w:rsidRPr="005541B4" w:rsidRDefault="00AC563C" w:rsidP="00AC563C">
      <w:pPr>
        <w:jc w:val="both"/>
        <w:rPr>
          <w:lang w:val="es-ES"/>
        </w:rPr>
      </w:pPr>
      <w:r w:rsidRPr="005541B4">
        <w:rPr>
          <w:i/>
          <w:iCs/>
          <w:lang w:val="es-ES"/>
        </w:rPr>
        <w:t>b)</w:t>
      </w:r>
      <w:r w:rsidRPr="005541B4">
        <w:rPr>
          <w:lang w:val="es-ES"/>
        </w:rPr>
        <w:tab/>
        <w:t>el acervo recopilado en los informes consensuados de los Grupos de Expertos Gubernamentales (</w:t>
      </w:r>
      <w:proofErr w:type="spellStart"/>
      <w:r w:rsidRPr="005541B4">
        <w:rPr>
          <w:lang w:val="es-ES"/>
        </w:rPr>
        <w:t>GEG</w:t>
      </w:r>
      <w:proofErr w:type="spellEnd"/>
      <w:r w:rsidRPr="005541B4">
        <w:rPr>
          <w:lang w:val="es-ES"/>
        </w:rPr>
        <w:t xml:space="preserve">) de 2010, 2013, 2015 y 2021, y en los informes finales de los </w:t>
      </w:r>
      <w:proofErr w:type="spellStart"/>
      <w:r w:rsidRPr="005541B4">
        <w:rPr>
          <w:lang w:val="es-ES"/>
        </w:rPr>
        <w:t>GTCA</w:t>
      </w:r>
      <w:proofErr w:type="spellEnd"/>
      <w:r w:rsidRPr="005541B4">
        <w:rPr>
          <w:lang w:val="es-ES"/>
        </w:rPr>
        <w:t xml:space="preserve"> de</w:t>
      </w:r>
      <w:r>
        <w:rPr>
          <w:lang w:val="es-ES"/>
        </w:rPr>
        <w:t> </w:t>
      </w:r>
      <w:r w:rsidRPr="005541B4">
        <w:rPr>
          <w:lang w:val="es-ES"/>
        </w:rPr>
        <w:t>2019-2021 y 2021-2025 en los que se concluye que el derecho internacional, y en particular la Carta de las Naciones Unidas, es aplicable y esencial para mantener la paz y la estabilidad y promover un entorno de las TIC abierto, seguro, pacífico y accesible (Documentos A/65/201 de las Naciones Unidas, A/68/98, A/70/174, A/76/135 y A/80/257);</w:t>
      </w:r>
    </w:p>
    <w:p w14:paraId="3E5202D1" w14:textId="77777777" w:rsidR="00AC563C" w:rsidRPr="005541B4" w:rsidRDefault="00AC563C" w:rsidP="00AC563C">
      <w:pPr>
        <w:jc w:val="both"/>
        <w:rPr>
          <w:lang w:val="es-ES"/>
        </w:rPr>
      </w:pPr>
      <w:r w:rsidRPr="005541B4">
        <w:rPr>
          <w:i/>
          <w:iCs/>
          <w:lang w:val="es-ES"/>
        </w:rPr>
        <w:t>c)</w:t>
      </w:r>
      <w:r w:rsidRPr="005541B4">
        <w:rPr>
          <w:lang w:val="es-ES"/>
        </w:rPr>
        <w:tab/>
        <w:t>que la infraestructura de las TIC puede ser esencial para la acción humanitaria (Documentos de las Naciones Unidas A/76/135, § 45, y A/80/257, § 34);</w:t>
      </w:r>
    </w:p>
    <w:p w14:paraId="6B42E816" w14:textId="77777777" w:rsidR="00AC563C" w:rsidRPr="005541B4" w:rsidRDefault="00AC563C" w:rsidP="00AC563C">
      <w:pPr>
        <w:jc w:val="both"/>
        <w:rPr>
          <w:lang w:val="es-ES"/>
        </w:rPr>
      </w:pPr>
      <w:r w:rsidRPr="005541B4">
        <w:rPr>
          <w:i/>
          <w:iCs/>
          <w:lang w:val="es-ES"/>
        </w:rPr>
        <w:t>d)</w:t>
      </w:r>
      <w:r w:rsidRPr="005541B4">
        <w:rPr>
          <w:lang w:val="es-ES"/>
        </w:rPr>
        <w:tab/>
        <w:t>que las normas voluntarias y no vinculantes sobre el comportamiento responsable de los Estados en la utilización de las TIC establecen que las infraestructuras e instalaciones médicas y de atención sanitaria son infraestructuras críticas que no deben ser objeto de actos internacionalmente ilícitos de los Estados por medio de la utilización de las TIC (Documento</w:t>
      </w:r>
      <w:r>
        <w:rPr>
          <w:lang w:val="es-ES"/>
        </w:rPr>
        <w:t> </w:t>
      </w:r>
      <w:r w:rsidRPr="005541B4">
        <w:rPr>
          <w:lang w:val="es-ES"/>
        </w:rPr>
        <w:t>A/76/135, § 45 de las Naciones Unidas);</w:t>
      </w:r>
    </w:p>
    <w:p w14:paraId="00CE7DDF" w14:textId="77777777" w:rsidR="00AC563C" w:rsidRPr="005541B4" w:rsidRDefault="00AC563C" w:rsidP="00AC563C">
      <w:pPr>
        <w:jc w:val="both"/>
        <w:rPr>
          <w:lang w:val="es-ES"/>
        </w:rPr>
      </w:pPr>
      <w:r w:rsidRPr="005541B4">
        <w:rPr>
          <w:i/>
          <w:iCs/>
          <w:lang w:val="es-ES"/>
        </w:rPr>
        <w:t>e)</w:t>
      </w:r>
      <w:r w:rsidRPr="005541B4">
        <w:rPr>
          <w:lang w:val="es-ES"/>
        </w:rPr>
        <w:tab/>
        <w:t>que el Consejo de Seguridad de las Naciones Unidas ha expresado su preocupación por el aumento de las actividades maliciosas relacionadas con las tecnologías de la información y la comunicación, incluidas las fugas de datos y las operaciones de información, dirigidas contra organizaciones humanitarias, perturban sus operaciones de socorro, socavan la confianza en las organizaciones humanitarias y en las actividades de las Naciones Unidas, amenazan la seguridad y la protección de su personal, locales y activos, y, en última instancia, su acceso y capacidad para llevar a cabo actividades humanitarias (Consejo de Seguridad de las Naciones Unidas, Resolución</w:t>
      </w:r>
      <w:r>
        <w:rPr>
          <w:lang w:val="es-ES"/>
        </w:rPr>
        <w:t> </w:t>
      </w:r>
      <w:r w:rsidRPr="005541B4">
        <w:rPr>
          <w:lang w:val="es-ES"/>
        </w:rPr>
        <w:t>2730 (2024), 24 de mayo de 2024, preámbulo),</w:t>
      </w:r>
    </w:p>
    <w:p w14:paraId="0CBF7A74" w14:textId="77777777" w:rsidR="00AC563C" w:rsidRPr="005541B4" w:rsidRDefault="00AC563C" w:rsidP="00AC563C">
      <w:pPr>
        <w:pStyle w:val="Call"/>
        <w:rPr>
          <w:lang w:val="es-ES"/>
        </w:rPr>
      </w:pPr>
      <w:proofErr w:type="gramStart"/>
      <w:r w:rsidRPr="005541B4">
        <w:rPr>
          <w:lang w:val="es-ES"/>
        </w:rPr>
        <w:lastRenderedPageBreak/>
        <w:t>recordando</w:t>
      </w:r>
      <w:proofErr w:type="gramEnd"/>
      <w:r w:rsidRPr="005541B4">
        <w:rPr>
          <w:lang w:val="es-ES"/>
        </w:rPr>
        <w:t xml:space="preserve"> además</w:t>
      </w:r>
    </w:p>
    <w:p w14:paraId="28C96E96" w14:textId="77777777" w:rsidR="00AC563C" w:rsidRPr="005541B4" w:rsidRDefault="00AC563C" w:rsidP="00AC563C">
      <w:pPr>
        <w:jc w:val="both"/>
        <w:rPr>
          <w:lang w:val="es-ES"/>
        </w:rPr>
      </w:pPr>
      <w:r w:rsidRPr="005541B4">
        <w:rPr>
          <w:i/>
          <w:iCs/>
          <w:lang w:val="es-ES"/>
        </w:rPr>
        <w:t>a)</w:t>
      </w:r>
      <w:r w:rsidRPr="005541B4">
        <w:rPr>
          <w:lang w:val="es-ES"/>
        </w:rPr>
        <w:tab/>
        <w:t xml:space="preserve">que los Convenios de Ginebra de 1949 y sus Protocolos adicionales definen el personal, las unidades y los medios de transporte autorizados a utilizar los emblemas de la Cruz Roja y de la </w:t>
      </w:r>
      <w:proofErr w:type="gramStart"/>
      <w:r w:rsidRPr="005541B4">
        <w:rPr>
          <w:lang w:val="es-ES"/>
        </w:rPr>
        <w:t>Media Luna</w:t>
      </w:r>
      <w:proofErr w:type="gramEnd"/>
      <w:r w:rsidRPr="005541B4">
        <w:rPr>
          <w:lang w:val="es-ES"/>
        </w:rPr>
        <w:t xml:space="preserve"> Roja, así como el Cristal Rojo en el caso de los </w:t>
      </w:r>
      <w:proofErr w:type="gramStart"/>
      <w:r w:rsidRPr="005541B4">
        <w:rPr>
          <w:lang w:val="es-ES"/>
        </w:rPr>
        <w:t>Estados Partes</w:t>
      </w:r>
      <w:proofErr w:type="gramEnd"/>
      <w:r w:rsidRPr="005541B4">
        <w:rPr>
          <w:lang w:val="es-ES"/>
        </w:rPr>
        <w:t xml:space="preserve"> en el Protocolo Adicional</w:t>
      </w:r>
      <w:r>
        <w:rPr>
          <w:lang w:val="es-ES"/>
        </w:rPr>
        <w:t> </w:t>
      </w:r>
      <w:r w:rsidRPr="005541B4">
        <w:rPr>
          <w:lang w:val="es-ES"/>
        </w:rPr>
        <w:t>III, y los fines para los que dichos emblemas pueden emplearse en todo momento, es decir, tanto en per</w:t>
      </w:r>
      <w:r>
        <w:rPr>
          <w:lang w:val="es-ES"/>
        </w:rPr>
        <w:t>i</w:t>
      </w:r>
      <w:r w:rsidRPr="005541B4">
        <w:rPr>
          <w:lang w:val="es-ES"/>
        </w:rPr>
        <w:t>odos de paz como en situaciones de conflicto armado;</w:t>
      </w:r>
    </w:p>
    <w:p w14:paraId="52A4498B" w14:textId="77777777" w:rsidR="00AC563C" w:rsidRPr="005541B4" w:rsidRDefault="00AC563C" w:rsidP="00AC563C">
      <w:pPr>
        <w:jc w:val="both"/>
        <w:rPr>
          <w:lang w:val="es-ES"/>
        </w:rPr>
      </w:pPr>
      <w:r w:rsidRPr="005541B4">
        <w:rPr>
          <w:i/>
          <w:iCs/>
          <w:lang w:val="es-ES"/>
        </w:rPr>
        <w:t>b)</w:t>
      </w:r>
      <w:r w:rsidRPr="005541B4">
        <w:rPr>
          <w:lang w:val="es-ES"/>
        </w:rPr>
        <w:tab/>
        <w:t xml:space="preserve">que, en tiempos de conflicto armado, los emblemas distintivos de la Cruz Roja, la </w:t>
      </w:r>
      <w:proofErr w:type="gramStart"/>
      <w:r w:rsidRPr="005541B4">
        <w:rPr>
          <w:lang w:val="es-ES"/>
        </w:rPr>
        <w:t>Media Luna</w:t>
      </w:r>
      <w:proofErr w:type="gramEnd"/>
      <w:r w:rsidRPr="005541B4">
        <w:rPr>
          <w:lang w:val="es-ES"/>
        </w:rPr>
        <w:t xml:space="preserve"> Roja y el Cristal Rojo tienen por objeto señalar la protección específica de quienes los llevan, así como las instalaciones, objetos y transportes señalados con ellos;</w:t>
      </w:r>
    </w:p>
    <w:p w14:paraId="03A641EA" w14:textId="77777777" w:rsidR="00AC563C" w:rsidRPr="005541B4" w:rsidRDefault="00AC563C" w:rsidP="00AC563C">
      <w:pPr>
        <w:jc w:val="both"/>
        <w:rPr>
          <w:lang w:val="es-ES"/>
        </w:rPr>
      </w:pPr>
      <w:r w:rsidRPr="005541B4">
        <w:rPr>
          <w:i/>
          <w:iCs/>
          <w:lang w:val="es-ES"/>
        </w:rPr>
        <w:t>c)</w:t>
      </w:r>
      <w:r w:rsidRPr="005541B4">
        <w:rPr>
          <w:lang w:val="es-ES"/>
        </w:rPr>
        <w:tab/>
        <w:t>que la puesta en práctica de las disposiciones relativas a las señales radioeléctricas utilizadas por unidades o transportes médicos que figuran en el Anexo I al Protocolo I adicional a los Convenios de Ginebra de 1949 sobre el Reglamento relativo a la identificación, modificado el 30 de noviembre de 1993, se basa en las disposiciones de la Constitución, el Convenio y el Reglamento de Radiocomunicaciones de la UIT, así como en las Recomendaciones del UIT-R,</w:t>
      </w:r>
    </w:p>
    <w:p w14:paraId="1C3B52BA" w14:textId="77777777" w:rsidR="00AC563C" w:rsidRPr="005541B4" w:rsidRDefault="00AC563C" w:rsidP="00AC563C">
      <w:pPr>
        <w:pStyle w:val="Call"/>
        <w:rPr>
          <w:lang w:val="es-ES"/>
        </w:rPr>
      </w:pPr>
      <w:r w:rsidRPr="005541B4">
        <w:rPr>
          <w:lang w:val="es-ES"/>
        </w:rPr>
        <w:t>observando con preocupación</w:t>
      </w:r>
    </w:p>
    <w:p w14:paraId="2AE15D33" w14:textId="77777777" w:rsidR="00AC563C" w:rsidRPr="005541B4" w:rsidRDefault="00AC563C" w:rsidP="00AC563C">
      <w:pPr>
        <w:jc w:val="both"/>
        <w:rPr>
          <w:lang w:val="es-ES"/>
        </w:rPr>
      </w:pPr>
      <w:r w:rsidRPr="005541B4">
        <w:rPr>
          <w:lang w:val="es-ES"/>
        </w:rPr>
        <w:t>que las actividades malintencionadas de TIC dirigidas contra organizaciones humanitarias y organizaciones internacionales pueden perturbar la capacidad de esas organizaciones para cumplir sus respectivos mandatos de manera segura e independiente y socavar la confianza en su trabajo (Documento A/79/214, § 17 de las Naciones Unidas),</w:t>
      </w:r>
    </w:p>
    <w:p w14:paraId="22C126C6" w14:textId="77777777" w:rsidR="00AC563C" w:rsidRPr="005541B4" w:rsidRDefault="00AC563C" w:rsidP="00AC563C">
      <w:pPr>
        <w:pStyle w:val="Call"/>
        <w:rPr>
          <w:lang w:val="es-ES"/>
        </w:rPr>
      </w:pPr>
      <w:r w:rsidRPr="005541B4">
        <w:rPr>
          <w:lang w:val="es-ES"/>
        </w:rPr>
        <w:t>considerando</w:t>
      </w:r>
    </w:p>
    <w:p w14:paraId="66F94B13" w14:textId="77777777" w:rsidR="00AC563C" w:rsidRPr="005541B4" w:rsidRDefault="00AC563C" w:rsidP="00AC563C">
      <w:pPr>
        <w:jc w:val="both"/>
        <w:rPr>
          <w:lang w:val="es-ES"/>
        </w:rPr>
      </w:pPr>
      <w:r w:rsidRPr="005541B4">
        <w:rPr>
          <w:i/>
          <w:iCs/>
          <w:lang w:val="es-ES"/>
        </w:rPr>
        <w:t>a)</w:t>
      </w:r>
      <w:r w:rsidRPr="005541B4">
        <w:rPr>
          <w:lang w:val="es-ES"/>
        </w:rPr>
        <w:tab/>
        <w:t xml:space="preserve">que el CICR estudia la idea de trasladar al entorno digital las funciones de los distintivos de emblemas distintivos de la Cruz Roja, la </w:t>
      </w:r>
      <w:proofErr w:type="gramStart"/>
      <w:r w:rsidRPr="005541B4">
        <w:rPr>
          <w:lang w:val="es-ES"/>
        </w:rPr>
        <w:t>Media Luna</w:t>
      </w:r>
      <w:proofErr w:type="gramEnd"/>
      <w:r w:rsidRPr="005541B4">
        <w:rPr>
          <w:lang w:val="es-ES"/>
        </w:rPr>
        <w:t xml:space="preserve"> Roja y el Cristal Rojo, entre otras cosas, en un formato legible por máquina y verificable;</w:t>
      </w:r>
    </w:p>
    <w:p w14:paraId="04C20D3E" w14:textId="77777777" w:rsidR="00AC563C" w:rsidRPr="005541B4" w:rsidRDefault="00AC563C" w:rsidP="00AC563C">
      <w:pPr>
        <w:jc w:val="both"/>
        <w:rPr>
          <w:lang w:val="es-ES"/>
        </w:rPr>
      </w:pPr>
      <w:r w:rsidRPr="005541B4">
        <w:rPr>
          <w:i/>
          <w:iCs/>
          <w:lang w:val="es-ES"/>
        </w:rPr>
        <w:t>b)</w:t>
      </w:r>
      <w:r w:rsidRPr="005541B4">
        <w:rPr>
          <w:lang w:val="es-ES"/>
        </w:rPr>
        <w:tab/>
        <w:t>que la 34.ª Conferencia Internacional de la Cruz Roja y de la Media Luna Roja, que reunió a los 196 Estados Partes en los Convenios de Ginebra, adoptó la Resolución 2 sobre la protección de la población civil y de otras personas y bienes protegidos ante el posible costo humano de las actividades relacionadas con las tecnologías de la información y las comunicaciones durante conflictos armados, en la que, entre otras cosas, se alienta al CICR a seguir celebrando consultas y colaborando activamente con los Estados y los componentes del Movimiento a fin de aclarar la finalidad específica y la viabilidad técnica de un emblema digital, así como de estudiar las posibles vías jurídicas y diplomáticas para su utilización,</w:t>
      </w:r>
    </w:p>
    <w:p w14:paraId="2382C83C" w14:textId="77777777" w:rsidR="00AC563C" w:rsidRPr="005541B4" w:rsidRDefault="00AC563C" w:rsidP="00AC563C">
      <w:pPr>
        <w:pStyle w:val="Call"/>
        <w:rPr>
          <w:lang w:val="es-ES"/>
        </w:rPr>
      </w:pPr>
      <w:proofErr w:type="gramStart"/>
      <w:r w:rsidRPr="005541B4">
        <w:rPr>
          <w:lang w:val="es-ES"/>
        </w:rPr>
        <w:t>considerando</w:t>
      </w:r>
      <w:proofErr w:type="gramEnd"/>
      <w:r w:rsidRPr="005541B4">
        <w:rPr>
          <w:lang w:val="es-ES"/>
        </w:rPr>
        <w:t xml:space="preserve"> además</w:t>
      </w:r>
    </w:p>
    <w:p w14:paraId="6B486EED" w14:textId="77777777" w:rsidR="00AC563C" w:rsidRPr="005541B4" w:rsidRDefault="00AC563C" w:rsidP="00AC563C">
      <w:pPr>
        <w:jc w:val="both"/>
        <w:rPr>
          <w:lang w:val="es-ES"/>
        </w:rPr>
      </w:pPr>
      <w:r w:rsidRPr="005541B4">
        <w:rPr>
          <w:lang w:val="es-ES"/>
        </w:rPr>
        <w:t xml:space="preserve">que en la Resolución 12 sobre salvaguardar los datos humanitarios del Consejo de Delegados del Movimiento Internacional de la Cruz Roja y de la </w:t>
      </w:r>
      <w:proofErr w:type="gramStart"/>
      <w:r w:rsidRPr="005541B4">
        <w:rPr>
          <w:lang w:val="es-ES"/>
        </w:rPr>
        <w:t>Media Luna</w:t>
      </w:r>
      <w:proofErr w:type="gramEnd"/>
      <w:r w:rsidRPr="005541B4">
        <w:rPr>
          <w:lang w:val="es-ES"/>
        </w:rPr>
        <w:t xml:space="preserve"> Roja se destaca la importancia de la confidencialidad, integridad y disponibilidad de los datos para las operaciones humanitarias,</w:t>
      </w:r>
    </w:p>
    <w:p w14:paraId="54D45EBA" w14:textId="77777777" w:rsidR="00AC563C" w:rsidRPr="005541B4" w:rsidRDefault="00AC563C" w:rsidP="00AC563C">
      <w:pPr>
        <w:pStyle w:val="Call"/>
        <w:rPr>
          <w:lang w:val="es-ES"/>
        </w:rPr>
      </w:pPr>
      <w:r w:rsidRPr="005541B4">
        <w:rPr>
          <w:lang w:val="es-ES"/>
        </w:rPr>
        <w:t>observando</w:t>
      </w:r>
    </w:p>
    <w:p w14:paraId="7242DD4F" w14:textId="77777777" w:rsidR="00AC563C" w:rsidRPr="005541B4" w:rsidRDefault="00AC563C" w:rsidP="00AC563C">
      <w:pPr>
        <w:jc w:val="both"/>
        <w:rPr>
          <w:lang w:val="es-ES"/>
        </w:rPr>
      </w:pPr>
      <w:r w:rsidRPr="005541B4">
        <w:rPr>
          <w:lang w:val="es-ES"/>
        </w:rPr>
        <w:t xml:space="preserve">que el CICR ha iniciado la creación de prototipos operacionales de emblemas digitales de la Cruz Roja, la </w:t>
      </w:r>
      <w:proofErr w:type="gramStart"/>
      <w:r w:rsidRPr="005541B4">
        <w:rPr>
          <w:lang w:val="es-ES"/>
        </w:rPr>
        <w:t>Media Luna</w:t>
      </w:r>
      <w:proofErr w:type="gramEnd"/>
      <w:r w:rsidRPr="005541B4">
        <w:rPr>
          <w:lang w:val="es-ES"/>
        </w:rPr>
        <w:t xml:space="preserve"> Roja y el Cristal Rojo, incluidas las pruebas técnicas y el estudio de la elaboración de normas técnicas para la utilización de una versión digital de estos emblemas,</w:t>
      </w:r>
    </w:p>
    <w:p w14:paraId="0A311471" w14:textId="77777777" w:rsidR="00AC563C" w:rsidRPr="005541B4" w:rsidRDefault="00AC563C" w:rsidP="00AC563C">
      <w:pPr>
        <w:pStyle w:val="Call"/>
        <w:rPr>
          <w:lang w:val="es-ES"/>
        </w:rPr>
      </w:pPr>
      <w:r w:rsidRPr="005541B4">
        <w:rPr>
          <w:iCs/>
          <w:lang w:val="es-ES"/>
        </w:rPr>
        <w:lastRenderedPageBreak/>
        <w:t>persuadido</w:t>
      </w:r>
    </w:p>
    <w:p w14:paraId="17E9E687" w14:textId="77777777" w:rsidR="00AC563C" w:rsidRPr="005541B4" w:rsidRDefault="00AC563C" w:rsidP="00AC563C">
      <w:pPr>
        <w:jc w:val="both"/>
        <w:rPr>
          <w:lang w:val="es-ES"/>
        </w:rPr>
      </w:pPr>
      <w:r w:rsidRPr="005541B4">
        <w:rPr>
          <w:i/>
          <w:iCs/>
          <w:lang w:val="es-ES"/>
        </w:rPr>
        <w:t>a)</w:t>
      </w:r>
      <w:r w:rsidRPr="005541B4">
        <w:rPr>
          <w:lang w:val="es-ES"/>
        </w:rPr>
        <w:tab/>
        <w:t>que la puesta en práctica de un marco para la utilización, emisión, descubrimiento y verificación de soluciones técnicas destinadas a identificar las infraestructuras y los sistemas digitales que deben respetarse y protegerse, o beneficiarse de otras protecciones específicas, en virtud de los Convenios de Ginebra y sus Protocolos Adicionales requiere una amplia adopción de estas soluciones y una cooperación sostenida entre muchos actores;</w:t>
      </w:r>
    </w:p>
    <w:p w14:paraId="033D9AB8" w14:textId="77777777" w:rsidR="00AC563C" w:rsidRPr="005541B4" w:rsidRDefault="00AC563C" w:rsidP="00AC563C">
      <w:pPr>
        <w:jc w:val="both"/>
        <w:rPr>
          <w:lang w:val="es-ES"/>
        </w:rPr>
      </w:pPr>
      <w:r w:rsidRPr="005541B4">
        <w:rPr>
          <w:i/>
          <w:iCs/>
          <w:lang w:val="es-ES"/>
        </w:rPr>
        <w:t>b)</w:t>
      </w:r>
      <w:r w:rsidRPr="005541B4">
        <w:rPr>
          <w:lang w:val="es-ES"/>
        </w:rPr>
        <w:tab/>
        <w:t xml:space="preserve">que las capacidades y el poder de convocatoria de la UIT en los ámbitos, entre otros, de la normalización técnica y el intercambio de conocimientos en relación con las políticas y reglamentaciones de las TIC podrían ser de gran utilidad para el CICR en sus esfuerzos por poner en práctica la Resolución 2 de la 34.ª Conferencia Internacional de la Cruz Roja y de la </w:t>
      </w:r>
      <w:proofErr w:type="gramStart"/>
      <w:r w:rsidRPr="005541B4">
        <w:rPr>
          <w:lang w:val="es-ES"/>
        </w:rPr>
        <w:t>Media Luna</w:t>
      </w:r>
      <w:proofErr w:type="gramEnd"/>
      <w:r w:rsidRPr="005541B4">
        <w:rPr>
          <w:lang w:val="es-ES"/>
        </w:rPr>
        <w:t xml:space="preserve"> Roja,</w:t>
      </w:r>
    </w:p>
    <w:p w14:paraId="6D6537DE" w14:textId="77777777" w:rsidR="00AC563C" w:rsidRPr="005541B4" w:rsidRDefault="00AC563C" w:rsidP="00AC563C">
      <w:pPr>
        <w:pStyle w:val="Call"/>
        <w:rPr>
          <w:lang w:val="es-ES"/>
        </w:rPr>
      </w:pPr>
      <w:r w:rsidRPr="005541B4">
        <w:rPr>
          <w:lang w:val="es-ES"/>
        </w:rPr>
        <w:t>resuelve</w:t>
      </w:r>
    </w:p>
    <w:p w14:paraId="5F1D343D" w14:textId="77777777" w:rsidR="00AC563C" w:rsidRPr="005541B4" w:rsidRDefault="00AC563C" w:rsidP="00AC563C">
      <w:pPr>
        <w:jc w:val="both"/>
        <w:rPr>
          <w:lang w:val="es-ES"/>
        </w:rPr>
      </w:pPr>
      <w:r w:rsidRPr="005541B4">
        <w:rPr>
          <w:lang w:val="es-ES"/>
        </w:rPr>
        <w:t xml:space="preserve">que la UIT ofrezca su asistencia, en el marco de su mandato, al CICR para facilitar el desarrollo y la difusión de soluciones técnicas elaboradas bajo los auspicios del CICR que contribuyan a la protección de la infraestructura y las aplicaciones de TIC utilizadas por los servicios médicos y el Movimiento de la Cruz Roja y de la </w:t>
      </w:r>
      <w:proofErr w:type="gramStart"/>
      <w:r w:rsidRPr="005541B4">
        <w:rPr>
          <w:lang w:val="es-ES"/>
        </w:rPr>
        <w:t>Media Luna</w:t>
      </w:r>
      <w:proofErr w:type="gramEnd"/>
      <w:r w:rsidRPr="005541B4">
        <w:rPr>
          <w:lang w:val="es-ES"/>
        </w:rPr>
        <w:t xml:space="preserve"> Roja en virtud de los Convenios de Ginebra y sus Protocolos adicionales,</w:t>
      </w:r>
    </w:p>
    <w:p w14:paraId="7E69EAFD" w14:textId="77777777" w:rsidR="00AC563C" w:rsidRPr="005541B4" w:rsidRDefault="00AC563C" w:rsidP="00AC563C">
      <w:pPr>
        <w:pStyle w:val="Call"/>
        <w:rPr>
          <w:lang w:val="es-ES"/>
        </w:rPr>
      </w:pPr>
      <w:r w:rsidRPr="005541B4">
        <w:rPr>
          <w:lang w:val="es-ES"/>
        </w:rPr>
        <w:t>encarga al Consejo de la UIT</w:t>
      </w:r>
    </w:p>
    <w:p w14:paraId="4068DC27" w14:textId="77777777" w:rsidR="00AC563C" w:rsidRPr="005541B4" w:rsidRDefault="00AC563C" w:rsidP="00AC563C">
      <w:pPr>
        <w:jc w:val="both"/>
        <w:rPr>
          <w:lang w:val="es-ES"/>
        </w:rPr>
      </w:pPr>
      <w:r w:rsidRPr="005541B4">
        <w:rPr>
          <w:lang w:val="es-ES"/>
        </w:rPr>
        <w:t>que examine el Informe del Secretario General e informe a la Conferencia de Plenipotenciarios sobre la aplicación de la presente Resolución,</w:t>
      </w:r>
    </w:p>
    <w:p w14:paraId="11D2A1E8" w14:textId="77777777" w:rsidR="00AC563C" w:rsidRPr="005541B4" w:rsidRDefault="00AC563C" w:rsidP="00AC563C">
      <w:pPr>
        <w:pStyle w:val="Call"/>
        <w:rPr>
          <w:lang w:val="es-ES"/>
        </w:rPr>
      </w:pPr>
      <w:r w:rsidRPr="005541B4">
        <w:rPr>
          <w:lang w:val="es-ES"/>
        </w:rPr>
        <w:t>encarga al Secretario General que, en estrecha consulta con los Directores de las tres Oficinas</w:t>
      </w:r>
    </w:p>
    <w:p w14:paraId="5899FDAC" w14:textId="77777777" w:rsidR="00AC563C" w:rsidRPr="005541B4" w:rsidRDefault="00AC563C" w:rsidP="00AC563C">
      <w:pPr>
        <w:jc w:val="both"/>
        <w:rPr>
          <w:lang w:val="es-ES"/>
        </w:rPr>
      </w:pPr>
      <w:r w:rsidRPr="005541B4">
        <w:rPr>
          <w:lang w:val="es-ES"/>
        </w:rPr>
        <w:t>1</w:t>
      </w:r>
      <w:r w:rsidRPr="005541B4">
        <w:rPr>
          <w:lang w:val="es-ES"/>
        </w:rPr>
        <w:tab/>
        <w:t>que someta esta Resolución a la atención del CICR;</w:t>
      </w:r>
    </w:p>
    <w:p w14:paraId="26A598C3" w14:textId="77777777" w:rsidR="00AC563C" w:rsidRPr="005541B4" w:rsidRDefault="00AC563C" w:rsidP="00AC563C">
      <w:pPr>
        <w:jc w:val="both"/>
        <w:rPr>
          <w:lang w:val="es-ES"/>
        </w:rPr>
      </w:pPr>
      <w:r w:rsidRPr="005541B4">
        <w:rPr>
          <w:lang w:val="es-ES"/>
        </w:rPr>
        <w:t>2</w:t>
      </w:r>
      <w:r w:rsidRPr="005541B4">
        <w:rPr>
          <w:lang w:val="es-ES"/>
        </w:rPr>
        <w:tab/>
        <w:t>que fomente la colaboración continua entre la UIT y el CICR con miras a la elaboración y difusión de normas técnicas, de conformidad con los objetivos de la Resolución 2 de la 34.ª</w:t>
      </w:r>
      <w:r>
        <w:rPr>
          <w:lang w:val="es-ES"/>
        </w:rPr>
        <w:t> </w:t>
      </w:r>
      <w:r w:rsidRPr="005541B4">
        <w:rPr>
          <w:lang w:val="es-ES"/>
        </w:rPr>
        <w:t xml:space="preserve">Conferencia Internacional de la Cruz Roja y de la </w:t>
      </w:r>
      <w:proofErr w:type="gramStart"/>
      <w:r w:rsidRPr="005541B4">
        <w:rPr>
          <w:lang w:val="es-ES"/>
        </w:rPr>
        <w:t>Media Luna</w:t>
      </w:r>
      <w:proofErr w:type="gramEnd"/>
      <w:r w:rsidRPr="005541B4">
        <w:rPr>
          <w:lang w:val="es-ES"/>
        </w:rPr>
        <w:t xml:space="preserve"> Roja;</w:t>
      </w:r>
    </w:p>
    <w:p w14:paraId="39E22C2F" w14:textId="77777777" w:rsidR="00AC563C" w:rsidRPr="005541B4" w:rsidRDefault="00AC563C" w:rsidP="00AC563C">
      <w:pPr>
        <w:jc w:val="both"/>
        <w:rPr>
          <w:lang w:val="es-ES"/>
        </w:rPr>
      </w:pPr>
      <w:r w:rsidRPr="005541B4">
        <w:rPr>
          <w:lang w:val="es-ES"/>
        </w:rPr>
        <w:t>3</w:t>
      </w:r>
      <w:r w:rsidRPr="005541B4">
        <w:rPr>
          <w:lang w:val="es-ES"/>
        </w:rPr>
        <w:tab/>
        <w:t>que presente al Consejo un informe sobre la aplicación de la presente Resolución en un año en que se celebre una Conferencia de Plenipotenciarios,</w:t>
      </w:r>
    </w:p>
    <w:p w14:paraId="34C5DB85" w14:textId="77777777" w:rsidR="00AC563C" w:rsidRPr="005541B4" w:rsidRDefault="00AC563C" w:rsidP="00AC563C">
      <w:pPr>
        <w:pStyle w:val="Call"/>
        <w:rPr>
          <w:lang w:val="es-ES"/>
        </w:rPr>
      </w:pPr>
      <w:r w:rsidRPr="005541B4">
        <w:rPr>
          <w:lang w:val="es-ES"/>
        </w:rPr>
        <w:t>invita a los Estados Miembros, a los Miembros de Sector, a los Asociados y a las Instituciones Académicas, así como a las partes interesadas</w:t>
      </w:r>
    </w:p>
    <w:p w14:paraId="25834BFE" w14:textId="77777777" w:rsidR="00AC563C" w:rsidRPr="005541B4" w:rsidRDefault="00AC563C" w:rsidP="00AC563C">
      <w:pPr>
        <w:jc w:val="both"/>
        <w:rPr>
          <w:rFonts w:eastAsia="Calibri"/>
          <w:spacing w:val="-2"/>
          <w:lang w:val="es-ES"/>
        </w:rPr>
      </w:pPr>
      <w:r w:rsidRPr="005541B4">
        <w:rPr>
          <w:rFonts w:eastAsia="Calibri"/>
          <w:lang w:val="es-ES"/>
        </w:rPr>
        <w:t xml:space="preserve">a contribuir y colaborar en las actividades de normalización técnica de la UIT, de conformidad con los objetivos de la Resolución 2 de la 34.ª Conferencia Internacional de la Cruz Roja y de la </w:t>
      </w:r>
      <w:proofErr w:type="gramStart"/>
      <w:r w:rsidRPr="005541B4">
        <w:rPr>
          <w:rFonts w:eastAsia="Calibri"/>
          <w:lang w:val="es-ES"/>
        </w:rPr>
        <w:t>Media Luna</w:t>
      </w:r>
      <w:proofErr w:type="gramEnd"/>
      <w:r w:rsidRPr="005541B4">
        <w:rPr>
          <w:rFonts w:eastAsia="Calibri"/>
          <w:lang w:val="es-ES"/>
        </w:rPr>
        <w:t xml:space="preserve"> Roja,</w:t>
      </w:r>
    </w:p>
    <w:p w14:paraId="39071E79" w14:textId="77777777" w:rsidR="00AC563C" w:rsidRPr="005541B4" w:rsidRDefault="00AC563C" w:rsidP="00AC563C">
      <w:pPr>
        <w:pStyle w:val="Call"/>
        <w:rPr>
          <w:lang w:val="es-ES"/>
        </w:rPr>
      </w:pPr>
      <w:r w:rsidRPr="005541B4">
        <w:rPr>
          <w:lang w:val="es-ES"/>
        </w:rPr>
        <w:t>invita al Comité Internacional de la Cruz Roja</w:t>
      </w:r>
    </w:p>
    <w:p w14:paraId="6128E192" w14:textId="77777777" w:rsidR="00AC563C" w:rsidRPr="005541B4" w:rsidRDefault="00AC563C" w:rsidP="00AC563C">
      <w:pPr>
        <w:jc w:val="both"/>
        <w:rPr>
          <w:lang w:val="es-ES"/>
        </w:rPr>
      </w:pPr>
      <w:r w:rsidRPr="005541B4">
        <w:rPr>
          <w:rFonts w:eastAsia="SimSun"/>
          <w:lang w:val="es-ES"/>
        </w:rPr>
        <w:t xml:space="preserve">a informar oportunamente a la UIT sobre sus progresos, así como los de los Estados y los componentes del Movimiento, en lo que respecta a la traducción al entorno digital de las funciones de los emblemas distintivos de la Cruz Roja, la </w:t>
      </w:r>
      <w:proofErr w:type="gramStart"/>
      <w:r w:rsidRPr="005541B4">
        <w:rPr>
          <w:rFonts w:eastAsia="SimSun"/>
          <w:lang w:val="es-ES"/>
        </w:rPr>
        <w:t>Media Luna</w:t>
      </w:r>
      <w:proofErr w:type="gramEnd"/>
      <w:r w:rsidRPr="005541B4">
        <w:rPr>
          <w:rFonts w:eastAsia="SimSun"/>
          <w:lang w:val="es-ES"/>
        </w:rPr>
        <w:t xml:space="preserve"> Roja y el Cristal Rojo reconocidos internacionalmente.</w:t>
      </w:r>
    </w:p>
    <w:p w14:paraId="7862812B" w14:textId="77777777" w:rsidR="00AC563C" w:rsidRPr="005541B4" w:rsidRDefault="00AC563C" w:rsidP="00AC563C">
      <w:pPr>
        <w:pStyle w:val="Reasons"/>
        <w:jc w:val="both"/>
        <w:rPr>
          <w:lang w:val="es-ES"/>
        </w:rPr>
      </w:pPr>
      <w:r w:rsidRPr="005541B4">
        <w:rPr>
          <w:b/>
          <w:bCs/>
          <w:lang w:val="es-ES"/>
        </w:rPr>
        <w:t>Motivos:</w:t>
      </w:r>
      <w:r w:rsidRPr="005541B4">
        <w:rPr>
          <w:lang w:val="es-ES"/>
        </w:rPr>
        <w:tab/>
        <w:t xml:space="preserve">Los conocimientos especializados de la UIT pueden resultar valiosos para el Comité Internacional de la Cruz Roja (CICR) en sus esfuerzos por traducir las funciones de los emblemas distintivos de la Cruz Roja, la </w:t>
      </w:r>
      <w:proofErr w:type="gramStart"/>
      <w:r w:rsidRPr="005541B4">
        <w:rPr>
          <w:lang w:val="es-ES"/>
        </w:rPr>
        <w:t>Media Luna</w:t>
      </w:r>
      <w:proofErr w:type="gramEnd"/>
      <w:r w:rsidRPr="005541B4">
        <w:rPr>
          <w:lang w:val="es-ES"/>
        </w:rPr>
        <w:t xml:space="preserve"> Roja y el Cristal Rojo reconocidos internacionalmente al ámbito digital, entre otras cosas, en un formato legible por máquina y verificable. Esta Resolución </w:t>
      </w:r>
      <w:r w:rsidRPr="005541B4">
        <w:rPr>
          <w:lang w:val="es-ES"/>
        </w:rPr>
        <w:lastRenderedPageBreak/>
        <w:t>pondría los conocimientos especializados de la Unión a disposición del CICR. Corresponderá al CICR aprovechar esta oferta y determinar las características de esta colaboración.</w:t>
      </w:r>
    </w:p>
    <w:p w14:paraId="75C2ABBD" w14:textId="682FF2FB" w:rsidR="00993CE7" w:rsidRPr="00CB5884" w:rsidRDefault="00AC563C" w:rsidP="00AC563C">
      <w:pPr>
        <w:spacing w:before="360"/>
        <w:jc w:val="center"/>
        <w:rPr>
          <w:lang w:val="es-ES"/>
        </w:rPr>
      </w:pPr>
      <w:r w:rsidRPr="005541B4">
        <w:rPr>
          <w:lang w:val="es-ES"/>
        </w:rPr>
        <w:t>______________</w:t>
      </w:r>
    </w:p>
    <w:sectPr w:rsidR="00993CE7" w:rsidRPr="00CB5884">
      <w:headerReference w:type="default" r:id="rId12"/>
      <w:footerReference w:type="first" r:id="rId13"/>
      <w:type w:val="continuous"/>
      <w:pgSz w:w="11913" w:h="16834" w:code="9"/>
      <w:pgMar w:top="1418" w:right="1134" w:bottom="1418" w:left="1134"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9D048" w14:textId="77777777" w:rsidR="006F4514" w:rsidRDefault="006F4514">
      <w:r>
        <w:separator/>
      </w:r>
    </w:p>
  </w:endnote>
  <w:endnote w:type="continuationSeparator" w:id="0">
    <w:p w14:paraId="5D590878" w14:textId="77777777" w:rsidR="006F4514" w:rsidRDefault="006F4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57E94" w14:textId="31F9A8FD"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3B5DC9" w:rsidRPr="009415B6">
        <w:rPr>
          <w:rStyle w:val="Hyperlink"/>
          <w:color w:val="00A3E0"/>
          <w:sz w:val="22"/>
          <w:szCs w:val="22"/>
          <w:lang w:val="en-GB"/>
        </w:rPr>
        <w:t>www.itu.int</w:t>
      </w:r>
      <w:proofErr w:type="spellEnd"/>
      <w:r w:rsidR="003B5DC9" w:rsidRPr="009415B6">
        <w:rPr>
          <w:rStyle w:val="Hyperlink"/>
          <w:color w:val="00A3E0"/>
          <w:sz w:val="22"/>
          <w:szCs w:val="22"/>
          <w:lang w:val="en-GB"/>
        </w:rPr>
        <w:t>/plenipotentiary/</w:t>
      </w:r>
    </w:hyperlink>
    <w:r w:rsidR="003B5DC9" w:rsidRPr="00C8341A">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A469B" w14:textId="77777777" w:rsidR="006F4514" w:rsidRDefault="006F4514">
      <w:r>
        <w:t>____________________</w:t>
      </w:r>
    </w:p>
  </w:footnote>
  <w:footnote w:type="continuationSeparator" w:id="0">
    <w:p w14:paraId="27F19724" w14:textId="77777777" w:rsidR="006F4514" w:rsidRDefault="006F4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7BDEA"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59CD84DC" w14:textId="77777777" w:rsidR="00255FA1" w:rsidRDefault="00255FA1" w:rsidP="00C43474">
    <w:pPr>
      <w:pStyle w:val="Header"/>
    </w:pPr>
    <w:proofErr w:type="spellStart"/>
    <w:r>
      <w:rPr>
        <w:lang w:val="en-US"/>
      </w:rPr>
      <w:t>PP</w:t>
    </w:r>
    <w:r w:rsidR="009D1BE0">
      <w:rPr>
        <w:lang w:val="en-US"/>
      </w:rPr>
      <w:t>2</w:t>
    </w:r>
    <w:r w:rsidR="009415B6">
      <w:rPr>
        <w:lang w:val="en-US"/>
      </w:rPr>
      <w:t>6</w:t>
    </w:r>
    <w:proofErr w:type="spellEnd"/>
    <w:r>
      <w:t>/45-</w:t>
    </w:r>
    <w:r w:rsidRPr="00010B4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C7F17"/>
    <w:rsid w:val="001D4983"/>
    <w:rsid w:val="001D6EC3"/>
    <w:rsid w:val="001D787B"/>
    <w:rsid w:val="001E3D06"/>
    <w:rsid w:val="001F0B24"/>
    <w:rsid w:val="00225F6B"/>
    <w:rsid w:val="00237C17"/>
    <w:rsid w:val="00242376"/>
    <w:rsid w:val="00255FA1"/>
    <w:rsid w:val="00262FF4"/>
    <w:rsid w:val="00277985"/>
    <w:rsid w:val="002C6527"/>
    <w:rsid w:val="002E44FC"/>
    <w:rsid w:val="002E75BC"/>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2A24"/>
    <w:rsid w:val="006455D2"/>
    <w:rsid w:val="006537F3"/>
    <w:rsid w:val="006B1290"/>
    <w:rsid w:val="006B5512"/>
    <w:rsid w:val="006C190D"/>
    <w:rsid w:val="006F4514"/>
    <w:rsid w:val="00720686"/>
    <w:rsid w:val="00737EFF"/>
    <w:rsid w:val="00750806"/>
    <w:rsid w:val="00780430"/>
    <w:rsid w:val="007875D2"/>
    <w:rsid w:val="007965C9"/>
    <w:rsid w:val="007D61E2"/>
    <w:rsid w:val="007F6EBC"/>
    <w:rsid w:val="00810D8B"/>
    <w:rsid w:val="00882773"/>
    <w:rsid w:val="0088483F"/>
    <w:rsid w:val="008B4706"/>
    <w:rsid w:val="008B6676"/>
    <w:rsid w:val="008B7505"/>
    <w:rsid w:val="008C3FA8"/>
    <w:rsid w:val="008E51C5"/>
    <w:rsid w:val="008F7109"/>
    <w:rsid w:val="009005FD"/>
    <w:rsid w:val="009107B0"/>
    <w:rsid w:val="009220DE"/>
    <w:rsid w:val="00923825"/>
    <w:rsid w:val="00930E84"/>
    <w:rsid w:val="009415B6"/>
    <w:rsid w:val="00956FE6"/>
    <w:rsid w:val="00976733"/>
    <w:rsid w:val="0099270D"/>
    <w:rsid w:val="00993CE7"/>
    <w:rsid w:val="0099551E"/>
    <w:rsid w:val="009A1A86"/>
    <w:rsid w:val="009D1BE0"/>
    <w:rsid w:val="009E0C42"/>
    <w:rsid w:val="00A50BE3"/>
    <w:rsid w:val="00A70E95"/>
    <w:rsid w:val="00A74E5A"/>
    <w:rsid w:val="00AA1F73"/>
    <w:rsid w:val="00AB190D"/>
    <w:rsid w:val="00AB34CA"/>
    <w:rsid w:val="00AC563C"/>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341A"/>
    <w:rsid w:val="00C84355"/>
    <w:rsid w:val="00C84A65"/>
    <w:rsid w:val="00CA3051"/>
    <w:rsid w:val="00CA392B"/>
    <w:rsid w:val="00CB5884"/>
    <w:rsid w:val="00CD20D9"/>
    <w:rsid w:val="00CD701A"/>
    <w:rsid w:val="00D05AAE"/>
    <w:rsid w:val="00D05E6B"/>
    <w:rsid w:val="00D066F8"/>
    <w:rsid w:val="00D254A6"/>
    <w:rsid w:val="00D42B55"/>
    <w:rsid w:val="00D57D70"/>
    <w:rsid w:val="00DE3E41"/>
    <w:rsid w:val="00E05D81"/>
    <w:rsid w:val="00E53DFC"/>
    <w:rsid w:val="00E66FC3"/>
    <w:rsid w:val="00E677DD"/>
    <w:rsid w:val="00E77F17"/>
    <w:rsid w:val="00E809D8"/>
    <w:rsid w:val="00E921EC"/>
    <w:rsid w:val="00EB23D0"/>
    <w:rsid w:val="00EC395A"/>
    <w:rsid w:val="00F01632"/>
    <w:rsid w:val="00F04858"/>
    <w:rsid w:val="00F13AA4"/>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7480EE"/>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paragraph" w:styleId="NormalWeb">
    <w:name w:val="Normal (Web)"/>
    <w:basedOn w:val="Normal"/>
    <w:semiHidden/>
    <w:unhideWhenUsed/>
    <w:rsid w:val="00642A24"/>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5b13a0c-90ab-450b-b446-77a094de5cc7" targetNamespace="http://schemas.microsoft.com/office/2006/metadata/properties" ma:root="true" ma:fieldsID="d41af5c836d734370eb92e7ee5f83852" ns2:_="" ns3:_="">
    <xsd:import namespace="996b2e75-67fd-4955-a3b0-5ab9934cb50b"/>
    <xsd:import namespace="c5b13a0c-90ab-450b-b446-77a094de5cc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5b13a0c-90ab-450b-b446-77a094de5cc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c5b13a0c-90ab-450b-b446-77a094de5cc7">DPM</DPM_x0020_Author>
    <DPM_x0020_File_x0020_name xmlns="c5b13a0c-90ab-450b-b446-77a094de5cc7">S26-PP-C-0045!!MSW-S</DPM_x0020_File_x0020_name>
    <DPM_x0020_Version xmlns="c5b13a0c-90ab-450b-b446-77a094de5cc7">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5b13a0c-90ab-450b-b446-77a094de5c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5b13a0c-90ab-450b-b446-77a094de5cc7"/>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1511</Words>
  <Characters>7981</Characters>
  <Application>Microsoft Office Word</Application>
  <DocSecurity>0</DocSecurity>
  <Lines>135</Lines>
  <Paragraphs>46</Paragraphs>
  <ScaleCrop>false</ScaleCrop>
  <HeadingPairs>
    <vt:vector size="2" baseType="variant">
      <vt:variant>
        <vt:lpstr>Title</vt:lpstr>
      </vt:variant>
      <vt:variant>
        <vt:i4>1</vt:i4>
      </vt:variant>
    </vt:vector>
  </HeadingPairs>
  <TitlesOfParts>
    <vt:vector size="1" baseType="lpstr">
      <vt:lpstr>S26-PP-C-0045!!MSW-S</vt:lpstr>
    </vt:vector>
  </TitlesOfParts>
  <Manager/>
  <Company/>
  <LinksUpToDate>false</LinksUpToDate>
  <CharactersWithSpaces>9446</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S26-PP-C-0045!!MSW-S</dc:title>
  <dc:subject>ITU Plenipotentiary Conference (PP-26)</dc:subject>
  <dc:creator>Documents Proposals Manager (DPM)</dc:creator>
  <cp:keywords>DPM_v2026.8.25.1_prod</cp:keywords>
  <dc:description/>
  <cp:lastModifiedBy>GBS-2</cp:lastModifiedBy>
  <cp:revision>5</cp:revision>
  <dcterms:created xsi:type="dcterms:W3CDTF">2026-09-25T14:47:00Z</dcterms:created>
  <dcterms:modified xsi:type="dcterms:W3CDTF">2026-09-25T14:53:00Z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