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559DA30" w14:textId="77777777" w:rsidTr="00C70164">
        <w:trPr>
          <w:cantSplit/>
          <w:jc w:val="center"/>
        </w:trPr>
        <w:tc>
          <w:tcPr>
            <w:tcW w:w="10031" w:type="dxa"/>
            <w:gridSpan w:val="2"/>
            <w:tcMar>
              <w:left w:w="0" w:type="dxa"/>
              <w:right w:w="0" w:type="dxa"/>
            </w:tcMar>
            <w:vAlign w:val="center"/>
          </w:tcPr>
          <w:p w14:paraId="73BA18E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88BFF8" wp14:editId="48398E3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C8AC6ED" w14:textId="77777777" w:rsidTr="00C70164">
        <w:trPr>
          <w:cantSplit/>
          <w:trHeight w:val="283"/>
          <w:jc w:val="center"/>
        </w:trPr>
        <w:tc>
          <w:tcPr>
            <w:tcW w:w="10031" w:type="dxa"/>
            <w:gridSpan w:val="2"/>
            <w:tcBorders>
              <w:bottom w:val="single" w:sz="12" w:space="0" w:color="71716F"/>
            </w:tcBorders>
          </w:tcPr>
          <w:p w14:paraId="23144AE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3B03D3" w14:textId="77777777" w:rsidTr="00C70164">
        <w:trPr>
          <w:cantSplit/>
          <w:trHeight w:val="255"/>
          <w:jc w:val="center"/>
        </w:trPr>
        <w:tc>
          <w:tcPr>
            <w:tcW w:w="7230" w:type="dxa"/>
            <w:tcBorders>
              <w:top w:val="single" w:sz="12" w:space="0" w:color="71716F"/>
            </w:tcBorders>
          </w:tcPr>
          <w:p w14:paraId="52FE5CB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337EAE5" w14:textId="77777777" w:rsidR="001A16ED" w:rsidRPr="00D96B4B" w:rsidRDefault="001A16ED" w:rsidP="000B596F">
            <w:pPr>
              <w:spacing w:before="0"/>
              <w:rPr>
                <w:rFonts w:cstheme="minorHAnsi"/>
                <w:sz w:val="20"/>
              </w:rPr>
            </w:pPr>
          </w:p>
        </w:tc>
      </w:tr>
      <w:tr w:rsidR="001A16ED" w:rsidRPr="00C324A8" w14:paraId="5C998588" w14:textId="77777777" w:rsidTr="00C70164">
        <w:trPr>
          <w:cantSplit/>
          <w:trHeight w:val="23"/>
          <w:jc w:val="center"/>
        </w:trPr>
        <w:tc>
          <w:tcPr>
            <w:tcW w:w="7230" w:type="dxa"/>
          </w:tcPr>
          <w:p w14:paraId="5A0E64B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3A674A" w14:textId="77777777" w:rsidR="001A16ED" w:rsidRPr="00F44B1A" w:rsidRDefault="001A16ED" w:rsidP="000B596F">
            <w:pPr>
              <w:tabs>
                <w:tab w:val="left" w:pos="851"/>
              </w:tabs>
              <w:spacing w:before="0"/>
              <w:rPr>
                <w:rFonts w:cstheme="minorHAnsi"/>
                <w:b/>
                <w:szCs w:val="24"/>
              </w:rPr>
            </w:pPr>
            <w:r>
              <w:rPr>
                <w:rFonts w:cstheme="minorHAnsi"/>
                <w:b/>
                <w:szCs w:val="24"/>
              </w:rPr>
              <w:t>Document 45</w:t>
            </w:r>
            <w:r w:rsidR="00F44B1A" w:rsidRPr="00F44B1A">
              <w:rPr>
                <w:rFonts w:cstheme="minorHAnsi"/>
                <w:b/>
                <w:szCs w:val="24"/>
              </w:rPr>
              <w:t>-E</w:t>
            </w:r>
          </w:p>
        </w:tc>
      </w:tr>
      <w:tr w:rsidR="001A16ED" w:rsidRPr="00C324A8" w14:paraId="58ECC93F" w14:textId="77777777" w:rsidTr="00C70164">
        <w:trPr>
          <w:cantSplit/>
          <w:trHeight w:val="23"/>
          <w:jc w:val="center"/>
        </w:trPr>
        <w:tc>
          <w:tcPr>
            <w:tcW w:w="7230" w:type="dxa"/>
          </w:tcPr>
          <w:p w14:paraId="08A491C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C79D4FD" w14:textId="77777777" w:rsidR="001A16ED" w:rsidRPr="00D96B4B" w:rsidRDefault="001A16ED" w:rsidP="000B596F">
            <w:pPr>
              <w:spacing w:before="0"/>
              <w:rPr>
                <w:rFonts w:cstheme="minorHAnsi"/>
                <w:szCs w:val="24"/>
              </w:rPr>
            </w:pPr>
            <w:r w:rsidRPr="00D96B4B">
              <w:rPr>
                <w:rFonts w:cstheme="minorHAnsi"/>
                <w:b/>
                <w:szCs w:val="24"/>
              </w:rPr>
              <w:t>10 September 2026</w:t>
            </w:r>
          </w:p>
        </w:tc>
      </w:tr>
      <w:tr w:rsidR="001A16ED" w:rsidRPr="00C324A8" w14:paraId="74116667" w14:textId="77777777" w:rsidTr="00C70164">
        <w:trPr>
          <w:cantSplit/>
          <w:trHeight w:val="23"/>
          <w:jc w:val="center"/>
        </w:trPr>
        <w:tc>
          <w:tcPr>
            <w:tcW w:w="7230" w:type="dxa"/>
          </w:tcPr>
          <w:p w14:paraId="0EF15FD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CF6687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FBF1BF5" w14:textId="77777777" w:rsidTr="00C70164">
        <w:trPr>
          <w:cantSplit/>
          <w:trHeight w:val="23"/>
          <w:jc w:val="center"/>
        </w:trPr>
        <w:tc>
          <w:tcPr>
            <w:tcW w:w="10031" w:type="dxa"/>
            <w:gridSpan w:val="2"/>
          </w:tcPr>
          <w:p w14:paraId="5A9275D4" w14:textId="77777777" w:rsidR="001A16ED" w:rsidRPr="00D96B4B" w:rsidRDefault="001A16ED" w:rsidP="000B596F">
            <w:pPr>
              <w:tabs>
                <w:tab w:val="left" w:pos="993"/>
              </w:tabs>
              <w:rPr>
                <w:rFonts w:ascii="Verdana" w:hAnsi="Verdana"/>
                <w:b/>
                <w:szCs w:val="24"/>
              </w:rPr>
            </w:pPr>
          </w:p>
        </w:tc>
      </w:tr>
      <w:tr w:rsidR="001A16ED" w:rsidRPr="00C324A8" w14:paraId="2280BC83" w14:textId="77777777" w:rsidTr="00C70164">
        <w:trPr>
          <w:cantSplit/>
          <w:trHeight w:val="23"/>
          <w:jc w:val="center"/>
        </w:trPr>
        <w:tc>
          <w:tcPr>
            <w:tcW w:w="10031" w:type="dxa"/>
            <w:gridSpan w:val="2"/>
          </w:tcPr>
          <w:p w14:paraId="21A06CF5" w14:textId="77777777" w:rsidR="001A16ED" w:rsidRDefault="001A16ED" w:rsidP="000B596F">
            <w:pPr>
              <w:pStyle w:val="Source"/>
            </w:pPr>
            <w:r>
              <w:t>Switzerland (Confederation of)</w:t>
            </w:r>
          </w:p>
        </w:tc>
      </w:tr>
      <w:tr w:rsidR="001A16ED" w:rsidRPr="00C324A8" w14:paraId="2962AE4E" w14:textId="77777777" w:rsidTr="00C70164">
        <w:trPr>
          <w:cantSplit/>
          <w:trHeight w:val="23"/>
          <w:jc w:val="center"/>
        </w:trPr>
        <w:tc>
          <w:tcPr>
            <w:tcW w:w="10031" w:type="dxa"/>
            <w:gridSpan w:val="2"/>
          </w:tcPr>
          <w:p w14:paraId="3FCCA855" w14:textId="77777777" w:rsidR="001A16ED" w:rsidRDefault="001A16ED" w:rsidP="000B596F">
            <w:pPr>
              <w:pStyle w:val="Title1"/>
            </w:pPr>
            <w:r>
              <w:t>Proposals for the work of the Conference</w:t>
            </w:r>
          </w:p>
        </w:tc>
      </w:tr>
      <w:tr w:rsidR="001A16ED" w:rsidRPr="00C324A8" w14:paraId="3FEF0C9A" w14:textId="77777777" w:rsidTr="00C70164">
        <w:trPr>
          <w:cantSplit/>
          <w:trHeight w:val="23"/>
          <w:jc w:val="center"/>
        </w:trPr>
        <w:tc>
          <w:tcPr>
            <w:tcW w:w="10031" w:type="dxa"/>
            <w:gridSpan w:val="2"/>
          </w:tcPr>
          <w:p w14:paraId="49C5AF9E" w14:textId="77777777" w:rsidR="001A16ED" w:rsidRDefault="001A16ED" w:rsidP="000B596F">
            <w:pPr>
              <w:pStyle w:val="Title2"/>
            </w:pPr>
          </w:p>
        </w:tc>
      </w:tr>
      <w:tr w:rsidR="001A16ED" w:rsidRPr="00C324A8" w14:paraId="6D62E7AA" w14:textId="77777777" w:rsidTr="00C70164">
        <w:trPr>
          <w:cantSplit/>
          <w:trHeight w:val="23"/>
          <w:jc w:val="center"/>
        </w:trPr>
        <w:tc>
          <w:tcPr>
            <w:tcW w:w="10031" w:type="dxa"/>
            <w:gridSpan w:val="2"/>
          </w:tcPr>
          <w:p w14:paraId="50C33F5E" w14:textId="77777777" w:rsidR="001A16ED" w:rsidRPr="00782610" w:rsidRDefault="001A16ED" w:rsidP="000B596F">
            <w:pPr>
              <w:pStyle w:val="Agendaitem"/>
              <w:rPr>
                <w:lang w:val="en-GB"/>
              </w:rPr>
            </w:pPr>
          </w:p>
        </w:tc>
      </w:tr>
      <w:bookmarkEnd w:id="6"/>
      <w:bookmarkEnd w:id="7"/>
    </w:tbl>
    <w:p w14:paraId="065E61E4" w14:textId="77777777" w:rsidR="001A16ED" w:rsidRDefault="001A16ED" w:rsidP="00AB2D04"/>
    <w:p w14:paraId="6DDE287D" w14:textId="77777777" w:rsidR="0008540E" w:rsidRPr="0008540E" w:rsidRDefault="001A16ED" w:rsidP="00004F8B">
      <w:r>
        <w:br w:type="page"/>
      </w:r>
    </w:p>
    <w:p w14:paraId="7EC43A3E" w14:textId="77777777" w:rsidR="007F10D2" w:rsidRDefault="006B44A0">
      <w:pPr>
        <w:pStyle w:val="Proposal"/>
      </w:pPr>
      <w:r>
        <w:lastRenderedPageBreak/>
        <w:t>ADD</w:t>
      </w:r>
      <w:r>
        <w:tab/>
        <w:t>SUI/45/1</w:t>
      </w:r>
    </w:p>
    <w:p w14:paraId="6FEAEA3A" w14:textId="535EC588" w:rsidR="00782610" w:rsidRPr="000631AE" w:rsidRDefault="00782610" w:rsidP="00782610">
      <w:pPr>
        <w:pStyle w:val="ResNo"/>
      </w:pPr>
      <w:r w:rsidRPr="000631AE">
        <w:t>Draft New Resolution</w:t>
      </w:r>
      <w:r w:rsidR="006C1D9C">
        <w:t xml:space="preserve"> [SUI-1]</w:t>
      </w:r>
    </w:p>
    <w:p w14:paraId="22289980" w14:textId="77777777" w:rsidR="00782610" w:rsidRPr="000631AE" w:rsidRDefault="00782610" w:rsidP="00782610">
      <w:pPr>
        <w:pStyle w:val="Restitle"/>
      </w:pPr>
      <w:r w:rsidRPr="000631AE">
        <w:t>Assistance to the International Committee of the Red Cross (ICRC) in its efforts to protect civilians and other protected persons and objects against the potential human cost of ICT activities during armed conflict</w:t>
      </w:r>
    </w:p>
    <w:p w14:paraId="0A9582AB" w14:textId="77777777" w:rsidR="00782610" w:rsidRPr="000631AE" w:rsidRDefault="00782610" w:rsidP="00782610">
      <w:pPr>
        <w:pStyle w:val="Normalaftertitle"/>
      </w:pPr>
      <w:r w:rsidRPr="000631AE">
        <w:t>The Plenipotentiary Conference of the International Telecommunication Union (Doha, 2026),</w:t>
      </w:r>
    </w:p>
    <w:p w14:paraId="24C29252" w14:textId="77777777" w:rsidR="00782610" w:rsidRPr="000631AE" w:rsidRDefault="00782610" w:rsidP="00782610">
      <w:pPr>
        <w:pStyle w:val="Call"/>
      </w:pPr>
      <w:r w:rsidRPr="000631AE">
        <w:t>recalling</w:t>
      </w:r>
    </w:p>
    <w:p w14:paraId="5774101B" w14:textId="77777777" w:rsidR="00782610" w:rsidRPr="00346999" w:rsidRDefault="00782610" w:rsidP="00782610">
      <w:pPr>
        <w:jc w:val="both"/>
        <w:rPr>
          <w:spacing w:val="-2"/>
        </w:rPr>
      </w:pPr>
      <w:r w:rsidRPr="00346999">
        <w:rPr>
          <w:i/>
          <w:iCs/>
          <w:spacing w:val="-2"/>
        </w:rPr>
        <w:t>a)</w:t>
      </w:r>
      <w:r w:rsidRPr="00346999">
        <w:rPr>
          <w:spacing w:val="-2"/>
        </w:rPr>
        <w:tab/>
        <w:t xml:space="preserve">the United Nations General Assembly (UNGA) Resolutions establishing six UN Groups of Governmental Experts (GGE) (2004/2005, A/RES/58/32; 2009/2010, A/RES/60/45; 2012/2013, A/RES/66/24; 2014/2015, A/RES/68/243; 2016/2017, A/RES/70/237; and 2019/2021, A/RES/73/266), two Open-Ended Working Groups (OEWG) on Security of and in the Use of Information and Communications Technologies </w:t>
      </w:r>
      <w:r>
        <w:rPr>
          <w:spacing w:val="-2"/>
        </w:rPr>
        <w:t>(</w:t>
      </w:r>
      <w:r w:rsidRPr="00346999">
        <w:rPr>
          <w:spacing w:val="-2"/>
        </w:rPr>
        <w:t>ICTs</w:t>
      </w:r>
      <w:r>
        <w:rPr>
          <w:spacing w:val="-2"/>
        </w:rPr>
        <w:t xml:space="preserve">) </w:t>
      </w:r>
      <w:r w:rsidRPr="00346999">
        <w:rPr>
          <w:spacing w:val="-2"/>
        </w:rPr>
        <w:t>(2019/2021, A/RES/73/27; 2021/2025, A/RES/75/240) and the Global Mechanism on developments in the field of ICTs in the context of international security and advancing responsible State behaviour in the use of ICTs;</w:t>
      </w:r>
    </w:p>
    <w:p w14:paraId="1A9ABE1E" w14:textId="77777777" w:rsidR="00782610" w:rsidRPr="00243808" w:rsidRDefault="00782610" w:rsidP="00782610">
      <w:pPr>
        <w:jc w:val="both"/>
      </w:pPr>
      <w:r w:rsidRPr="000631AE">
        <w:rPr>
          <w:i/>
          <w:iCs/>
        </w:rPr>
        <w:t>b)</w:t>
      </w:r>
      <w:r w:rsidRPr="000631AE">
        <w:tab/>
        <w:t>the acquis built in the consensus reports of the GGEs of 2010, 2013, 2015 and 2021, and the Final Reports of the 2019-2021 and 2021-2025 OEWGs concluding that international law</w:t>
      </w:r>
      <w:r>
        <w:t>,</w:t>
      </w:r>
      <w:r w:rsidRPr="000631AE">
        <w:t xml:space="preserve"> and in particular the United Nations Charter, is applicable and is essential to maintaining peace and stability and promoting an open, secure, peaceful and accessible ICT environment </w:t>
      </w:r>
      <w:r w:rsidRPr="00243808">
        <w:t>(United Nations Document</w:t>
      </w:r>
      <w:r>
        <w:t>s</w:t>
      </w:r>
      <w:r w:rsidRPr="00243808">
        <w:t xml:space="preserve"> A/65/201, A/68/98, A/70/174, A/76/135 and A/80/257);</w:t>
      </w:r>
    </w:p>
    <w:p w14:paraId="3D7C445D" w14:textId="77777777" w:rsidR="00782610" w:rsidRPr="00427067" w:rsidRDefault="00782610" w:rsidP="00782610">
      <w:pPr>
        <w:jc w:val="both"/>
      </w:pPr>
      <w:r w:rsidRPr="00427067">
        <w:rPr>
          <w:i/>
          <w:iCs/>
        </w:rPr>
        <w:t>c)</w:t>
      </w:r>
      <w:r w:rsidRPr="00427067">
        <w:rPr>
          <w:i/>
          <w:iCs/>
        </w:rPr>
        <w:tab/>
      </w:r>
      <w:r w:rsidRPr="00427067">
        <w:t>that ICT infrastructure can be critical to humanitarian action (United Nations Documents</w:t>
      </w:r>
      <w:r>
        <w:t> </w:t>
      </w:r>
      <w:r w:rsidRPr="00427067">
        <w:t xml:space="preserve">A/76/135, </w:t>
      </w:r>
      <w:r w:rsidRPr="00427067">
        <w:rPr>
          <w:rFonts w:cs="Calibri"/>
        </w:rPr>
        <w:t>§</w:t>
      </w:r>
      <w:r w:rsidRPr="00427067">
        <w:t xml:space="preserve"> 45, and A/80/257, </w:t>
      </w:r>
      <w:r w:rsidRPr="00427067">
        <w:rPr>
          <w:rFonts w:cs="Calibri"/>
        </w:rPr>
        <w:t>§</w:t>
      </w:r>
      <w:r w:rsidRPr="00427067">
        <w:t xml:space="preserve"> 34);</w:t>
      </w:r>
    </w:p>
    <w:p w14:paraId="635777DA" w14:textId="77777777" w:rsidR="00782610" w:rsidRPr="00243808" w:rsidRDefault="00782610" w:rsidP="00782610">
      <w:pPr>
        <w:jc w:val="both"/>
      </w:pPr>
      <w:r w:rsidRPr="000631AE">
        <w:rPr>
          <w:i/>
          <w:iCs/>
        </w:rPr>
        <w:t>d)</w:t>
      </w:r>
      <w:r w:rsidRPr="000631AE">
        <w:rPr>
          <w:i/>
          <w:iCs/>
        </w:rPr>
        <w:tab/>
      </w:r>
      <w:r w:rsidRPr="000631AE">
        <w:t xml:space="preserve">that voluntary, non-binding norms of responsible State behaviour in the use of ICT provide that health care and medical infrastructure and facilities are critical infrastructures that should not be the object of internationally wrongful acts of States by mean of the use of </w:t>
      </w:r>
      <w:r w:rsidRPr="00243808">
        <w:t xml:space="preserve">ICT (United Nations Document A/76/135, </w:t>
      </w:r>
      <w:r>
        <w:rPr>
          <w:rFonts w:cs="Calibri"/>
        </w:rPr>
        <w:t>§</w:t>
      </w:r>
      <w:r>
        <w:t> </w:t>
      </w:r>
      <w:r w:rsidRPr="00243808">
        <w:t>45);</w:t>
      </w:r>
    </w:p>
    <w:p w14:paraId="2D9DDEC2" w14:textId="77777777" w:rsidR="00782610" w:rsidRPr="00243808" w:rsidRDefault="00782610" w:rsidP="00782610">
      <w:pPr>
        <w:jc w:val="both"/>
      </w:pPr>
      <w:r w:rsidRPr="00243808">
        <w:rPr>
          <w:i/>
          <w:iCs/>
        </w:rPr>
        <w:t>e)</w:t>
      </w:r>
      <w:r w:rsidRPr="00243808">
        <w:tab/>
        <w:t>that the United Nations Security Council has expressed concern about the increase</w:t>
      </w:r>
      <w:r w:rsidRPr="000631AE">
        <w:t xml:space="preserve"> in malicious information and communication technologies activities, including data breaches, information operations, that target humanitarian organizations, disrupt their relief operations, undermine trust in humanitarian organizations and United Nations activities, and threaten the safety and security of their personnel, premises and assets, and ultimately their </w:t>
      </w:r>
      <w:r w:rsidRPr="00243808">
        <w:t>access and ability to carry out humanitarian activities (United Nations Security Council, Resolution 2730 (2024), 24</w:t>
      </w:r>
      <w:r>
        <w:t> </w:t>
      </w:r>
      <w:r w:rsidRPr="00243808">
        <w:t>May 2024, preamble),</w:t>
      </w:r>
    </w:p>
    <w:p w14:paraId="1C7775EC" w14:textId="77777777" w:rsidR="00782610" w:rsidRPr="000631AE" w:rsidRDefault="00782610" w:rsidP="00782610">
      <w:pPr>
        <w:pStyle w:val="Call"/>
      </w:pPr>
      <w:r w:rsidRPr="000631AE">
        <w:t>recalling further</w:t>
      </w:r>
    </w:p>
    <w:p w14:paraId="2DF3901D" w14:textId="77777777" w:rsidR="00782610" w:rsidRPr="000631AE" w:rsidRDefault="00782610" w:rsidP="00782610">
      <w:pPr>
        <w:jc w:val="both"/>
      </w:pPr>
      <w:r w:rsidRPr="000631AE">
        <w:rPr>
          <w:i/>
          <w:iCs/>
        </w:rPr>
        <w:t>a)</w:t>
      </w:r>
      <w:r w:rsidRPr="000631AE">
        <w:tab/>
        <w:t>that the 1949 Geneva Conventions and their Additional Protocols define the personnel, units and transports entitled to use the emblems of the Red Cross and the Red Crescent, as well as the Red Crystal for State parties to Additional Protocol III, and the purposes for which they may be employed at all times, i.e. during periods of peace as well as during times of armed conflict;</w:t>
      </w:r>
    </w:p>
    <w:p w14:paraId="73EC76E8" w14:textId="77777777" w:rsidR="00782610" w:rsidRPr="000631AE" w:rsidRDefault="00782610" w:rsidP="00782610">
      <w:pPr>
        <w:jc w:val="both"/>
        <w:rPr>
          <w:lang w:eastAsia="pt-BR"/>
        </w:rPr>
      </w:pPr>
      <w:r w:rsidRPr="000631AE">
        <w:rPr>
          <w:i/>
          <w:iCs/>
        </w:rPr>
        <w:lastRenderedPageBreak/>
        <w:t>b)</w:t>
      </w:r>
      <w:r w:rsidRPr="000631AE">
        <w:tab/>
        <w:t>that in times of armed conflict the distinctive Red Cross, Red Crescent and Red Crystal emblems have as a purpose to signal the specific protection of</w:t>
      </w:r>
      <w:r w:rsidRPr="000631AE">
        <w:rPr>
          <w:lang w:eastAsia="pt-BR"/>
        </w:rPr>
        <w:t xml:space="preserve"> </w:t>
      </w:r>
      <w:r w:rsidRPr="000631AE">
        <w:t>those who wear them as well as facilities, objects and transports marked with them;</w:t>
      </w:r>
    </w:p>
    <w:p w14:paraId="519AA255" w14:textId="77777777" w:rsidR="00782610" w:rsidRPr="000631AE" w:rsidRDefault="00782610" w:rsidP="00782610">
      <w:pPr>
        <w:jc w:val="both"/>
        <w:rPr>
          <w:lang w:eastAsia="pt-BR"/>
        </w:rPr>
      </w:pPr>
      <w:r w:rsidRPr="000631AE">
        <w:rPr>
          <w:i/>
          <w:iCs/>
          <w:lang w:eastAsia="pt-BR"/>
        </w:rPr>
        <w:t>c)</w:t>
      </w:r>
      <w:r w:rsidRPr="000631AE">
        <w:rPr>
          <w:lang w:eastAsia="pt-BR"/>
        </w:rPr>
        <w:tab/>
        <w:t xml:space="preserve">that the operationalization of the provisions on radio signals used by medical units or transports in Annex I to Protocol Additional I to the Geneva Conventions of 1949 </w:t>
      </w:r>
      <w:r>
        <w:rPr>
          <w:lang w:eastAsia="pt-BR"/>
        </w:rPr>
        <w:t>on r</w:t>
      </w:r>
      <w:r w:rsidRPr="000631AE">
        <w:rPr>
          <w:lang w:eastAsia="pt-BR"/>
        </w:rPr>
        <w:t>egulations concerning identification, as amended on 30 November 1993, draws on provisions of the Constitution, Convention and Radio Regulations of the ITU as well as on ITU-R Recommendations,</w:t>
      </w:r>
    </w:p>
    <w:p w14:paraId="3452810E" w14:textId="77777777" w:rsidR="00782610" w:rsidRPr="000631AE" w:rsidRDefault="00782610" w:rsidP="00782610">
      <w:pPr>
        <w:pStyle w:val="Call"/>
      </w:pPr>
      <w:r w:rsidRPr="000631AE">
        <w:t>noting with concern</w:t>
      </w:r>
    </w:p>
    <w:p w14:paraId="5C2DB852" w14:textId="77777777" w:rsidR="00782610" w:rsidRPr="00243808" w:rsidRDefault="00782610" w:rsidP="00782610">
      <w:pPr>
        <w:jc w:val="both"/>
      </w:pPr>
      <w:r w:rsidRPr="000631AE">
        <w:t xml:space="preserve">that malicious ICT activity targeting international organizations and humanitarian organizations, which may disrupt the ability of these organizations to fulfil their respective mandates in a safe, secure and independent manner and undermine trust in their </w:t>
      </w:r>
      <w:r w:rsidRPr="00243808">
        <w:t>work (United Nations Document</w:t>
      </w:r>
      <w:r>
        <w:t> </w:t>
      </w:r>
      <w:r w:rsidRPr="00243808">
        <w:t xml:space="preserve">A/79/214, </w:t>
      </w:r>
      <w:r>
        <w:rPr>
          <w:rFonts w:cs="Calibri"/>
        </w:rPr>
        <w:t>§</w:t>
      </w:r>
      <w:r>
        <w:t> </w:t>
      </w:r>
      <w:r w:rsidRPr="00243808">
        <w:t>17),</w:t>
      </w:r>
    </w:p>
    <w:p w14:paraId="61051181" w14:textId="77777777" w:rsidR="00782610" w:rsidRPr="000631AE" w:rsidRDefault="00782610" w:rsidP="00782610">
      <w:pPr>
        <w:pStyle w:val="Call"/>
      </w:pPr>
      <w:r w:rsidRPr="000631AE">
        <w:t>considering</w:t>
      </w:r>
    </w:p>
    <w:p w14:paraId="1A7D7B66" w14:textId="77777777" w:rsidR="00782610" w:rsidRPr="000631AE" w:rsidRDefault="00782610" w:rsidP="00782610">
      <w:pPr>
        <w:jc w:val="both"/>
      </w:pPr>
      <w:r w:rsidRPr="000631AE">
        <w:rPr>
          <w:i/>
          <w:iCs/>
        </w:rPr>
        <w:t>a)</w:t>
      </w:r>
      <w:r w:rsidRPr="000631AE">
        <w:tab/>
        <w:t>that the ICRC explores the idea of translating the functions of the internationally recognized distinctive Red Cross, Red Crescent and Red Crystal emblems to the digital environment, inter alia into a machine-readable, verifiable form;</w:t>
      </w:r>
    </w:p>
    <w:p w14:paraId="5AF3C35B" w14:textId="77777777" w:rsidR="00782610" w:rsidRPr="000631AE" w:rsidRDefault="00782610" w:rsidP="00782610">
      <w:pPr>
        <w:jc w:val="both"/>
        <w:rPr>
          <w:rFonts w:eastAsia="SimSun"/>
          <w:szCs w:val="24"/>
        </w:rPr>
      </w:pPr>
      <w:r w:rsidRPr="000631AE">
        <w:rPr>
          <w:i/>
          <w:iCs/>
        </w:rPr>
        <w:t>b)</w:t>
      </w:r>
      <w:r w:rsidRPr="000631AE">
        <w:tab/>
      </w:r>
      <w:r w:rsidRPr="000631AE">
        <w:rPr>
          <w:rFonts w:eastAsia="SimSun"/>
          <w:szCs w:val="24"/>
        </w:rPr>
        <w:t>that the 34</w:t>
      </w:r>
      <w:r w:rsidRPr="000631AE">
        <w:rPr>
          <w:rFonts w:eastAsia="SimSun"/>
          <w:szCs w:val="24"/>
          <w:vertAlign w:val="superscript"/>
        </w:rPr>
        <w:t>th</w:t>
      </w:r>
      <w:r w:rsidRPr="000631AE">
        <w:rPr>
          <w:rFonts w:eastAsia="SimSun"/>
          <w:szCs w:val="24"/>
        </w:rPr>
        <w:t xml:space="preserve"> International Conference of the Red Cross and the Red Crescent, that brought together all 196 States party to the Geneva Conventions, adopted Resolution </w:t>
      </w:r>
      <w:r>
        <w:rPr>
          <w:rFonts w:eastAsia="SimSun"/>
          <w:szCs w:val="24"/>
        </w:rPr>
        <w:t>2</w:t>
      </w:r>
      <w:r w:rsidRPr="000631AE">
        <w:rPr>
          <w:rFonts w:eastAsia="SimSun"/>
          <w:szCs w:val="24"/>
        </w:rPr>
        <w:t xml:space="preserve"> </w:t>
      </w:r>
      <w:r>
        <w:rPr>
          <w:rFonts w:eastAsia="SimSun"/>
          <w:szCs w:val="24"/>
        </w:rPr>
        <w:t>on p</w:t>
      </w:r>
      <w:r w:rsidRPr="000631AE">
        <w:t xml:space="preserve">rotecting civilians and other protected persons and objects against the potential human cost of ICT activities during armed conflict, </w:t>
      </w:r>
      <w:r w:rsidRPr="000631AE">
        <w:rPr>
          <w:rFonts w:eastAsia="SimSun"/>
          <w:szCs w:val="24"/>
        </w:rPr>
        <w:t xml:space="preserve">which, </w:t>
      </w:r>
      <w:r w:rsidRPr="000631AE">
        <w:rPr>
          <w:rFonts w:eastAsia="SimSun"/>
          <w:i/>
          <w:iCs/>
          <w:szCs w:val="24"/>
        </w:rPr>
        <w:t>inter alia</w:t>
      </w:r>
      <w:r w:rsidRPr="000631AE">
        <w:rPr>
          <w:rFonts w:eastAsia="SimSun"/>
          <w:szCs w:val="24"/>
        </w:rPr>
        <w:t>, encourages the ICRC to continue consulting and actively engaging with States and Movement components to clarify the specific purpose and technical feasibility of a digital emblem and study possible legal and diplomatic avenues for its use,</w:t>
      </w:r>
    </w:p>
    <w:p w14:paraId="549A68F4" w14:textId="77777777" w:rsidR="00782610" w:rsidRPr="000631AE" w:rsidRDefault="00782610" w:rsidP="00782610">
      <w:pPr>
        <w:pStyle w:val="Call"/>
        <w:rPr>
          <w:lang w:eastAsia="pt-BR"/>
        </w:rPr>
      </w:pPr>
      <w:r w:rsidRPr="000631AE">
        <w:rPr>
          <w:lang w:eastAsia="pt-BR"/>
        </w:rPr>
        <w:t>considering further</w:t>
      </w:r>
    </w:p>
    <w:p w14:paraId="42B92BE3" w14:textId="77777777" w:rsidR="00782610" w:rsidRPr="000631AE" w:rsidRDefault="00782610" w:rsidP="00782610">
      <w:pPr>
        <w:jc w:val="both"/>
        <w:rPr>
          <w:lang w:eastAsia="pt-BR"/>
        </w:rPr>
      </w:pPr>
      <w:r w:rsidRPr="000631AE">
        <w:rPr>
          <w:lang w:eastAsia="pt-BR"/>
        </w:rPr>
        <w:t xml:space="preserve">that Resolution 12 </w:t>
      </w:r>
      <w:r>
        <w:rPr>
          <w:lang w:eastAsia="pt-BR"/>
        </w:rPr>
        <w:t>on s</w:t>
      </w:r>
      <w:r w:rsidRPr="000631AE">
        <w:rPr>
          <w:lang w:eastAsia="pt-BR"/>
        </w:rPr>
        <w:t>afeguarding humanitarian data of the Council of Delegates of the International Red Cross and Red Crescent Movement emphasizes the importance of the confidentiality, integrity and availability of data for humanitarian operations,</w:t>
      </w:r>
    </w:p>
    <w:p w14:paraId="54D575BC" w14:textId="77777777" w:rsidR="00782610" w:rsidRPr="000631AE" w:rsidRDefault="00782610" w:rsidP="00782610">
      <w:pPr>
        <w:pStyle w:val="Call"/>
        <w:rPr>
          <w:lang w:eastAsia="pt-BR"/>
        </w:rPr>
      </w:pPr>
      <w:r w:rsidRPr="000631AE">
        <w:rPr>
          <w:lang w:eastAsia="pt-BR"/>
        </w:rPr>
        <w:t>noting</w:t>
      </w:r>
    </w:p>
    <w:p w14:paraId="1C129812" w14:textId="77777777" w:rsidR="00782610" w:rsidRPr="000631AE" w:rsidRDefault="00782610" w:rsidP="00782610">
      <w:pPr>
        <w:jc w:val="both"/>
      </w:pPr>
      <w:r w:rsidRPr="000631AE">
        <w:rPr>
          <w:lang w:eastAsia="pt-BR"/>
        </w:rPr>
        <w:t xml:space="preserve">that the ICRC has started </w:t>
      </w:r>
      <w:r w:rsidRPr="000631AE">
        <w:t>operational prototyping of digital Red Cross, Red Crescent and Red Crystal emblems, including technical testing and exploration of developing technical standards for the use of a digital version of these emblems,</w:t>
      </w:r>
    </w:p>
    <w:p w14:paraId="1060BE2A" w14:textId="77777777" w:rsidR="00782610" w:rsidRPr="000631AE" w:rsidRDefault="00782610" w:rsidP="00782610">
      <w:pPr>
        <w:pStyle w:val="Call"/>
        <w:rPr>
          <w:lang w:eastAsia="pt-BR"/>
        </w:rPr>
      </w:pPr>
      <w:r w:rsidRPr="000631AE">
        <w:rPr>
          <w:lang w:eastAsia="pt-BR"/>
        </w:rPr>
        <w:t xml:space="preserve">convinced </w:t>
      </w:r>
    </w:p>
    <w:p w14:paraId="6A6BF9A4" w14:textId="77777777" w:rsidR="00782610" w:rsidRPr="000631AE" w:rsidRDefault="00782610" w:rsidP="00782610">
      <w:pPr>
        <w:jc w:val="both"/>
      </w:pPr>
      <w:r w:rsidRPr="000631AE">
        <w:rPr>
          <w:i/>
          <w:iCs/>
        </w:rPr>
        <w:t>a)</w:t>
      </w:r>
      <w:r w:rsidRPr="000631AE">
        <w:tab/>
      </w:r>
      <w:r w:rsidRPr="000631AE">
        <w:rPr>
          <w:rFonts w:asciiTheme="minorHAnsi" w:hAnsiTheme="minorHAnsi"/>
        </w:rPr>
        <w:t>that</w:t>
      </w:r>
      <w:r w:rsidRPr="000631AE">
        <w:t xml:space="preserve"> the operationalization of </w:t>
      </w:r>
      <w:r w:rsidRPr="000631AE">
        <w:rPr>
          <w:rFonts w:eastAsia="SimSun"/>
          <w:szCs w:val="24"/>
        </w:rPr>
        <w:t xml:space="preserve">a framework for </w:t>
      </w:r>
      <w:r w:rsidRPr="000631AE">
        <w:rPr>
          <w:lang w:eastAsia="pt-BR"/>
        </w:rPr>
        <w:t xml:space="preserve">the use, issuance, discovery and </w:t>
      </w:r>
      <w:r w:rsidRPr="000631AE">
        <w:t>verification of technical solutions to identify digital infrastructures and systems that must be respected and protected, or benefit from other specific protections, under the Geneva Conventions and their Additional Protocols requires a wide adoption of these solutions and sustained cooperation between many actors;</w:t>
      </w:r>
    </w:p>
    <w:p w14:paraId="4B55051C" w14:textId="77777777" w:rsidR="00782610" w:rsidRPr="000631AE" w:rsidRDefault="00782610" w:rsidP="00782610">
      <w:pPr>
        <w:jc w:val="both"/>
      </w:pPr>
      <w:r w:rsidRPr="000631AE">
        <w:rPr>
          <w:i/>
          <w:iCs/>
        </w:rPr>
        <w:t>b</w:t>
      </w:r>
      <w:r w:rsidRPr="006C5B14">
        <w:rPr>
          <w:i/>
          <w:iCs/>
        </w:rPr>
        <w:t>)</w:t>
      </w:r>
      <w:r w:rsidRPr="000631AE">
        <w:tab/>
        <w:t xml:space="preserve">that ITU’s capabilities and convening power in the domains of, inter alia, technical standardization and knowledge sharing in relation with ICT policies and regulations could be of great value to the ICRC in its efforts to operationalize Resolution </w:t>
      </w:r>
      <w:r>
        <w:t>2</w:t>
      </w:r>
      <w:r w:rsidRPr="000631AE">
        <w:t xml:space="preserve"> of the 34</w:t>
      </w:r>
      <w:r w:rsidRPr="000631AE">
        <w:rPr>
          <w:vertAlign w:val="superscript"/>
        </w:rPr>
        <w:t>th</w:t>
      </w:r>
      <w:r w:rsidRPr="000631AE">
        <w:t xml:space="preserve"> International Conference of the Red Cross and the Red Crescent,</w:t>
      </w:r>
    </w:p>
    <w:p w14:paraId="17B1D8AB" w14:textId="77777777" w:rsidR="00782610" w:rsidRPr="000631AE" w:rsidRDefault="00782610" w:rsidP="00782610">
      <w:pPr>
        <w:pStyle w:val="Call"/>
        <w:rPr>
          <w:lang w:eastAsia="pt-BR"/>
        </w:rPr>
      </w:pPr>
      <w:r w:rsidRPr="000631AE">
        <w:lastRenderedPageBreak/>
        <w:t>resolves</w:t>
      </w:r>
    </w:p>
    <w:p w14:paraId="1CD1D544" w14:textId="77777777" w:rsidR="00782610" w:rsidRPr="000631AE" w:rsidRDefault="00782610" w:rsidP="00782610">
      <w:pPr>
        <w:jc w:val="both"/>
        <w:rPr>
          <w:lang w:eastAsia="pt-BR"/>
        </w:rPr>
      </w:pPr>
      <w:r w:rsidRPr="000631AE">
        <w:rPr>
          <w:lang w:eastAsia="pt-BR"/>
        </w:rPr>
        <w:t>that ITU should offer its assistance, within its mandate, to the ICRC in order to facilitate the development and diffusion of technical solutions elaborated under the aegis of the ICRC that contribute to the protection of ICT infrastructure and applications used by medical services and the Red Cross and Red Crescent Movement under the Geneva Conventions and their Additional Protocols,</w:t>
      </w:r>
    </w:p>
    <w:p w14:paraId="38EF4D92" w14:textId="77777777" w:rsidR="00782610" w:rsidRPr="000631AE" w:rsidRDefault="00782610" w:rsidP="00782610">
      <w:pPr>
        <w:pStyle w:val="Call"/>
        <w:rPr>
          <w:lang w:eastAsia="pt-BR"/>
        </w:rPr>
      </w:pPr>
      <w:r w:rsidRPr="000631AE">
        <w:rPr>
          <w:lang w:eastAsia="pt-BR"/>
        </w:rPr>
        <w:t>instructs the ITU Council</w:t>
      </w:r>
    </w:p>
    <w:p w14:paraId="4F7FB8E6" w14:textId="77777777" w:rsidR="00782610" w:rsidRPr="000631AE" w:rsidRDefault="00782610" w:rsidP="00782610">
      <w:pPr>
        <w:jc w:val="both"/>
        <w:rPr>
          <w:lang w:eastAsia="pt-BR"/>
        </w:rPr>
      </w:pPr>
      <w:r w:rsidRPr="000631AE">
        <w:rPr>
          <w:lang w:eastAsia="pt-BR"/>
        </w:rPr>
        <w:t>to review the report of the Secretary-General and to report to the Plenipotentiary Conference on the implementation of this resolution,</w:t>
      </w:r>
    </w:p>
    <w:p w14:paraId="71E527BE" w14:textId="77777777" w:rsidR="00782610" w:rsidRPr="000631AE" w:rsidRDefault="00782610" w:rsidP="00782610">
      <w:pPr>
        <w:pStyle w:val="Call"/>
        <w:rPr>
          <w:lang w:eastAsia="pt-BR"/>
        </w:rPr>
      </w:pPr>
      <w:r w:rsidRPr="000631AE">
        <w:rPr>
          <w:lang w:eastAsia="pt-BR"/>
        </w:rPr>
        <w:t>instructs the Secretary-General, in close consultation with the Directors of the three Bureaux</w:t>
      </w:r>
    </w:p>
    <w:p w14:paraId="7F329C34" w14:textId="77777777" w:rsidR="00782610" w:rsidRPr="000631AE" w:rsidRDefault="00782610" w:rsidP="00782610">
      <w:pPr>
        <w:jc w:val="both"/>
      </w:pPr>
      <w:r w:rsidRPr="000631AE">
        <w:t>1</w:t>
      </w:r>
      <w:r w:rsidRPr="000631AE">
        <w:tab/>
        <w:t>to bring this Resolution to the attention of the ICRC;</w:t>
      </w:r>
    </w:p>
    <w:p w14:paraId="539F8494" w14:textId="77777777" w:rsidR="00782610" w:rsidRPr="000631AE" w:rsidRDefault="00782610" w:rsidP="00782610">
      <w:pPr>
        <w:jc w:val="both"/>
        <w:rPr>
          <w:lang w:eastAsia="pt-BR"/>
        </w:rPr>
      </w:pPr>
      <w:r w:rsidRPr="000631AE">
        <w:t>2</w:t>
      </w:r>
      <w:r w:rsidRPr="000631AE">
        <w:tab/>
      </w:r>
      <w:r w:rsidRPr="000631AE">
        <w:rPr>
          <w:lang w:eastAsia="pt-BR"/>
        </w:rPr>
        <w:t xml:space="preserve">to foster continued collaboration between the ITU and the ICRC towards the development and diffusion of technical standards in accordance with the objectives </w:t>
      </w:r>
      <w:r w:rsidRPr="000631AE">
        <w:t xml:space="preserve">Resolution </w:t>
      </w:r>
      <w:r>
        <w:t>2</w:t>
      </w:r>
      <w:r w:rsidRPr="000631AE">
        <w:t xml:space="preserve"> of the 34</w:t>
      </w:r>
      <w:r w:rsidRPr="000631AE">
        <w:rPr>
          <w:vertAlign w:val="superscript"/>
        </w:rPr>
        <w:t>th</w:t>
      </w:r>
      <w:r>
        <w:t> </w:t>
      </w:r>
      <w:r w:rsidRPr="000631AE">
        <w:t>International Conference of the Red Cross and the Red Crescent</w:t>
      </w:r>
      <w:r w:rsidRPr="000631AE">
        <w:rPr>
          <w:lang w:eastAsia="pt-BR"/>
        </w:rPr>
        <w:t>;</w:t>
      </w:r>
    </w:p>
    <w:p w14:paraId="29AE0E30" w14:textId="77777777" w:rsidR="00782610" w:rsidRPr="000631AE" w:rsidRDefault="00782610" w:rsidP="00782610">
      <w:pPr>
        <w:jc w:val="both"/>
        <w:rPr>
          <w:lang w:eastAsia="pt-BR"/>
        </w:rPr>
      </w:pPr>
      <w:r w:rsidRPr="000631AE">
        <w:rPr>
          <w:lang w:eastAsia="pt-BR"/>
        </w:rPr>
        <w:t>3</w:t>
      </w:r>
      <w:r w:rsidRPr="000631AE">
        <w:rPr>
          <w:lang w:eastAsia="pt-BR"/>
        </w:rPr>
        <w:tab/>
        <w:t>to submit in a year where a plenipotentiary conference is held a report to the Council on the implementation of this resolution,</w:t>
      </w:r>
    </w:p>
    <w:p w14:paraId="15631AE9" w14:textId="77777777" w:rsidR="00782610" w:rsidRPr="000631AE" w:rsidRDefault="00782610" w:rsidP="00782610">
      <w:pPr>
        <w:pStyle w:val="Call"/>
        <w:rPr>
          <w:lang w:eastAsia="pt-BR"/>
        </w:rPr>
      </w:pPr>
      <w:r w:rsidRPr="000631AE">
        <w:rPr>
          <w:lang w:eastAsia="pt-BR"/>
        </w:rPr>
        <w:t>invites Member States, Sector Members, Associates and Academia, as well as stakeholders</w:t>
      </w:r>
    </w:p>
    <w:p w14:paraId="160C1D76" w14:textId="77777777" w:rsidR="00782610" w:rsidRPr="00427067" w:rsidRDefault="00782610" w:rsidP="00782610">
      <w:pPr>
        <w:jc w:val="both"/>
        <w:rPr>
          <w:rFonts w:eastAsia="Calibri" w:cs="Calibri"/>
          <w:color w:val="3E3E3F"/>
          <w:spacing w:val="-2"/>
          <w:szCs w:val="24"/>
        </w:rPr>
      </w:pPr>
      <w:r w:rsidRPr="00427067">
        <w:rPr>
          <w:rFonts w:eastAsia="Calibri" w:cs="Calibri"/>
          <w:color w:val="3E3E3F"/>
          <w:spacing w:val="-2"/>
          <w:szCs w:val="24"/>
        </w:rPr>
        <w:t xml:space="preserve">to contribute to and collaborate on the activities of ITU </w:t>
      </w:r>
      <w:r w:rsidRPr="00427067">
        <w:rPr>
          <w:spacing w:val="-2"/>
          <w:lang w:eastAsia="pt-BR"/>
        </w:rPr>
        <w:t xml:space="preserve">on technical standards in accordance with the objectives </w:t>
      </w:r>
      <w:r w:rsidRPr="00427067">
        <w:rPr>
          <w:spacing w:val="-2"/>
        </w:rPr>
        <w:t>Resolution 2 of the 34</w:t>
      </w:r>
      <w:r w:rsidRPr="00427067">
        <w:rPr>
          <w:spacing w:val="-2"/>
          <w:vertAlign w:val="superscript"/>
        </w:rPr>
        <w:t>th</w:t>
      </w:r>
      <w:r w:rsidRPr="00427067">
        <w:rPr>
          <w:spacing w:val="-2"/>
        </w:rPr>
        <w:t xml:space="preserve"> International Conference of the Red Cross and the Red Crescent</w:t>
      </w:r>
      <w:r w:rsidRPr="00427067">
        <w:rPr>
          <w:spacing w:val="-2"/>
          <w:lang w:eastAsia="pt-BR"/>
        </w:rPr>
        <w:t>,</w:t>
      </w:r>
    </w:p>
    <w:p w14:paraId="69D2EFE9" w14:textId="77777777" w:rsidR="00782610" w:rsidRPr="000631AE" w:rsidRDefault="00782610" w:rsidP="00782610">
      <w:pPr>
        <w:pStyle w:val="Call"/>
        <w:rPr>
          <w:lang w:eastAsia="pt-BR"/>
        </w:rPr>
      </w:pPr>
      <w:r w:rsidRPr="000631AE">
        <w:rPr>
          <w:lang w:eastAsia="pt-BR"/>
        </w:rPr>
        <w:t xml:space="preserve">invites the </w:t>
      </w:r>
      <w:r w:rsidRPr="00FD4F9B">
        <w:rPr>
          <w:lang w:eastAsia="pt-BR"/>
        </w:rPr>
        <w:t>International Committee of the Red Cross</w:t>
      </w:r>
    </w:p>
    <w:p w14:paraId="5C4AB8C0" w14:textId="77777777" w:rsidR="00782610" w:rsidRPr="000631AE" w:rsidRDefault="00782610" w:rsidP="00782610">
      <w:pPr>
        <w:jc w:val="both"/>
        <w:rPr>
          <w:lang w:eastAsia="pt-BR"/>
        </w:rPr>
      </w:pPr>
      <w:r w:rsidRPr="000631AE">
        <w:rPr>
          <w:rFonts w:eastAsia="SimSun"/>
          <w:szCs w:val="24"/>
        </w:rPr>
        <w:t xml:space="preserve">to inform ITU in a timely manner on its progress, as well as the progresses of States and Movement components, with respect to the </w:t>
      </w:r>
      <w:r w:rsidRPr="000631AE">
        <w:t>translation of the functions of the internationally recognized distinctive Red Cross, Red Crescent and Red Crystal emblems to the digital environment.</w:t>
      </w:r>
    </w:p>
    <w:p w14:paraId="399E884C" w14:textId="77777777" w:rsidR="00782610" w:rsidRPr="000631AE" w:rsidRDefault="00782610" w:rsidP="00782610">
      <w:pPr>
        <w:pStyle w:val="Reasons"/>
        <w:jc w:val="both"/>
      </w:pPr>
      <w:r w:rsidRPr="000631AE">
        <w:rPr>
          <w:b/>
        </w:rPr>
        <w:t>Reasons:</w:t>
      </w:r>
      <w:r w:rsidRPr="000631AE">
        <w:tab/>
        <w:t xml:space="preserve">The expertise of ITU can be valuable to the International Committee of the Red Cross (ICRC) in the latter’s efforts to translate the functions of the internationally recognized distinctive Red Cross, Red Crescent and Red Crystal emblems to the digital realm, </w:t>
      </w:r>
      <w:r w:rsidRPr="00206CAD">
        <w:rPr>
          <w:i/>
          <w:iCs/>
        </w:rPr>
        <w:t>inter alia</w:t>
      </w:r>
      <w:r w:rsidRPr="000631AE">
        <w:t xml:space="preserve"> into a machine-readable, verifiable form. This resolution would make the Union’s expertise available to the ICRC. It</w:t>
      </w:r>
      <w:r>
        <w:t> </w:t>
      </w:r>
      <w:r w:rsidRPr="000631AE">
        <w:t>will fall to the ICRC to make use of this offer and to determine the features of this collaboration.</w:t>
      </w:r>
    </w:p>
    <w:p w14:paraId="11DFB0B1" w14:textId="77777777" w:rsidR="00782610" w:rsidRDefault="00782610" w:rsidP="00782610"/>
    <w:p w14:paraId="6E9F97A0" w14:textId="3648EE7A" w:rsidR="007F10D2" w:rsidRDefault="00782610" w:rsidP="00782610">
      <w:pPr>
        <w:jc w:val="center"/>
      </w:pPr>
      <w:r w:rsidRPr="000631AE">
        <w:t>______________</w:t>
      </w:r>
    </w:p>
    <w:sectPr w:rsidR="007F10D2">
      <w:headerReference w:type="even" r:id="rId10"/>
      <w:headerReference w:type="default" r:id="rId11"/>
      <w:footerReference w:type="even" r:id="rId12"/>
      <w:footerReference w:type="default" r:id="rId13"/>
      <w:headerReference w:type="first" r:id="rId14"/>
      <w:footerReference w:type="first" r:id="rId15"/>
      <w:type w:val="continuous"/>
      <w:pgSz w:w="11913" w:h="16834" w:code="9"/>
      <w:pgMar w:top="1418" w:right="1134" w:bottom="1418" w:left="1134"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10CA" w14:textId="77777777" w:rsidR="00272560" w:rsidRDefault="00272560">
      <w:r>
        <w:separator/>
      </w:r>
    </w:p>
  </w:endnote>
  <w:endnote w:type="continuationSeparator" w:id="0">
    <w:p w14:paraId="0E1AADC6" w14:textId="77777777" w:rsidR="00272560" w:rsidRDefault="0027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32B0" w14:textId="77777777" w:rsidR="00516DBC" w:rsidRDefault="00516D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61F2" w14:textId="77777777" w:rsidR="00516DBC" w:rsidRDefault="00516D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34EA" w14:textId="0EBD2E0B"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1A7A" w14:textId="77777777" w:rsidR="00272560" w:rsidRDefault="00272560">
      <w:r>
        <w:t>____________________</w:t>
      </w:r>
    </w:p>
  </w:footnote>
  <w:footnote w:type="continuationSeparator" w:id="0">
    <w:p w14:paraId="4EDCDCA7" w14:textId="77777777" w:rsidR="00272560" w:rsidRDefault="00272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6180" w14:textId="77777777" w:rsidR="00516DBC" w:rsidRDefault="00516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C2E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974000A" w14:textId="77777777" w:rsidR="00CE1B90" w:rsidRDefault="00CE1B90" w:rsidP="004F7925">
    <w:pPr>
      <w:pStyle w:val="Header"/>
    </w:pPr>
    <w:r>
      <w:t>PP</w:t>
    </w:r>
    <w:r w:rsidR="000235EC">
      <w:t>2</w:t>
    </w:r>
    <w:r w:rsidR="00EF3B7A">
      <w:t>6</w:t>
    </w:r>
    <w:r>
      <w:t>/45-E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C727" w14:textId="77777777" w:rsidR="00516DBC" w:rsidRDefault="00516D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2560"/>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DBC"/>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B44A0"/>
    <w:rsid w:val="006C1D9C"/>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2610"/>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0D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23825"/>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50E0"/>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B324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3d09bd-1bed-4ca6-b962-37519c182b45" targetNamespace="http://schemas.microsoft.com/office/2006/metadata/properties" ma:root="true" ma:fieldsID="d41af5c836d734370eb92e7ee5f83852" ns2:_="" ns3:_="">
    <xsd:import namespace="996b2e75-67fd-4955-a3b0-5ab9934cb50b"/>
    <xsd:import namespace="123d09bd-1bed-4ca6-b962-37519c182b4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3d09bd-1bed-4ca6-b962-37519c182b4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23d09bd-1bed-4ca6-b962-37519c182b45">DPM</DPM_x0020_Author>
    <DPM_x0020_File_x0020_name xmlns="123d09bd-1bed-4ca6-b962-37519c182b45">S26-PP-C-0045!!MSW-E</DPM_x0020_File_x0020_name>
    <DPM_x0020_Version xmlns="123d09bd-1bed-4ca6-b962-37519c182b45">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3d09bd-1bed-4ca6-b962-37519c182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3d09bd-1bed-4ca6-b962-37519c182b4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1236</Words>
  <Characters>7013</Characters>
  <Application>Microsoft Office Word</Application>
  <DocSecurity>0</DocSecurity>
  <Lines>125</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S26-PP-C-0045!!MSW-E</dc:title>
  <dc:subject>ITU Plenipotentiary Conference (PP-26)</dc:subject>
  <dc:creator>Documents Proposals Manager (DPM)</dc:creator>
  <cp:keywords>DPM_v2026.8.25.1_prod</cp:keywords>
  <cp:lastModifiedBy>GBS-2</cp:lastModifiedBy>
  <cp:revision>4</cp:revision>
  <dcterms:created xsi:type="dcterms:W3CDTF">2026-09-14T15:33:00Z</dcterms:created>
  <dcterms:modified xsi:type="dcterms:W3CDTF">2026-09-25T11:26:00Z</dcterms:modified>
  <cp:category>Conference document</cp:category>
</cp:coreProperties>
</file>