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40C71484" w14:textId="77777777" w:rsidTr="00C70164">
        <w:trPr>
          <w:cantSplit/>
          <w:jc w:val="center"/>
        </w:trPr>
        <w:tc>
          <w:tcPr>
            <w:tcW w:w="10031" w:type="dxa"/>
            <w:gridSpan w:val="2"/>
            <w:tcMar>
              <w:left w:w="0" w:type="dxa"/>
              <w:right w:w="0" w:type="dxa"/>
            </w:tcMar>
            <w:vAlign w:val="center"/>
          </w:tcPr>
          <w:p w14:paraId="619C35C1"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7F8E84C2" wp14:editId="1987F7EC">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0E1004AA" w14:textId="77777777" w:rsidTr="00C70164">
        <w:trPr>
          <w:cantSplit/>
          <w:trHeight w:val="283"/>
          <w:jc w:val="center"/>
        </w:trPr>
        <w:tc>
          <w:tcPr>
            <w:tcW w:w="10031" w:type="dxa"/>
            <w:gridSpan w:val="2"/>
            <w:tcBorders>
              <w:bottom w:val="single" w:sz="12" w:space="0" w:color="71716F"/>
            </w:tcBorders>
          </w:tcPr>
          <w:p w14:paraId="306AD8E8"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5CDDE2F6" w14:textId="77777777" w:rsidTr="00C70164">
        <w:trPr>
          <w:cantSplit/>
          <w:trHeight w:val="255"/>
          <w:jc w:val="center"/>
        </w:trPr>
        <w:tc>
          <w:tcPr>
            <w:tcW w:w="7230" w:type="dxa"/>
            <w:tcBorders>
              <w:top w:val="single" w:sz="12" w:space="0" w:color="71716F"/>
            </w:tcBorders>
          </w:tcPr>
          <w:p w14:paraId="178FB312"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7ED56DB0" w14:textId="77777777" w:rsidR="001A16ED" w:rsidRPr="00D96B4B" w:rsidRDefault="001A16ED" w:rsidP="000B596F">
            <w:pPr>
              <w:spacing w:before="0"/>
              <w:rPr>
                <w:rFonts w:cstheme="minorHAnsi"/>
                <w:sz w:val="20"/>
              </w:rPr>
            </w:pPr>
          </w:p>
        </w:tc>
      </w:tr>
      <w:tr w:rsidR="001A16ED" w:rsidRPr="00C324A8" w14:paraId="37DCE72D" w14:textId="77777777" w:rsidTr="00C70164">
        <w:trPr>
          <w:cantSplit/>
          <w:trHeight w:val="23"/>
          <w:jc w:val="center"/>
        </w:trPr>
        <w:tc>
          <w:tcPr>
            <w:tcW w:w="7230" w:type="dxa"/>
          </w:tcPr>
          <w:p w14:paraId="4758D21B"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35812E60" w14:textId="77777777" w:rsidR="001A16ED" w:rsidRPr="00F44B1A" w:rsidRDefault="001A16ED" w:rsidP="000B596F">
            <w:pPr>
              <w:tabs>
                <w:tab w:val="left" w:pos="851"/>
              </w:tabs>
              <w:spacing w:before="0"/>
              <w:rPr>
                <w:rFonts w:cstheme="minorHAnsi"/>
                <w:b/>
                <w:szCs w:val="24"/>
              </w:rPr>
            </w:pPr>
            <w:r>
              <w:rPr>
                <w:rFonts w:cstheme="minorHAnsi"/>
                <w:b/>
                <w:szCs w:val="24"/>
              </w:rPr>
              <w:t>Document 90</w:t>
            </w:r>
            <w:r w:rsidR="00F44B1A" w:rsidRPr="00F44B1A">
              <w:rPr>
                <w:rFonts w:cstheme="minorHAnsi"/>
                <w:b/>
                <w:szCs w:val="24"/>
              </w:rPr>
              <w:t>-E</w:t>
            </w:r>
          </w:p>
        </w:tc>
      </w:tr>
      <w:tr w:rsidR="001A16ED" w:rsidRPr="00C324A8" w14:paraId="3009B1F3" w14:textId="77777777" w:rsidTr="00C70164">
        <w:trPr>
          <w:cantSplit/>
          <w:trHeight w:val="23"/>
          <w:jc w:val="center"/>
        </w:trPr>
        <w:tc>
          <w:tcPr>
            <w:tcW w:w="7230" w:type="dxa"/>
          </w:tcPr>
          <w:p w14:paraId="309D7C12"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24AD8666"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0832D456" w14:textId="77777777" w:rsidTr="00C70164">
        <w:trPr>
          <w:cantSplit/>
          <w:trHeight w:val="23"/>
          <w:jc w:val="center"/>
        </w:trPr>
        <w:tc>
          <w:tcPr>
            <w:tcW w:w="7230" w:type="dxa"/>
          </w:tcPr>
          <w:p w14:paraId="7EFC8845"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3904CCD5"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5F8694A6" w14:textId="77777777" w:rsidTr="00C70164">
        <w:trPr>
          <w:cantSplit/>
          <w:trHeight w:val="23"/>
          <w:jc w:val="center"/>
        </w:trPr>
        <w:tc>
          <w:tcPr>
            <w:tcW w:w="10031" w:type="dxa"/>
            <w:gridSpan w:val="2"/>
          </w:tcPr>
          <w:p w14:paraId="21088943" w14:textId="77777777" w:rsidR="001A16ED" w:rsidRPr="00D96B4B" w:rsidRDefault="001A16ED" w:rsidP="000B596F">
            <w:pPr>
              <w:tabs>
                <w:tab w:val="left" w:pos="993"/>
              </w:tabs>
              <w:rPr>
                <w:rFonts w:ascii="Verdana" w:hAnsi="Verdana"/>
                <w:b/>
                <w:szCs w:val="24"/>
              </w:rPr>
            </w:pPr>
          </w:p>
        </w:tc>
      </w:tr>
      <w:tr w:rsidR="001A16ED" w:rsidRPr="00C324A8" w14:paraId="596B01F3" w14:textId="77777777" w:rsidTr="00C70164">
        <w:trPr>
          <w:cantSplit/>
          <w:trHeight w:val="23"/>
          <w:jc w:val="center"/>
        </w:trPr>
        <w:tc>
          <w:tcPr>
            <w:tcW w:w="10031" w:type="dxa"/>
            <w:gridSpan w:val="2"/>
          </w:tcPr>
          <w:p w14:paraId="49017ED1" w14:textId="77777777" w:rsidR="001A16ED" w:rsidRDefault="001A16ED" w:rsidP="000B596F">
            <w:pPr>
              <w:pStyle w:val="Source"/>
            </w:pPr>
            <w:r>
              <w:t>Germany (Federal Republic of)/Austria/Azerbaijan (Republic of)/Belgium/Bulgaria (Republic of)/Canada/Cyprus (Republic of)/Korea (Republic of)/Croatia (Republic of)/Denmark/Spain/Estonia (Republic of)/Finland/France/Greece/Hungary/Ireland/Iceland/Italy/Latvia (Republic of)/Liechtenstein (Principality of)/Lithuania (Republic of)/Luxembourg/Malta/Moldova (Republic of)/Montenegro/Norway/Netherlands (Kingdom of the)/Philippines (Republic of the)/Poland (Republic of)/Portugal/Slovak Republic/Czech Republic/Romania/United Kingdom of Great Britain and Northern Ireland/Slovenia (Republic of)/Sweden/Switzerland (Confederation of)/Ukraine</w:t>
            </w:r>
          </w:p>
        </w:tc>
      </w:tr>
      <w:tr w:rsidR="001A16ED" w:rsidRPr="00C324A8" w14:paraId="3FEF6C26" w14:textId="77777777" w:rsidTr="00C70164">
        <w:trPr>
          <w:cantSplit/>
          <w:trHeight w:val="23"/>
          <w:jc w:val="center"/>
        </w:trPr>
        <w:tc>
          <w:tcPr>
            <w:tcW w:w="10031" w:type="dxa"/>
            <w:gridSpan w:val="2"/>
          </w:tcPr>
          <w:p w14:paraId="7936A1F0" w14:textId="77777777" w:rsidR="001A16ED" w:rsidRDefault="001A16ED" w:rsidP="000B596F">
            <w:pPr>
              <w:pStyle w:val="Title1"/>
            </w:pPr>
            <w:r>
              <w:t>Proposals for the work of the Conference</w:t>
            </w:r>
          </w:p>
        </w:tc>
      </w:tr>
      <w:tr w:rsidR="001A16ED" w:rsidRPr="00C324A8" w14:paraId="3A22234A" w14:textId="77777777" w:rsidTr="00C70164">
        <w:trPr>
          <w:cantSplit/>
          <w:trHeight w:val="23"/>
          <w:jc w:val="center"/>
        </w:trPr>
        <w:tc>
          <w:tcPr>
            <w:tcW w:w="10031" w:type="dxa"/>
            <w:gridSpan w:val="2"/>
          </w:tcPr>
          <w:p w14:paraId="5F14C04D" w14:textId="77777777" w:rsidR="001A16ED" w:rsidRDefault="001A16ED" w:rsidP="000B596F">
            <w:pPr>
              <w:pStyle w:val="Title2"/>
            </w:pPr>
            <w:r>
              <w:t>Draft new Resolution - Strengthening the ITU framework for the resolution of harmful interference</w:t>
            </w:r>
          </w:p>
        </w:tc>
      </w:tr>
      <w:tr w:rsidR="001A16ED" w:rsidRPr="00C324A8" w14:paraId="735655F3" w14:textId="77777777" w:rsidTr="00C70164">
        <w:trPr>
          <w:cantSplit/>
          <w:trHeight w:val="23"/>
          <w:jc w:val="center"/>
        </w:trPr>
        <w:tc>
          <w:tcPr>
            <w:tcW w:w="10031" w:type="dxa"/>
            <w:gridSpan w:val="2"/>
          </w:tcPr>
          <w:p w14:paraId="4AB09524" w14:textId="77777777" w:rsidR="001A16ED" w:rsidRPr="009145B8" w:rsidRDefault="001A16ED" w:rsidP="000B596F">
            <w:pPr>
              <w:pStyle w:val="Agendaitem"/>
              <w:rPr>
                <w:lang w:val="en-GB"/>
              </w:rPr>
            </w:pPr>
          </w:p>
        </w:tc>
      </w:tr>
      <w:bookmarkEnd w:id="6"/>
      <w:bookmarkEnd w:id="7"/>
    </w:tbl>
    <w:p w14:paraId="522C3D3E" w14:textId="77777777" w:rsidR="001A16ED" w:rsidRDefault="001A16ED" w:rsidP="00AB2D04"/>
    <w:p w14:paraId="06365802" w14:textId="77777777" w:rsidR="0008540E" w:rsidRPr="0008540E" w:rsidRDefault="001A16ED" w:rsidP="00004F8B">
      <w:r>
        <w:br w:type="page"/>
      </w:r>
    </w:p>
    <w:p w14:paraId="6DDAE817" w14:textId="77777777" w:rsidR="00972B88" w:rsidRDefault="007F1303">
      <w:pPr>
        <w:pStyle w:val="Proposal"/>
      </w:pPr>
      <w:r>
        <w:lastRenderedPageBreak/>
        <w:t>ADD</w:t>
      </w:r>
      <w:r>
        <w:tab/>
        <w:t>D/AUT/AZE/BEL/BUL/CAN/CYP/KOR/HRV/DNK/E/EST/FIN/F/GRC/HNG/IRL/ISL/I/LVA/LIE/LTU/LUX/MLT/MDA/MNE/NOR/HOL/PHL/POL/POR/SVK/CZE/ROU/G/SVN/S/SUI/UKR/90/1</w:t>
      </w:r>
    </w:p>
    <w:p w14:paraId="0206B05F" w14:textId="77777777" w:rsidR="00972B88" w:rsidRDefault="007F1303">
      <w:pPr>
        <w:pStyle w:val="ResNo"/>
      </w:pPr>
      <w:r>
        <w:t>Draft New Resolution [D/AUT/AZE/BEL/BUL/CAN/CYP/KOR/HRV/DNK/E/EST/FIN/F/GRC/HNG/IRL/ISL/I/LVA/LIE/LTU/LUX/MLT/MDA/MNE/NOR/HOL/PHL/POL/POR/SVK/CZE/ROU/G/SVN/S/SUI/UKR-1]</w:t>
      </w:r>
    </w:p>
    <w:p w14:paraId="55A8E349" w14:textId="50E68680" w:rsidR="00972B88" w:rsidRDefault="009145B8">
      <w:pPr>
        <w:pStyle w:val="Restitle"/>
      </w:pPr>
      <w:r w:rsidRPr="009145B8">
        <w:t>Strengthening the ITU framework for the resolution of harmful interference</w:t>
      </w:r>
    </w:p>
    <w:p w14:paraId="2B6E47ED" w14:textId="77777777" w:rsidR="009145B8" w:rsidRPr="009145B8" w:rsidRDefault="009145B8" w:rsidP="009145B8">
      <w:pPr>
        <w:pStyle w:val="Normalaftertitle"/>
      </w:pPr>
      <w:r w:rsidRPr="009145B8">
        <w:t>The Plenipotentiary Conference of the International Telecommunication Union (Doha, 2026),</w:t>
      </w:r>
    </w:p>
    <w:p w14:paraId="40CA0B7D" w14:textId="77777777" w:rsidR="009145B8" w:rsidRPr="009145B8" w:rsidRDefault="009145B8" w:rsidP="009145B8">
      <w:pPr>
        <w:pStyle w:val="Call"/>
      </w:pPr>
      <w:r w:rsidRPr="009145B8">
        <w:t>recalling</w:t>
      </w:r>
    </w:p>
    <w:p w14:paraId="2227A3B0" w14:textId="446AB99B" w:rsidR="009145B8" w:rsidRPr="009145B8" w:rsidRDefault="009145B8" w:rsidP="009145B8">
      <w:r w:rsidRPr="009145B8">
        <w:rPr>
          <w:i/>
          <w:iCs/>
        </w:rPr>
        <w:t>a)</w:t>
      </w:r>
      <w:r>
        <w:tab/>
      </w:r>
      <w:r w:rsidRPr="009145B8">
        <w:t>Articles 1, 6 and 45 of the Constitution of the International Telecommunication Union, including the Union's role in avoiding and eliminating harmful interference between radio stations of different countries and promoting measures for ensuring the safety of life through the cooperation of telecommunication services;</w:t>
      </w:r>
    </w:p>
    <w:p w14:paraId="65BF5247" w14:textId="48850DE3" w:rsidR="009145B8" w:rsidRPr="009145B8" w:rsidRDefault="009145B8" w:rsidP="009145B8">
      <w:r>
        <w:rPr>
          <w:i/>
          <w:iCs/>
        </w:rPr>
        <w:t>b</w:t>
      </w:r>
      <w:r w:rsidRPr="009145B8">
        <w:rPr>
          <w:i/>
          <w:iCs/>
        </w:rPr>
        <w:t>)</w:t>
      </w:r>
      <w:r>
        <w:tab/>
      </w:r>
      <w:r w:rsidRPr="009145B8">
        <w:t>No. 15.1 of the Radio Regulations, which provides that all stations are forbidden to carry out unnecessary transmissions, to transmit superfluous signals, false or misleading signals, or signals without identification (except as provided for in Article 19);</w:t>
      </w:r>
    </w:p>
    <w:p w14:paraId="77C46899" w14:textId="4DA6BE9F" w:rsidR="009145B8" w:rsidRPr="009145B8" w:rsidRDefault="009145B8" w:rsidP="009145B8">
      <w:r>
        <w:rPr>
          <w:i/>
          <w:iCs/>
        </w:rPr>
        <w:t>c</w:t>
      </w:r>
      <w:r w:rsidRPr="009145B8">
        <w:rPr>
          <w:i/>
          <w:iCs/>
        </w:rPr>
        <w:t>)</w:t>
      </w:r>
      <w:r>
        <w:tab/>
      </w:r>
      <w:r w:rsidRPr="009145B8">
        <w:t xml:space="preserve">Resolution 676 (World Radiocommunication Conference </w:t>
      </w:r>
      <w:r w:rsidR="00F927A6">
        <w:t>20</w:t>
      </w:r>
      <w:r w:rsidRPr="009145B8">
        <w:t>23) on Prevention and mitigation of harmful interference to the radionavigation-satellite service in the frequency bands 1 164-1 215 MHz and 1 559-1 610 MHz;</w:t>
      </w:r>
    </w:p>
    <w:p w14:paraId="44EDAA9F" w14:textId="3952AA24" w:rsidR="009145B8" w:rsidRPr="009145B8" w:rsidRDefault="009145B8" w:rsidP="009145B8">
      <w:r>
        <w:rPr>
          <w:i/>
          <w:iCs/>
        </w:rPr>
        <w:t>d</w:t>
      </w:r>
      <w:r w:rsidRPr="009145B8">
        <w:rPr>
          <w:i/>
          <w:iCs/>
        </w:rPr>
        <w:t>)</w:t>
      </w:r>
      <w:r>
        <w:tab/>
      </w:r>
      <w:r w:rsidRPr="009145B8">
        <w:t>the Joint Statement by the Secretary-General of the International Telecommunication Union, the Secretary-General of the International Civil Aviation Organization and the Secretary-General of the International Maritime Organization regarding Protection of the Radio Navigation Satellite Service from Harmful Interference,</w:t>
      </w:r>
    </w:p>
    <w:p w14:paraId="6CB7651C" w14:textId="77777777" w:rsidR="009145B8" w:rsidRPr="009145B8" w:rsidRDefault="009145B8" w:rsidP="009145B8">
      <w:pPr>
        <w:pStyle w:val="Call"/>
      </w:pPr>
      <w:r w:rsidRPr="009145B8">
        <w:t>recognizing</w:t>
      </w:r>
    </w:p>
    <w:p w14:paraId="52AECAB9" w14:textId="3131A3E7" w:rsidR="009145B8" w:rsidRPr="009145B8" w:rsidRDefault="009145B8" w:rsidP="009145B8">
      <w:r w:rsidRPr="009145B8">
        <w:rPr>
          <w:i/>
          <w:iCs/>
        </w:rPr>
        <w:t>a)</w:t>
      </w:r>
      <w:r>
        <w:tab/>
      </w:r>
      <w:r w:rsidRPr="009145B8">
        <w:t>that harmful interference affecting radionavigation and other safety-related radiocommunication services may have implications for services to which the Constitution accords special priority in matters concerning safety of life;</w:t>
      </w:r>
    </w:p>
    <w:p w14:paraId="16A3F63F" w14:textId="5A9A2E26" w:rsidR="009145B8" w:rsidRPr="009145B8" w:rsidRDefault="009145B8" w:rsidP="009145B8">
      <w:r>
        <w:rPr>
          <w:i/>
          <w:iCs/>
        </w:rPr>
        <w:t>b</w:t>
      </w:r>
      <w:r w:rsidRPr="009145B8">
        <w:rPr>
          <w:i/>
          <w:iCs/>
        </w:rPr>
        <w:t>)</w:t>
      </w:r>
      <w:r>
        <w:tab/>
      </w:r>
      <w:r w:rsidRPr="009145B8">
        <w:t xml:space="preserve">that persistent cases of harmful interference affecting radiocommunication systems, including radionavigation and safety-of-life services, in </w:t>
      </w:r>
      <w:r w:rsidRPr="009145B8">
        <w:rPr>
          <w:lang w:val="lv-LV"/>
        </w:rPr>
        <w:t>certain instances</w:t>
      </w:r>
      <w:r w:rsidRPr="009145B8">
        <w:t xml:space="preserve"> remain </w:t>
      </w:r>
      <w:r w:rsidRPr="009145B8">
        <w:rPr>
          <w:lang w:val="lv-LV"/>
        </w:rPr>
        <w:t xml:space="preserve">unresolved </w:t>
      </w:r>
      <w:r w:rsidRPr="009145B8">
        <w:t xml:space="preserve">despite the existing procedures and repeated actions of the Radiocommunication Bureau and the Radio Regulations Board; </w:t>
      </w:r>
    </w:p>
    <w:p w14:paraId="2B2A9CF7" w14:textId="4660E03B" w:rsidR="009145B8" w:rsidRPr="009145B8" w:rsidRDefault="009145B8" w:rsidP="009145B8">
      <w:r>
        <w:rPr>
          <w:i/>
          <w:iCs/>
        </w:rPr>
        <w:t>c</w:t>
      </w:r>
      <w:r w:rsidRPr="009145B8">
        <w:rPr>
          <w:i/>
          <w:iCs/>
        </w:rPr>
        <w:t>)</w:t>
      </w:r>
      <w:r>
        <w:tab/>
      </w:r>
      <w:r w:rsidRPr="009145B8">
        <w:t>that the ITU Council, as the governing body of the Union between Plenipotentiary Conferences, may consider policy and coordination measures necessary to advance the purposes of the Union, including the coordination of international efforts to eliminate harmful interference between radio stations of different countries;</w:t>
      </w:r>
    </w:p>
    <w:p w14:paraId="1CD46D8C" w14:textId="77777777" w:rsidR="009145B8" w:rsidRPr="009145B8" w:rsidRDefault="009145B8" w:rsidP="009145B8">
      <w:pPr>
        <w:pStyle w:val="Call"/>
      </w:pPr>
      <w:r w:rsidRPr="009145B8">
        <w:lastRenderedPageBreak/>
        <w:t xml:space="preserve">resolves </w:t>
      </w:r>
    </w:p>
    <w:p w14:paraId="1C7B6815" w14:textId="77777777" w:rsidR="009145B8" w:rsidRPr="009145B8" w:rsidRDefault="009145B8" w:rsidP="009145B8">
      <w:r w:rsidRPr="009145B8">
        <w:t xml:space="preserve">that the Union should strengthen, within the existing competences under the Constitution, Convention and the Radio Regulations, the effectiveness, transparency and timely application of international procedures for preventing, mitigating and resolving persistent harmful interference, </w:t>
      </w:r>
    </w:p>
    <w:p w14:paraId="4554A766" w14:textId="77777777" w:rsidR="009145B8" w:rsidRPr="009145B8" w:rsidRDefault="009145B8" w:rsidP="009145B8">
      <w:pPr>
        <w:pStyle w:val="Call"/>
      </w:pPr>
      <w:r w:rsidRPr="009145B8">
        <w:t>instructs the Director of the Radiocommunication Bureau</w:t>
      </w:r>
    </w:p>
    <w:p w14:paraId="5BA6CF9E" w14:textId="77777777" w:rsidR="009145B8" w:rsidRPr="009145B8" w:rsidRDefault="009145B8" w:rsidP="009145B8">
      <w:r w:rsidRPr="009145B8">
        <w:t>to prepare, following liaison with the Radio Regulations Board, a comprehensive report on the issue of persistent harmful interference and bring it to the attention of Council for its consideration, including:</w:t>
      </w:r>
    </w:p>
    <w:p w14:paraId="2977B8E4" w14:textId="7BC3DB80" w:rsidR="009145B8" w:rsidRPr="009145B8" w:rsidRDefault="009145B8" w:rsidP="009145B8">
      <w:pPr>
        <w:pStyle w:val="enumlev1"/>
      </w:pPr>
      <w:r>
        <w:t>i</w:t>
      </w:r>
      <w:r>
        <w:tab/>
      </w:r>
      <w:r w:rsidRPr="009145B8">
        <w:t>a summary of current measures available to the ITU to resolve this issue;</w:t>
      </w:r>
    </w:p>
    <w:p w14:paraId="70FCCA28" w14:textId="3756407C" w:rsidR="009145B8" w:rsidRPr="009145B8" w:rsidRDefault="009145B8" w:rsidP="009145B8">
      <w:pPr>
        <w:pStyle w:val="enumlev1"/>
      </w:pPr>
      <w:r>
        <w:t>ii</w:t>
      </w:r>
      <w:r>
        <w:tab/>
      </w:r>
      <w:r w:rsidRPr="009145B8">
        <w:t>information on persistent cases of unresolved harmful interference and procedural limitations encountered;</w:t>
      </w:r>
    </w:p>
    <w:p w14:paraId="2CE45DBD" w14:textId="1764E947" w:rsidR="009145B8" w:rsidRPr="009145B8" w:rsidRDefault="009145B8" w:rsidP="009145B8">
      <w:pPr>
        <w:pStyle w:val="enumlev1"/>
      </w:pPr>
      <w:r>
        <w:t>iii</w:t>
      </w:r>
      <w:r>
        <w:tab/>
      </w:r>
      <w:r w:rsidRPr="009145B8">
        <w:t xml:space="preserve">potential options for amendments to current procedures, the Radio Regulations and possible additional measures or remedies to resolve persistent cases of harmful interference, </w:t>
      </w:r>
    </w:p>
    <w:p w14:paraId="4FECE337" w14:textId="77777777" w:rsidR="009145B8" w:rsidRPr="009145B8" w:rsidRDefault="009145B8" w:rsidP="009145B8">
      <w:pPr>
        <w:pStyle w:val="Call"/>
      </w:pPr>
      <w:r w:rsidRPr="009145B8">
        <w:t>instructs the ITU Council</w:t>
      </w:r>
    </w:p>
    <w:p w14:paraId="4DD5A0BA" w14:textId="4777BD24" w:rsidR="009145B8" w:rsidRPr="009145B8" w:rsidRDefault="009145B8" w:rsidP="00EF74F7">
      <w:r w:rsidRPr="009145B8">
        <w:t>to examine, based on the report from the Director of</w:t>
      </w:r>
      <w:r w:rsidR="0037562F">
        <w:t xml:space="preserve"> the</w:t>
      </w:r>
      <w:r w:rsidRPr="009145B8">
        <w:t xml:space="preserve"> Radiocommunication Bureau, the issue of persistent cases of harmful interference that remain unresolved following consideration by the Radio Regulations Board, and to identify, evaluate and enact possible additional measures or remedies available to the Union to facilitate their timely resolution and eliminate infringement of the Constitution and Radio Regulations,</w:t>
      </w:r>
    </w:p>
    <w:p w14:paraId="1783E10E" w14:textId="77777777" w:rsidR="009145B8" w:rsidRPr="009145B8" w:rsidRDefault="009145B8" w:rsidP="00EF74F7">
      <w:pPr>
        <w:pStyle w:val="Call"/>
      </w:pPr>
      <w:r w:rsidRPr="009145B8">
        <w:t>instructs the Director of the Telecommunication Development Bureau, in coordination with the Director of the Radiocommunication Bureau</w:t>
      </w:r>
    </w:p>
    <w:p w14:paraId="395D95A0" w14:textId="77777777" w:rsidR="009145B8" w:rsidRPr="009145B8" w:rsidRDefault="009145B8" w:rsidP="00BE5B7D">
      <w:pPr>
        <w:rPr>
          <w:i/>
        </w:rPr>
      </w:pPr>
      <w:r w:rsidRPr="009145B8">
        <w:t>to support Member States in strengthening their capacity to prevent, detect and resolve interference by providing technical expertise and assistance and facilitating access to knowledge, information and experience-sharing,</w:t>
      </w:r>
    </w:p>
    <w:p w14:paraId="5641F629" w14:textId="77777777" w:rsidR="009145B8" w:rsidRPr="009145B8" w:rsidRDefault="009145B8" w:rsidP="009145B8">
      <w:pPr>
        <w:pStyle w:val="Call"/>
      </w:pPr>
      <w:r w:rsidRPr="009145B8">
        <w:t xml:space="preserve">invites Member States </w:t>
      </w:r>
    </w:p>
    <w:p w14:paraId="3B8D7755" w14:textId="7A3FE686" w:rsidR="009145B8" w:rsidRPr="009145B8" w:rsidRDefault="00BE5B7D" w:rsidP="00BE5B7D">
      <w:r>
        <w:t>1</w:t>
      </w:r>
      <w:r>
        <w:tab/>
      </w:r>
      <w:r w:rsidR="009145B8" w:rsidRPr="009145B8">
        <w:t>to cooperate fully with ITU Council, the Radiocommunication Bureau, the Radio Regulations Board in the investigation and resolution of harmful interference;</w:t>
      </w:r>
    </w:p>
    <w:p w14:paraId="3D27DC0F" w14:textId="19788709" w:rsidR="009145B8" w:rsidRPr="009145B8" w:rsidRDefault="00BE5B7D" w:rsidP="00BE5B7D">
      <w:r>
        <w:t>2</w:t>
      </w:r>
      <w:r>
        <w:tab/>
      </w:r>
      <w:r w:rsidR="009145B8" w:rsidRPr="009145B8">
        <w:t>to implement appropriate measures to eliminate harmful interference originating from stations under their jurisdiction,</w:t>
      </w:r>
    </w:p>
    <w:p w14:paraId="3D31FFAB" w14:textId="77777777" w:rsidR="009145B8" w:rsidRPr="009145B8" w:rsidRDefault="009145B8" w:rsidP="009145B8">
      <w:pPr>
        <w:pStyle w:val="Call"/>
        <w:rPr>
          <w:lang w:val="en-US"/>
        </w:rPr>
      </w:pPr>
      <w:r w:rsidRPr="009145B8">
        <w:t>instructs the Secretary-General</w:t>
      </w:r>
    </w:p>
    <w:p w14:paraId="422A2341" w14:textId="010FBD77" w:rsidR="009145B8" w:rsidRPr="009145B8" w:rsidRDefault="00796B81" w:rsidP="00796B81">
      <w:r>
        <w:t>1</w:t>
      </w:r>
      <w:r>
        <w:tab/>
      </w:r>
      <w:r w:rsidR="009145B8" w:rsidRPr="009145B8">
        <w:t xml:space="preserve">to support a comprehensive review of the effectiveness of the existing measures for resolving cases of harmful interference; </w:t>
      </w:r>
    </w:p>
    <w:p w14:paraId="6597502C" w14:textId="71799F46" w:rsidR="009145B8" w:rsidRPr="009145B8" w:rsidRDefault="00796B81" w:rsidP="00796B81">
      <w:r>
        <w:t>2</w:t>
      </w:r>
      <w:r>
        <w:tab/>
      </w:r>
      <w:r w:rsidR="009145B8" w:rsidRPr="009145B8">
        <w:t xml:space="preserve">to continue collaboration with all relevant parties, including the International Civil Aviation Organization (ICAO) and International Maritime Organization (IMO). </w:t>
      </w:r>
    </w:p>
    <w:p w14:paraId="4B2438E5" w14:textId="77777777" w:rsidR="00972B88" w:rsidRDefault="00972B88" w:rsidP="009145B8">
      <w:pPr>
        <w:pStyle w:val="Reasons"/>
      </w:pPr>
    </w:p>
    <w:p w14:paraId="47A77DB6" w14:textId="7EFE7E3A" w:rsidR="00972B88" w:rsidRDefault="009145B8" w:rsidP="009145B8">
      <w:pPr>
        <w:jc w:val="center"/>
      </w:pPr>
      <w:r>
        <w:t>________________</w:t>
      </w:r>
    </w:p>
    <w:sectPr w:rsidR="00972B88" w:rsidSect="00361097">
      <w:headerReference w:type="even" r:id="rId12"/>
      <w:headerReference w:type="default" r:id="rId13"/>
      <w:footerReference w:type="even" r:id="rId14"/>
      <w:footerReference w:type="default" r:id="rId15"/>
      <w:headerReference w:type="first" r:id="rId16"/>
      <w:footerReference w:type="first" r:id="rId17"/>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CE395" w14:textId="77777777" w:rsidR="007F1303" w:rsidRDefault="007F1303">
      <w:r>
        <w:separator/>
      </w:r>
    </w:p>
  </w:endnote>
  <w:endnote w:type="continuationSeparator" w:id="0">
    <w:p w14:paraId="6BDA72BD" w14:textId="77777777" w:rsidR="007F1303" w:rsidRDefault="007F13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5F38E"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2CD21"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0AD37"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80DF3" w14:textId="77777777" w:rsidR="007F1303" w:rsidRDefault="007F1303">
      <w:r>
        <w:t>____________________</w:t>
      </w:r>
    </w:p>
  </w:footnote>
  <w:footnote w:type="continuationSeparator" w:id="0">
    <w:p w14:paraId="5F06C884" w14:textId="77777777" w:rsidR="007F1303" w:rsidRDefault="007F13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1ED6C"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82E22"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19DE78C3" w14:textId="77777777" w:rsidR="00CE1B90" w:rsidRDefault="00CE1B90" w:rsidP="004F7925">
    <w:pPr>
      <w:pStyle w:val="Header"/>
    </w:pPr>
    <w:r>
      <w:t>PP</w:t>
    </w:r>
    <w:r w:rsidR="000235EC">
      <w:t>2</w:t>
    </w:r>
    <w:r w:rsidR="00EF3B7A">
      <w:t>6</w:t>
    </w:r>
    <w:r>
      <w:t>/90-E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F2343" w14:textId="77777777" w:rsidR="00F860C2" w:rsidRDefault="00F860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806213"/>
    <w:multiLevelType w:val="hybridMultilevel"/>
    <w:tmpl w:val="C12A1194"/>
    <w:lvl w:ilvl="0" w:tplc="9B6E5900">
      <w:start w:val="1"/>
      <w:numFmt w:val="lowerLetter"/>
      <w:lvlText w:val="%1)"/>
      <w:lvlJc w:val="left"/>
      <w:pPr>
        <w:ind w:left="717" w:hanging="360"/>
      </w:pPr>
      <w:rPr>
        <w:rFonts w:ascii="Calibri" w:hAnsi="Calibri" w:cs="Calibri" w:hint="default"/>
        <w:i/>
        <w:iCs/>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 w15:restartNumberingAfterBreak="0">
    <w:nsid w:val="30D22F70"/>
    <w:multiLevelType w:val="multilevel"/>
    <w:tmpl w:val="1BA62D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0DB7A14"/>
    <w:multiLevelType w:val="multilevel"/>
    <w:tmpl w:val="7772B02C"/>
    <w:lvl w:ilvl="0">
      <w:start w:val="1"/>
      <w:numFmt w:val="lowerRoman"/>
      <w:lvlText w:val="%1."/>
      <w:lvlJc w:val="right"/>
      <w:pPr>
        <w:tabs>
          <w:tab w:val="num" w:pos="1080"/>
        </w:tabs>
        <w:ind w:left="1080" w:hanging="360"/>
      </w:pPr>
      <w:rPr>
        <w:rFonts w:hint="default"/>
        <w:sz w:val="20"/>
      </w:rPr>
    </w:lvl>
    <w:lvl w:ilvl="1">
      <w:start w:val="1"/>
      <w:numFmt w:val="decimal"/>
      <w:lvlText w:val="%2."/>
      <w:lvlJc w:val="left"/>
      <w:pPr>
        <w:ind w:left="1800" w:hanging="360"/>
      </w:pPr>
      <w:rPr>
        <w:rFonts w:hint="default"/>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 w15:restartNumberingAfterBreak="0">
    <w:nsid w:val="5568378F"/>
    <w:multiLevelType w:val="hybridMultilevel"/>
    <w:tmpl w:val="26C4BA5A"/>
    <w:lvl w:ilvl="0" w:tplc="C74C4F24">
      <w:start w:val="1"/>
      <w:numFmt w:val="lowerLetter"/>
      <w:lvlText w:val="%1)"/>
      <w:lvlJc w:val="left"/>
      <w:pPr>
        <w:ind w:left="360" w:hanging="360"/>
      </w:pPr>
      <w:rPr>
        <w:i/>
        <w:iCs/>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num w:numId="1" w16cid:durableId="1767311495">
    <w:abstractNumId w:val="2"/>
  </w:num>
  <w:num w:numId="2" w16cid:durableId="2099521335">
    <w:abstractNumId w:val="0"/>
  </w:num>
  <w:num w:numId="3" w16cid:durableId="25521744">
    <w:abstractNumId w:val="3"/>
  </w:num>
  <w:num w:numId="4" w16cid:durableId="3385800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62F"/>
    <w:rsid w:val="00375BBA"/>
    <w:rsid w:val="003826EA"/>
    <w:rsid w:val="00395CE4"/>
    <w:rsid w:val="003A32AD"/>
    <w:rsid w:val="003A33F1"/>
    <w:rsid w:val="003A3938"/>
    <w:rsid w:val="003A4E67"/>
    <w:rsid w:val="003A5FFB"/>
    <w:rsid w:val="003A7FB6"/>
    <w:rsid w:val="003B3751"/>
    <w:rsid w:val="003F0763"/>
    <w:rsid w:val="003F1D45"/>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2049"/>
    <w:rsid w:val="00777B8B"/>
    <w:rsid w:val="00794795"/>
    <w:rsid w:val="007949EA"/>
    <w:rsid w:val="00796849"/>
    <w:rsid w:val="00796B81"/>
    <w:rsid w:val="00796DAE"/>
    <w:rsid w:val="007A59C3"/>
    <w:rsid w:val="007B0E06"/>
    <w:rsid w:val="007B30FC"/>
    <w:rsid w:val="007C3643"/>
    <w:rsid w:val="007C617F"/>
    <w:rsid w:val="007D5061"/>
    <w:rsid w:val="007D7003"/>
    <w:rsid w:val="007E00D2"/>
    <w:rsid w:val="007E2AD4"/>
    <w:rsid w:val="007E3469"/>
    <w:rsid w:val="007E7B63"/>
    <w:rsid w:val="007F130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145B8"/>
    <w:rsid w:val="009236FE"/>
    <w:rsid w:val="00940E00"/>
    <w:rsid w:val="00945D4B"/>
    <w:rsid w:val="0094741F"/>
    <w:rsid w:val="00950E0F"/>
    <w:rsid w:val="0096150D"/>
    <w:rsid w:val="009630FA"/>
    <w:rsid w:val="00967103"/>
    <w:rsid w:val="00967670"/>
    <w:rsid w:val="00970996"/>
    <w:rsid w:val="00972B88"/>
    <w:rsid w:val="009800CC"/>
    <w:rsid w:val="009A078E"/>
    <w:rsid w:val="009A2B30"/>
    <w:rsid w:val="009A3393"/>
    <w:rsid w:val="009A4211"/>
    <w:rsid w:val="009A47A2"/>
    <w:rsid w:val="009E425E"/>
    <w:rsid w:val="009E4322"/>
    <w:rsid w:val="009F4384"/>
    <w:rsid w:val="009F442D"/>
    <w:rsid w:val="009F50DA"/>
    <w:rsid w:val="00A06D56"/>
    <w:rsid w:val="00A314A2"/>
    <w:rsid w:val="00A33BE0"/>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E4535"/>
    <w:rsid w:val="00BE5B7D"/>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EF74F7"/>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27A6"/>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BC0DDD"/>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paragraph" w:styleId="ListParagraph">
    <w:name w:val="List Paragraph"/>
    <w:basedOn w:val="Normal"/>
    <w:uiPriority w:val="34"/>
    <w:qFormat/>
    <w:rsid w:val="009145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File_x0020_name xmlns="dc5f4597-23c4-4169-8205-76c12bdd62f4">S26-PP-C-0090!!MSW-E</DPM_x0020_File_x0020_name>
    <DPM_x0020_Version xmlns="dc5f4597-23c4-4169-8205-76c12bdd62f4">DPM_2025.10.23.1</DPM_x0020_Version>
    <DPM_x0020_Author xmlns="dc5f4597-23c4-4169-8205-76c12bdd62f4">DPM</DPM_x0020_Author>
  </documentManagement>
</p:properties>
</file>

<file path=customXml/itemProps1.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2.xml><?xml version="1.0" encoding="utf-8"?>
<ds:datastoreItem xmlns:ds="http://schemas.openxmlformats.org/officeDocument/2006/customXml" ds:itemID="{26CF3929-B4E1-41C7-B52C-C3F1107495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c5f4597-23c4-4169-8205-76c12bdd62f4"/>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Pages>
  <Words>853</Words>
  <Characters>4883</Characters>
  <Application>Microsoft Office Word</Application>
  <DocSecurity>0</DocSecurity>
  <Lines>80</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5706</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S26-PP-C-0090!!MSW-E</dc:title>
  <dc:subject>ITU Plenipotentiary Conference (PP-26)</dc:subject>
  <dc:creator>Documents Proposals Manager (DPM)</dc:creator>
  <cp:keywords>DPM_v2026.8.25.1_prod</cp:keywords>
  <cp:lastModifiedBy>MCB</cp:lastModifiedBy>
  <cp:revision>9</cp:revision>
  <dcterms:created xsi:type="dcterms:W3CDTF">2026-10-22T09:53:00Z</dcterms:created>
  <dcterms:modified xsi:type="dcterms:W3CDTF">2026-10-22T10:07:00Z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ies>
</file>