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64171C6D" w14:textId="77777777" w:rsidTr="000D3085">
        <w:trPr>
          <w:cantSplit/>
          <w:jc w:val="center"/>
        </w:trPr>
        <w:tc>
          <w:tcPr>
            <w:tcW w:w="10031" w:type="dxa"/>
            <w:gridSpan w:val="2"/>
            <w:tcMar>
              <w:left w:w="0" w:type="dxa"/>
              <w:right w:w="0" w:type="dxa"/>
            </w:tcMar>
            <w:vAlign w:val="center"/>
          </w:tcPr>
          <w:p w14:paraId="1DA87ED9" w14:textId="77777777" w:rsidR="00161CDA" w:rsidRPr="00D96B4B" w:rsidRDefault="00AF0849" w:rsidP="00AF0849">
            <w:pPr>
              <w:spacing w:before="0" w:line="240" w:lineRule="atLeast"/>
              <w:rPr>
                <w:rFonts w:cstheme="minorHAnsi"/>
              </w:rPr>
            </w:pPr>
            <w:r>
              <w:rPr>
                <w:rFonts w:cstheme="minorHAnsi"/>
                <w:noProof/>
                <w:lang w:val="en-US"/>
              </w:rPr>
              <w:drawing>
                <wp:anchor distT="0" distB="0" distL="0" distR="0" simplePos="0" relativeHeight="251658240" behindDoc="1" locked="0" layoutInCell="1" allowOverlap="1" wp14:anchorId="2FAA4290" wp14:editId="31C850ED">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5825D3F2" w14:textId="77777777" w:rsidTr="000D3085">
        <w:trPr>
          <w:cantSplit/>
          <w:trHeight w:val="283"/>
          <w:jc w:val="center"/>
        </w:trPr>
        <w:tc>
          <w:tcPr>
            <w:tcW w:w="10031" w:type="dxa"/>
            <w:gridSpan w:val="2"/>
            <w:tcBorders>
              <w:bottom w:val="single" w:sz="12" w:space="0" w:color="71716F"/>
            </w:tcBorders>
          </w:tcPr>
          <w:p w14:paraId="65AA7A61"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02AE7889" w14:textId="77777777" w:rsidTr="000D3085">
        <w:trPr>
          <w:cantSplit/>
          <w:trHeight w:val="255"/>
          <w:jc w:val="center"/>
        </w:trPr>
        <w:tc>
          <w:tcPr>
            <w:tcW w:w="7230" w:type="dxa"/>
            <w:tcBorders>
              <w:top w:val="single" w:sz="12" w:space="0" w:color="71716F"/>
            </w:tcBorders>
          </w:tcPr>
          <w:p w14:paraId="3E40DCA8"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595DE887" w14:textId="77777777" w:rsidR="001A16ED" w:rsidRPr="00D96B4B" w:rsidRDefault="001A16ED" w:rsidP="000B596F">
            <w:pPr>
              <w:spacing w:before="0"/>
              <w:rPr>
                <w:rFonts w:cstheme="minorHAnsi"/>
                <w:sz w:val="20"/>
              </w:rPr>
            </w:pPr>
          </w:p>
        </w:tc>
      </w:tr>
      <w:tr w:rsidR="001A16ED" w:rsidRPr="00C324A8" w14:paraId="036B4DEB" w14:textId="77777777" w:rsidTr="000D3085">
        <w:trPr>
          <w:cantSplit/>
          <w:trHeight w:val="23"/>
          <w:jc w:val="center"/>
        </w:trPr>
        <w:tc>
          <w:tcPr>
            <w:tcW w:w="7230" w:type="dxa"/>
          </w:tcPr>
          <w:p w14:paraId="7A52CC0D"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56AF5FA" w14:textId="77777777" w:rsidR="001A16ED" w:rsidRPr="00F44B1A" w:rsidRDefault="001A16ED" w:rsidP="000B596F">
            <w:pPr>
              <w:tabs>
                <w:tab w:val="left" w:pos="851"/>
              </w:tabs>
              <w:spacing w:before="0"/>
              <w:rPr>
                <w:rFonts w:cstheme="minorHAnsi"/>
                <w:b/>
                <w:szCs w:val="24"/>
              </w:rPr>
            </w:pPr>
            <w:r>
              <w:rPr>
                <w:rFonts w:cstheme="minorHAnsi"/>
                <w:b/>
                <w:szCs w:val="24"/>
              </w:rPr>
              <w:t>Document 5547</w:t>
            </w:r>
            <w:r w:rsidR="00F44B1A" w:rsidRPr="00F44B1A">
              <w:rPr>
                <w:rFonts w:cstheme="minorHAnsi"/>
                <w:b/>
                <w:szCs w:val="24"/>
              </w:rPr>
              <w:t>-E</w:t>
            </w:r>
          </w:p>
        </w:tc>
      </w:tr>
      <w:tr w:rsidR="001A16ED" w:rsidRPr="00C324A8" w14:paraId="547531C3" w14:textId="77777777" w:rsidTr="000D3085">
        <w:trPr>
          <w:cantSplit/>
          <w:trHeight w:val="23"/>
          <w:jc w:val="center"/>
        </w:trPr>
        <w:tc>
          <w:tcPr>
            <w:tcW w:w="7230" w:type="dxa"/>
          </w:tcPr>
          <w:p w14:paraId="4698D888"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70B7C108" w14:textId="77777777" w:rsidR="001A16ED" w:rsidRPr="00D96B4B" w:rsidRDefault="001A16ED" w:rsidP="000B596F">
            <w:pPr>
              <w:spacing w:before="0"/>
              <w:rPr>
                <w:rFonts w:cstheme="minorHAnsi"/>
                <w:szCs w:val="24"/>
              </w:rPr>
            </w:pPr>
            <w:r w:rsidRPr="00D96B4B">
              <w:rPr>
                <w:rFonts w:cstheme="minorHAnsi"/>
                <w:b/>
                <w:szCs w:val="24"/>
              </w:rPr>
              <w:t>14 October 2026</w:t>
            </w:r>
          </w:p>
        </w:tc>
      </w:tr>
      <w:tr w:rsidR="001A16ED" w:rsidRPr="00C324A8" w14:paraId="1EF39DCF" w14:textId="77777777" w:rsidTr="000D3085">
        <w:trPr>
          <w:cantSplit/>
          <w:trHeight w:val="23"/>
          <w:jc w:val="center"/>
        </w:trPr>
        <w:tc>
          <w:tcPr>
            <w:tcW w:w="7230" w:type="dxa"/>
          </w:tcPr>
          <w:p w14:paraId="2F02E85F"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1D9958E2"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474D848E" w14:textId="77777777" w:rsidTr="000D3085">
        <w:trPr>
          <w:cantSplit/>
          <w:trHeight w:val="23"/>
          <w:jc w:val="center"/>
        </w:trPr>
        <w:tc>
          <w:tcPr>
            <w:tcW w:w="10031" w:type="dxa"/>
            <w:gridSpan w:val="2"/>
          </w:tcPr>
          <w:p w14:paraId="02F9E186" w14:textId="77777777" w:rsidR="001A16ED" w:rsidRPr="00D96B4B" w:rsidRDefault="001A16ED" w:rsidP="000B596F">
            <w:pPr>
              <w:tabs>
                <w:tab w:val="left" w:pos="993"/>
              </w:tabs>
              <w:rPr>
                <w:rFonts w:ascii="Verdana" w:hAnsi="Verdana"/>
                <w:b/>
                <w:szCs w:val="24"/>
              </w:rPr>
            </w:pPr>
          </w:p>
        </w:tc>
      </w:tr>
      <w:tr w:rsidR="001A16ED" w:rsidRPr="00C324A8" w14:paraId="3BA56929" w14:textId="77777777" w:rsidTr="000D3085">
        <w:trPr>
          <w:cantSplit/>
          <w:trHeight w:val="23"/>
          <w:jc w:val="center"/>
        </w:trPr>
        <w:tc>
          <w:tcPr>
            <w:tcW w:w="10031" w:type="dxa"/>
            <w:gridSpan w:val="2"/>
          </w:tcPr>
          <w:p w14:paraId="03E3223E" w14:textId="77777777" w:rsidR="001A16ED" w:rsidRDefault="001A16ED" w:rsidP="000B596F">
            <w:pPr>
              <w:pStyle w:val="Source"/>
            </w:pPr>
            <w:r>
              <w:t>Iran (Islamic Republic of)</w:t>
            </w:r>
          </w:p>
        </w:tc>
      </w:tr>
      <w:tr w:rsidR="001A16ED" w:rsidRPr="00C324A8" w14:paraId="15884695" w14:textId="77777777" w:rsidTr="000D3085">
        <w:trPr>
          <w:cantSplit/>
          <w:trHeight w:val="23"/>
          <w:jc w:val="center"/>
        </w:trPr>
        <w:tc>
          <w:tcPr>
            <w:tcW w:w="10031" w:type="dxa"/>
            <w:gridSpan w:val="2"/>
          </w:tcPr>
          <w:p w14:paraId="53C00C0E" w14:textId="77777777" w:rsidR="001A16ED" w:rsidRDefault="001A16ED" w:rsidP="000B596F">
            <w:pPr>
              <w:pStyle w:val="Title1"/>
            </w:pPr>
            <w:r>
              <w:t>Proposals for the work of the conference</w:t>
            </w:r>
          </w:p>
          <w:p w14:paraId="099B5DD7" w14:textId="77777777" w:rsidR="00E7193E" w:rsidRPr="00E7193E" w:rsidRDefault="00E7193E" w:rsidP="00E7193E">
            <w:pPr>
              <w:jc w:val="center"/>
              <w:rPr>
                <w:caps/>
                <w:sz w:val="28"/>
              </w:rPr>
            </w:pPr>
            <w:r w:rsidRPr="00E7193E">
              <w:rPr>
                <w:caps/>
                <w:sz w:val="28"/>
              </w:rPr>
              <w:t>Comments on Document PP26/70</w:t>
            </w:r>
          </w:p>
          <w:p w14:paraId="286BB209" w14:textId="77777777" w:rsidR="00E7193E" w:rsidRDefault="00E7193E" w:rsidP="00E7193E">
            <w:pPr>
              <w:jc w:val="center"/>
              <w:rPr>
                <w:caps/>
                <w:sz w:val="28"/>
              </w:rPr>
            </w:pPr>
            <w:r w:rsidRPr="00E7193E">
              <w:rPr>
                <w:caps/>
                <w:sz w:val="28"/>
              </w:rPr>
              <w:t>Report by the Secretary-General pursuant to Council Resolution 1436</w:t>
            </w:r>
          </w:p>
          <w:p w14:paraId="4699CE33" w14:textId="77777777" w:rsidR="00E7193E" w:rsidRPr="00E7193E" w:rsidRDefault="00E7193E" w:rsidP="000D3085">
            <w:pPr>
              <w:pStyle w:val="Title2"/>
              <w:jc w:val="left"/>
            </w:pPr>
          </w:p>
        </w:tc>
      </w:tr>
    </w:tbl>
    <w:bookmarkEnd w:id="6"/>
    <w:bookmarkEnd w:id="7"/>
    <w:p w14:paraId="2808839E" w14:textId="77777777" w:rsidR="00676BE2" w:rsidRPr="00A40FB1" w:rsidRDefault="00F902F0" w:rsidP="00A40FB1">
      <w:pPr>
        <w:rPr>
          <w:b/>
          <w:bCs/>
        </w:rPr>
      </w:pPr>
      <w:r w:rsidRPr="00A40FB1">
        <w:rPr>
          <w:b/>
          <w:bCs/>
        </w:rPr>
        <w:tab/>
        <w:t>IRN/5547/1</w:t>
      </w:r>
    </w:p>
    <w:p w14:paraId="69AE14CB" w14:textId="77777777" w:rsidR="00E7193E" w:rsidRPr="00AB72B0" w:rsidRDefault="00E7193E" w:rsidP="00E7193E">
      <w:pPr>
        <w:jc w:val="both"/>
        <w:rPr>
          <w:b/>
          <w:bCs/>
        </w:rPr>
      </w:pPr>
      <w:r w:rsidRPr="00AB72B0">
        <w:rPr>
          <w:b/>
          <w:bCs/>
        </w:rPr>
        <w:t>1. General Observation</w:t>
      </w:r>
    </w:p>
    <w:p w14:paraId="5660AC20" w14:textId="77777777" w:rsidR="00E7193E" w:rsidRDefault="00E7193E" w:rsidP="00E7193E">
      <w:pPr>
        <w:jc w:val="both"/>
      </w:pPr>
      <w:r w:rsidRPr="00AB72B0">
        <w:t xml:space="preserve">The Islamic Republic of Iran takes note of the interim report of the Secretary-General contained in Document PP26/70-E. </w:t>
      </w:r>
      <w:r>
        <w:t xml:space="preserve">The I.R. of </w:t>
      </w:r>
      <w:r w:rsidRPr="00AB72B0">
        <w:t>Iran reaffirms its commitment to the purposes and principles of the International Telecommunication Union and to the protection of civilian telecommunications/ICT infrastructure in all Member States, without discrimination.</w:t>
      </w:r>
    </w:p>
    <w:p w14:paraId="55B8358B" w14:textId="77777777" w:rsidR="00E7193E" w:rsidRDefault="00E7193E" w:rsidP="00E7193E">
      <w:pPr>
        <w:jc w:val="both"/>
      </w:pPr>
      <w:r>
        <w:t xml:space="preserve">The report itself describes its findings as preliminary and states that they are based primarily on a review of publicly available information, with further data collection and analysis, including from primary sources, required to complete the assessment. The I.R. of </w:t>
      </w:r>
      <w:r w:rsidRPr="00AB72B0">
        <w:t>Iran</w:t>
      </w:r>
      <w:r w:rsidRPr="001866AC">
        <w:t xml:space="preserve"> considers it essential that any conclusions concerning the extent, nature and causes of damage to civilian telecommunications/ICT infrastructure be based on reliable evidence, technical verification and, where appropriate, information obtained directly from the affected Member States.</w:t>
      </w:r>
    </w:p>
    <w:p w14:paraId="16EB013F" w14:textId="77777777" w:rsidR="00E7193E" w:rsidRPr="001866AC" w:rsidRDefault="00E7193E" w:rsidP="00E7193E">
      <w:pPr>
        <w:pStyle w:val="Heading1"/>
        <w:rPr>
          <w:rFonts w:asciiTheme="minorHAnsi" w:eastAsiaTheme="minorHAnsi" w:hAnsiTheme="minorHAnsi" w:cstheme="minorBidi"/>
          <w:b w:val="0"/>
          <w:bCs/>
          <w:sz w:val="24"/>
          <w:szCs w:val="24"/>
        </w:rPr>
      </w:pPr>
      <w:r w:rsidRPr="001866AC">
        <w:rPr>
          <w:rFonts w:asciiTheme="minorHAnsi" w:eastAsiaTheme="minorHAnsi" w:hAnsiTheme="minorHAnsi" w:cstheme="minorBidi"/>
          <w:bCs/>
          <w:sz w:val="24"/>
          <w:szCs w:val="24"/>
        </w:rPr>
        <w:t>2. Scope and Methodology of the Assessment</w:t>
      </w:r>
    </w:p>
    <w:p w14:paraId="509B8901" w14:textId="77777777" w:rsidR="00E7193E" w:rsidRPr="001866AC" w:rsidRDefault="00E7193E" w:rsidP="00E7193E">
      <w:pPr>
        <w:jc w:val="both"/>
      </w:pPr>
      <w:r w:rsidRPr="001866AC">
        <w:t xml:space="preserve">The report focuses on Bahrain, Kuwait, the United Arab Emirates and Jordan, in accordance with Council Resolution 1436. </w:t>
      </w:r>
      <w:r>
        <w:t xml:space="preserve">The I.R. of </w:t>
      </w:r>
      <w:r w:rsidRPr="00AB72B0">
        <w:t xml:space="preserve">Iran </w:t>
      </w:r>
      <w:r w:rsidRPr="001866AC">
        <w:t>takes note of the scope of the mandate established by that resolution. This, however, does not prejudice Iran’s separate request for a technical assessment of the damage reported to its own civilian telecommunications/ICT and broadcasting infrastructure through the appropriate ITU procedures.</w:t>
      </w:r>
    </w:p>
    <w:p w14:paraId="79E3D143" w14:textId="77777777" w:rsidR="00E7193E" w:rsidRPr="001866AC" w:rsidRDefault="00E7193E" w:rsidP="00E7193E">
      <w:pPr>
        <w:jc w:val="both"/>
      </w:pPr>
      <w:r w:rsidRPr="001866AC">
        <w:t>The geographical scope of this interim report should not be understood as implying that damage or humanitarian consequences affecting other Member States are less significant or do not merit appropriate consideration through the relevant procedures.</w:t>
      </w:r>
    </w:p>
    <w:p w14:paraId="33DFF8BE" w14:textId="77777777" w:rsidR="00E7193E" w:rsidRPr="001866AC" w:rsidRDefault="00E7193E" w:rsidP="00A45C25">
      <w:pPr>
        <w:jc w:val="both"/>
      </w:pPr>
      <w:r w:rsidRPr="001866AC">
        <w:lastRenderedPageBreak/>
        <w:t>Despite the earlier request submitted by the Islamic Republic of Iran to the Secretary-General</w:t>
      </w:r>
      <w:r>
        <w:t xml:space="preserve"> on 10 August 2026</w:t>
      </w:r>
      <w:r w:rsidRPr="001866AC">
        <w:t xml:space="preserve">, the report does not address the reported damage to Iran’s telecommunications/ICT and radio and television broadcasting infrastructure. According to information provided by </w:t>
      </w:r>
      <w:r>
        <w:t xml:space="preserve">the I.R. of </w:t>
      </w:r>
      <w:r w:rsidRPr="00AB72B0">
        <w:t>Iran</w:t>
      </w:r>
      <w:r w:rsidRPr="001866AC">
        <w:t xml:space="preserve"> in its supporting documentation, the reported damage affected a range of civilian telecommunications, broadcasting, satellite, public-sector and aviation communications infrastructure. The reported impacts include the following:</w:t>
      </w:r>
    </w:p>
    <w:p w14:paraId="32565F2D" w14:textId="77777777" w:rsidR="00E7193E" w:rsidRPr="001866AC" w:rsidRDefault="00E7193E" w:rsidP="00E7193E">
      <w:pPr>
        <w:numPr>
          <w:ilvl w:val="0"/>
          <w:numId w:val="1"/>
        </w:numPr>
        <w:tabs>
          <w:tab w:val="clear" w:pos="567"/>
          <w:tab w:val="clear" w:pos="1134"/>
          <w:tab w:val="clear" w:pos="1701"/>
          <w:tab w:val="clear" w:pos="2268"/>
          <w:tab w:val="clear" w:pos="2835"/>
        </w:tabs>
        <w:overflowPunct/>
        <w:autoSpaceDE/>
        <w:autoSpaceDN/>
        <w:adjustRightInd/>
        <w:spacing w:before="100" w:beforeAutospacing="1" w:after="100" w:afterAutospacing="1"/>
        <w:jc w:val="both"/>
        <w:textAlignment w:val="auto"/>
      </w:pPr>
      <w:r w:rsidRPr="001866AC">
        <w:rPr>
          <w:b/>
          <w:bCs/>
        </w:rPr>
        <w:t>Telecommunications infrastructure:</w:t>
      </w:r>
      <w:r w:rsidRPr="00A915A7">
        <w:rPr>
          <w:rFonts w:ascii="Times New Roman" w:hAnsi="Times New Roman"/>
        </w:rPr>
        <w:t xml:space="preserve"> </w:t>
      </w:r>
      <w:r w:rsidRPr="001866AC">
        <w:t>Approximately 500 telecommunications sites, including mobile base-station sites, and more than 100 telecommunications centres were reportedly hit during the conflict.</w:t>
      </w:r>
    </w:p>
    <w:p w14:paraId="368E0622" w14:textId="77777777" w:rsidR="00E7193E" w:rsidRPr="001866AC" w:rsidRDefault="00E7193E" w:rsidP="00E7193E">
      <w:pPr>
        <w:numPr>
          <w:ilvl w:val="0"/>
          <w:numId w:val="1"/>
        </w:num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 w:rsidRPr="001866AC">
        <w:rPr>
          <w:b/>
          <w:bCs/>
        </w:rPr>
        <w:t>Satellite broadcasting:</w:t>
      </w:r>
      <w:r w:rsidRPr="00A915A7">
        <w:rPr>
          <w:rFonts w:ascii="Times New Roman" w:hAnsi="Times New Roman"/>
        </w:rPr>
        <w:t xml:space="preserve"> </w:t>
      </w:r>
      <w:r w:rsidRPr="001866AC">
        <w:t>39 satellite broadcasting stations reportedly sustained damage.</w:t>
      </w:r>
    </w:p>
    <w:p w14:paraId="018E1674" w14:textId="77777777" w:rsidR="00E7193E" w:rsidRPr="001866AC" w:rsidRDefault="00E7193E" w:rsidP="00E7193E">
      <w:pPr>
        <w:numPr>
          <w:ilvl w:val="0"/>
          <w:numId w:val="1"/>
        </w:numPr>
        <w:tabs>
          <w:tab w:val="clear" w:pos="567"/>
          <w:tab w:val="clear" w:pos="1134"/>
          <w:tab w:val="clear" w:pos="1701"/>
          <w:tab w:val="clear" w:pos="2268"/>
          <w:tab w:val="clear" w:pos="2835"/>
        </w:tabs>
        <w:overflowPunct/>
        <w:autoSpaceDE/>
        <w:autoSpaceDN/>
        <w:adjustRightInd/>
        <w:spacing w:before="100" w:beforeAutospacing="1" w:after="100" w:afterAutospacing="1"/>
        <w:jc w:val="both"/>
        <w:textAlignment w:val="auto"/>
      </w:pPr>
      <w:r w:rsidRPr="001866AC">
        <w:rPr>
          <w:b/>
          <w:bCs/>
        </w:rPr>
        <w:t>Terrestrial broadcasting:</w:t>
      </w:r>
      <w:r w:rsidRPr="00A915A7">
        <w:rPr>
          <w:rFonts w:ascii="Times New Roman" w:hAnsi="Times New Roman"/>
        </w:rPr>
        <w:t xml:space="preserve"> </w:t>
      </w:r>
      <w:r w:rsidRPr="001866AC">
        <w:t>40 terrestrial broadcasting stations, including medium-wave (MW), FM and television stations, as well as associated microwave links, were reportedly completely destroyed. The resulting disruption reportedly affected access to timely public information and emergency broadcasting services for approximately 33 million people.</w:t>
      </w:r>
    </w:p>
    <w:p w14:paraId="43001A49" w14:textId="77777777" w:rsidR="00E7193E" w:rsidRPr="001866AC" w:rsidRDefault="00E7193E" w:rsidP="00E7193E">
      <w:pPr>
        <w:numPr>
          <w:ilvl w:val="0"/>
          <w:numId w:val="1"/>
        </w:numPr>
        <w:tabs>
          <w:tab w:val="clear" w:pos="567"/>
          <w:tab w:val="clear" w:pos="1134"/>
          <w:tab w:val="clear" w:pos="1701"/>
          <w:tab w:val="clear" w:pos="2268"/>
          <w:tab w:val="clear" w:pos="2835"/>
        </w:tabs>
        <w:overflowPunct/>
        <w:autoSpaceDE/>
        <w:autoSpaceDN/>
        <w:adjustRightInd/>
        <w:spacing w:before="100" w:beforeAutospacing="1" w:after="100" w:afterAutospacing="1"/>
        <w:jc w:val="both"/>
        <w:textAlignment w:val="auto"/>
      </w:pPr>
      <w:r w:rsidRPr="001866AC">
        <w:rPr>
          <w:b/>
          <w:bCs/>
        </w:rPr>
        <w:t>Public-sector and ICT infrastructure:</w:t>
      </w:r>
      <w:r w:rsidRPr="00A915A7">
        <w:rPr>
          <w:rFonts w:ascii="Times New Roman" w:hAnsi="Times New Roman"/>
        </w:rPr>
        <w:t xml:space="preserve"> </w:t>
      </w:r>
      <w:r w:rsidRPr="001866AC">
        <w:t xml:space="preserve">Damage was reported to buildings and facilities of several public-sector entities, including the Communications Regulatory Authority, the Iranian Space Agency, the Iran Telecommunication Research </w:t>
      </w:r>
      <w:proofErr w:type="spellStart"/>
      <w:r w:rsidRPr="001866AC">
        <w:t>Center</w:t>
      </w:r>
      <w:proofErr w:type="spellEnd"/>
      <w:r w:rsidRPr="001866AC">
        <w:t>, the Telecommunication Infrastructure Company, the national postal administration and provincial ICT departments. Damage was also reported to space-related facilities and equipment.</w:t>
      </w:r>
    </w:p>
    <w:p w14:paraId="75FD3A8F" w14:textId="77777777" w:rsidR="00E7193E" w:rsidRPr="001866AC" w:rsidRDefault="00E7193E" w:rsidP="00E7193E">
      <w:pPr>
        <w:numPr>
          <w:ilvl w:val="0"/>
          <w:numId w:val="1"/>
        </w:numPr>
        <w:tabs>
          <w:tab w:val="clear" w:pos="567"/>
          <w:tab w:val="clear" w:pos="1134"/>
          <w:tab w:val="clear" w:pos="1701"/>
          <w:tab w:val="clear" w:pos="2268"/>
          <w:tab w:val="clear" w:pos="2835"/>
        </w:tabs>
        <w:overflowPunct/>
        <w:autoSpaceDE/>
        <w:autoSpaceDN/>
        <w:adjustRightInd/>
        <w:spacing w:before="100" w:beforeAutospacing="1" w:after="100" w:afterAutospacing="1"/>
        <w:jc w:val="both"/>
        <w:textAlignment w:val="auto"/>
      </w:pPr>
      <w:r w:rsidRPr="001866AC">
        <w:rPr>
          <w:b/>
          <w:bCs/>
        </w:rPr>
        <w:t>Civil aviation communications:</w:t>
      </w:r>
      <w:r w:rsidRPr="00A915A7">
        <w:rPr>
          <w:rFonts w:ascii="Times New Roman" w:hAnsi="Times New Roman"/>
        </w:rPr>
        <w:t xml:space="preserve"> </w:t>
      </w:r>
      <w:r w:rsidRPr="001866AC">
        <w:t>Seven airport communications facilities reportedly sustained damage, affecting control-tower communications and remote-controlled air-to-ground communications systems.</w:t>
      </w:r>
    </w:p>
    <w:p w14:paraId="0EBC75AA" w14:textId="77777777" w:rsidR="00E7193E" w:rsidRPr="001866AC" w:rsidRDefault="00E7193E" w:rsidP="00E7193E">
      <w:pPr>
        <w:numPr>
          <w:ilvl w:val="0"/>
          <w:numId w:val="1"/>
        </w:numPr>
        <w:tabs>
          <w:tab w:val="clear" w:pos="567"/>
          <w:tab w:val="clear" w:pos="1134"/>
          <w:tab w:val="clear" w:pos="1701"/>
          <w:tab w:val="clear" w:pos="2268"/>
          <w:tab w:val="clear" w:pos="2835"/>
        </w:tabs>
        <w:overflowPunct/>
        <w:autoSpaceDE/>
        <w:autoSpaceDN/>
        <w:adjustRightInd/>
        <w:spacing w:before="100" w:beforeAutospacing="1" w:after="100" w:afterAutospacing="1"/>
        <w:jc w:val="both"/>
        <w:textAlignment w:val="auto"/>
      </w:pPr>
      <w:r w:rsidRPr="001866AC">
        <w:rPr>
          <w:b/>
          <w:bCs/>
        </w:rPr>
        <w:t>Private-sector ICT and digital services:</w:t>
      </w:r>
      <w:r w:rsidRPr="00A915A7">
        <w:rPr>
          <w:rFonts w:ascii="Times New Roman" w:hAnsi="Times New Roman"/>
        </w:rPr>
        <w:t xml:space="preserve"> </w:t>
      </w:r>
      <w:r w:rsidRPr="001866AC">
        <w:t>Physical damage was also reported to telecommunications sites, towers, communication networks, data-centre facilities, and the premises and equipment of ICT and digital-economy businesses.</w:t>
      </w:r>
    </w:p>
    <w:p w14:paraId="6EFABC05" w14:textId="77777777" w:rsidR="00E7193E" w:rsidRPr="001866AC" w:rsidRDefault="00E7193E" w:rsidP="00E7193E">
      <w:pPr>
        <w:jc w:val="both"/>
      </w:pPr>
      <w:r w:rsidRPr="001866AC">
        <w:t xml:space="preserve">These reported impacts indicate that the damage extended across multiple layers of civilian communications infrastructure and services. </w:t>
      </w:r>
      <w:r>
        <w:t xml:space="preserve">The I.R. of </w:t>
      </w:r>
      <w:r w:rsidRPr="00AB72B0">
        <w:t xml:space="preserve">Iran </w:t>
      </w:r>
      <w:r w:rsidRPr="001866AC">
        <w:t xml:space="preserve">considers that an independent technical assessment should establish the extent of the physical damage, the resulting service disruptions, the populations affected and the implications for emergency communications, public safety and the continuity of essential services. </w:t>
      </w:r>
    </w:p>
    <w:p w14:paraId="240BEDAD" w14:textId="77777777" w:rsidR="00E7193E" w:rsidRPr="001866AC" w:rsidRDefault="00E7193E" w:rsidP="00E7193E">
      <w:pPr>
        <w:jc w:val="both"/>
      </w:pPr>
      <w:r>
        <w:t xml:space="preserve">The I.R. of </w:t>
      </w:r>
      <w:r w:rsidRPr="00AB72B0">
        <w:t xml:space="preserve">Iran </w:t>
      </w:r>
      <w:r w:rsidRPr="001866AC">
        <w:t xml:space="preserve">considers that the applicable decisions and mandates of the Union should be implemented objectively and without discrimination, while respecting the scope of each specific mandate. </w:t>
      </w:r>
      <w:r>
        <w:t xml:space="preserve">The I.R. of </w:t>
      </w:r>
      <w:r w:rsidRPr="00AB72B0">
        <w:t>Iran</w:t>
      </w:r>
      <w:r w:rsidRPr="001866AC">
        <w:t xml:space="preserve"> therefore requests that its earlier request for a technical assessment be considered separately from the assessment mandated by Resolution 1436, through the appropriate ITU procedures.</w:t>
      </w:r>
    </w:p>
    <w:p w14:paraId="78A9C203" w14:textId="77777777" w:rsidR="00E7193E" w:rsidRPr="001866AC" w:rsidRDefault="00E7193E" w:rsidP="00E7193E">
      <w:pPr>
        <w:jc w:val="both"/>
      </w:pPr>
      <w:r w:rsidRPr="001866AC">
        <w:t>The assessment of damage should also consider the consequences for human life and the continuity of essential services. While the report refers to the postponement of meetings and other disruptions, the impact of damage to telecommunications/ICT infrastructure on emergency communications, public safety, healthcare, access to safety-related information and other essential services should also be duly considered. The protection of human life and the continuity of essential services are central considerations in assessing the humanitarian and societal impact of such damage.</w:t>
      </w:r>
    </w:p>
    <w:p w14:paraId="2384E7D3" w14:textId="77777777" w:rsidR="00E7193E" w:rsidRPr="001866AC" w:rsidRDefault="00E7193E" w:rsidP="00E7193E">
      <w:pPr>
        <w:jc w:val="both"/>
      </w:pPr>
      <w:r>
        <w:lastRenderedPageBreak/>
        <w:t xml:space="preserve">The I.R. of </w:t>
      </w:r>
      <w:r w:rsidRPr="00AB72B0">
        <w:t xml:space="preserve">Iran </w:t>
      </w:r>
      <w:r w:rsidRPr="001866AC">
        <w:t>also draws attention to the reported attack on the school in Minab and the resulting loss of civilian lives. The broader humanitarian consequences of the conflict, including effects on civilian communities and personnel performing essential public-service functions, should not be overlooked when considering the importance of protecting the infrastructure that supports public information, emergency communications and essential services.</w:t>
      </w:r>
    </w:p>
    <w:p w14:paraId="3CBE5182" w14:textId="77777777" w:rsidR="00E7193E" w:rsidRPr="001866AC" w:rsidRDefault="00E7193E" w:rsidP="00E7193E">
      <w:pPr>
        <w:jc w:val="both"/>
      </w:pPr>
      <w:r>
        <w:t xml:space="preserve">The I.R. of </w:t>
      </w:r>
      <w:r w:rsidRPr="00AB72B0">
        <w:t xml:space="preserve">Iran </w:t>
      </w:r>
      <w:r w:rsidRPr="001866AC">
        <w:t>further notes reported impacts on telecommunications personnel and postal workers, whose work is essential to maintaining public communications and the delivery of services during emergencies. The assessment of infrastructure damage and service disruption should also take account of rural and underserved communities, including connectivity in villages with more than 20 households and efforts to reduce the digital divide.</w:t>
      </w:r>
    </w:p>
    <w:p w14:paraId="6C49C97B" w14:textId="77777777" w:rsidR="00E7193E" w:rsidRPr="00AB72B0" w:rsidRDefault="00E7193E" w:rsidP="00E7193E">
      <w:pPr>
        <w:jc w:val="both"/>
        <w:rPr>
          <w:b/>
          <w:bCs/>
        </w:rPr>
      </w:pPr>
      <w:r w:rsidRPr="00AB72B0">
        <w:rPr>
          <w:b/>
          <w:bCs/>
        </w:rPr>
        <w:t xml:space="preserve">3. </w:t>
      </w:r>
      <w:r w:rsidRPr="001866AC">
        <w:rPr>
          <w:b/>
          <w:bCs/>
        </w:rPr>
        <w:t>Verification of Sources and Reported Information</w:t>
      </w:r>
    </w:p>
    <w:p w14:paraId="65C36B0B" w14:textId="77777777" w:rsidR="00E7193E" w:rsidRPr="001866AC" w:rsidRDefault="00E7193E" w:rsidP="00E7193E">
      <w:pPr>
        <w:jc w:val="both"/>
      </w:pPr>
      <w:r w:rsidRPr="00AB72B0">
        <w:t xml:space="preserve">The report explicitly states that it is based on "literature and desk review of publicly available information and data," and repeatedly refers to "media reports." </w:t>
      </w:r>
    </w:p>
    <w:p w14:paraId="14EE6C7A" w14:textId="77777777" w:rsidR="00E7193E" w:rsidRDefault="00E7193E" w:rsidP="00E7193E">
      <w:pPr>
        <w:jc w:val="both"/>
      </w:pPr>
      <w:r w:rsidRPr="001866AC">
        <w:t>Publicly available information and media reports may help identify incidents requiring further examination, but they should not substitute for technical verification. The report itself acknowledges that further data collection and analysis, including from primary sources, are required. The final assessment should distinguish clearly between reported incidents, information provided by interested parties, technically verified damage and findings that can be independently substantiated.</w:t>
      </w:r>
    </w:p>
    <w:p w14:paraId="19C431E1" w14:textId="77777777" w:rsidR="00E7193E" w:rsidRDefault="00E7193E" w:rsidP="00E7193E">
      <w:pPr>
        <w:jc w:val="both"/>
      </w:pPr>
      <w:r w:rsidRPr="001866AC">
        <w:t>The same evidentiary standards should be applied consistently to information within the scope of the assessment. Where information is incomplete, disputed or not independently verified, the report should state these limitations clearly and avoid presenting preliminary indications as established technical findings.</w:t>
      </w:r>
    </w:p>
    <w:p w14:paraId="16BA4900" w14:textId="77777777" w:rsidR="00E7193E" w:rsidRDefault="00E7193E" w:rsidP="00E7193E">
      <w:pPr>
        <w:jc w:val="both"/>
      </w:pPr>
      <w:r w:rsidRPr="00AB72B0">
        <w:rPr>
          <w:b/>
          <w:bCs/>
        </w:rPr>
        <w:t xml:space="preserve">4. </w:t>
      </w:r>
      <w:r w:rsidRPr="001866AC">
        <w:rPr>
          <w:b/>
          <w:bCs/>
        </w:rPr>
        <w:t>Technical Assessment of Damage, Without Attribution of Responsibility</w:t>
      </w:r>
    </w:p>
    <w:p w14:paraId="038F4AB0" w14:textId="77777777" w:rsidR="00E7193E" w:rsidRDefault="00E7193E" w:rsidP="00E7193E">
      <w:pPr>
        <w:jc w:val="both"/>
      </w:pPr>
      <w:r w:rsidRPr="001866AC">
        <w:t>The role of the ITU in this context should be confined to the objective, impartial and evidence-based technical assessment of damage to telecommunications/ICT infrastructure and the resulting impact on the provision of services. The assessment should document the nature, extent and consequences of the damage, distinguishing verified findings from reported incidents.</w:t>
      </w:r>
    </w:p>
    <w:p w14:paraId="2B30F291" w14:textId="77777777" w:rsidR="00E7193E" w:rsidRDefault="00E7193E" w:rsidP="00E7193E">
      <w:pPr>
        <w:jc w:val="both"/>
      </w:pPr>
      <w:r w:rsidRPr="001866AC">
        <w:t>The assessment should not seek to identify or accuse any State or other party as responsible for the damage, or make political or legal determinations concerning attribution of responsibility. It should remain focused on technical findings concerning damage and service impacts, in accordance with the applicable mandate and procedures of the Union.</w:t>
      </w:r>
    </w:p>
    <w:p w14:paraId="0FD67A19" w14:textId="77777777" w:rsidR="00E7193E" w:rsidRDefault="00E7193E" w:rsidP="00E7193E">
      <w:pPr>
        <w:jc w:val="both"/>
        <w:rPr>
          <w:b/>
          <w:bCs/>
        </w:rPr>
      </w:pPr>
      <w:r w:rsidRPr="00AB72B0">
        <w:rPr>
          <w:b/>
          <w:bCs/>
        </w:rPr>
        <w:t>5. The Right of</w:t>
      </w:r>
      <w:r>
        <w:rPr>
          <w:b/>
          <w:bCs/>
        </w:rPr>
        <w:t xml:space="preserve"> the Islamic Republic of </w:t>
      </w:r>
      <w:r w:rsidRPr="00AB72B0">
        <w:rPr>
          <w:b/>
          <w:bCs/>
        </w:rPr>
        <w:t>Iran to an Independent</w:t>
      </w:r>
      <w:r>
        <w:rPr>
          <w:b/>
          <w:bCs/>
        </w:rPr>
        <w:t xml:space="preserve"> Technical</w:t>
      </w:r>
      <w:r w:rsidRPr="00AB72B0">
        <w:rPr>
          <w:b/>
          <w:bCs/>
        </w:rPr>
        <w:t xml:space="preserve"> Assessment</w:t>
      </w:r>
    </w:p>
    <w:p w14:paraId="3216C742" w14:textId="77777777" w:rsidR="00E7193E" w:rsidRDefault="00E7193E" w:rsidP="00E7193E">
      <w:pPr>
        <w:jc w:val="both"/>
      </w:pPr>
      <w:r w:rsidRPr="00AB72B0">
        <w:t>The Islamic Republic of Iran, as a Member of the ITU, has the right to expect that the Union will</w:t>
      </w:r>
      <w:r>
        <w:t xml:space="preserve">: </w:t>
      </w:r>
    </w:p>
    <w:p w14:paraId="2EE6EEF7" w14:textId="77777777" w:rsidR="00E7193E" w:rsidRPr="008909FB" w:rsidRDefault="00E7193E" w:rsidP="00E7193E">
      <w:pPr>
        <w:ind w:left="720"/>
        <w:jc w:val="both"/>
      </w:pPr>
      <w:r w:rsidRPr="008909FB">
        <w:t xml:space="preserve">(a) Conduct an independent technical investigation into the damage inflicted upon Iran's ICT and radio/television infrastructure, including transmitting stations, </w:t>
      </w:r>
      <w:proofErr w:type="spellStart"/>
      <w:r w:rsidRPr="008909FB">
        <w:t>fiber</w:t>
      </w:r>
      <w:proofErr w:type="spellEnd"/>
      <w:r w:rsidRPr="008909FB">
        <w:t xml:space="preserve">-optic networks, data </w:t>
      </w:r>
      <w:proofErr w:type="spellStart"/>
      <w:r w:rsidRPr="008909FB">
        <w:t>centers</w:t>
      </w:r>
      <w:proofErr w:type="spellEnd"/>
      <w:r w:rsidRPr="008909FB">
        <w:t xml:space="preserve"> and broadcasting infrastructure;</w:t>
      </w:r>
    </w:p>
    <w:p w14:paraId="6C6A5836" w14:textId="77777777" w:rsidR="00E7193E" w:rsidRPr="008909FB" w:rsidRDefault="00E7193E" w:rsidP="00E7193E">
      <w:pPr>
        <w:ind w:left="720"/>
        <w:jc w:val="both"/>
      </w:pPr>
      <w:r w:rsidRPr="008909FB">
        <w:t xml:space="preserve">(b) </w:t>
      </w:r>
      <w:r w:rsidRPr="001866AC">
        <w:t>Assess, as appropriate, the number and types of affected telecommunications facilities, the extent of physical damage, impacts on service availability and resilience, consequences for affected communities and essential public services, and measures required for recovery and resilient reconstruction;</w:t>
      </w:r>
    </w:p>
    <w:p w14:paraId="46C711B1" w14:textId="77777777" w:rsidR="00E7193E" w:rsidRPr="008909FB" w:rsidRDefault="00E7193E" w:rsidP="00E7193E">
      <w:pPr>
        <w:ind w:left="720"/>
        <w:jc w:val="both"/>
      </w:pPr>
      <w:r w:rsidRPr="008909FB">
        <w:t xml:space="preserve">(c) </w:t>
      </w:r>
      <w:r w:rsidRPr="001866AC">
        <w:t>Submit the findings to the appropriate ITU body through the applicable procedure;</w:t>
      </w:r>
    </w:p>
    <w:p w14:paraId="5DFE99BA" w14:textId="77777777" w:rsidR="00E7193E" w:rsidRPr="008909FB" w:rsidRDefault="00E7193E" w:rsidP="00E7193E">
      <w:pPr>
        <w:ind w:left="720"/>
        <w:jc w:val="both"/>
      </w:pPr>
      <w:r w:rsidRPr="008909FB">
        <w:lastRenderedPageBreak/>
        <w:t xml:space="preserve">(d) </w:t>
      </w:r>
      <w:r w:rsidRPr="001866AC">
        <w:t>Apply transparent and consistent criteria when determining the scope of the assessment and the treatment of information received from affected Member States;</w:t>
      </w:r>
    </w:p>
    <w:p w14:paraId="0B5C5A07" w14:textId="77777777" w:rsidR="00E7193E" w:rsidRPr="008909FB" w:rsidRDefault="00E7193E" w:rsidP="00E7193E">
      <w:pPr>
        <w:ind w:left="720"/>
        <w:jc w:val="both"/>
      </w:pPr>
      <w:r w:rsidRPr="008909FB">
        <w:t xml:space="preserve">(e) </w:t>
      </w:r>
      <w:r w:rsidRPr="001866AC">
        <w:t>Ensure that the assessment is conducted objectively, independently and without discrimination.</w:t>
      </w:r>
    </w:p>
    <w:p w14:paraId="70F66FC5" w14:textId="77777777" w:rsidR="00E7193E" w:rsidRDefault="00E7193E" w:rsidP="00E7193E">
      <w:pPr>
        <w:jc w:val="both"/>
      </w:pPr>
      <w:r w:rsidRPr="00AB72B0">
        <w:rPr>
          <w:b/>
          <w:bCs/>
        </w:rPr>
        <w:t>6. Request</w:t>
      </w:r>
    </w:p>
    <w:p w14:paraId="392ABF5E" w14:textId="77777777" w:rsidR="00E7193E" w:rsidRDefault="00E7193E" w:rsidP="00E7193E">
      <w:pPr>
        <w:jc w:val="both"/>
      </w:pPr>
      <w:r>
        <w:t xml:space="preserve">The I.R. of Iran </w:t>
      </w:r>
      <w:r w:rsidRPr="0004727A">
        <w:t xml:space="preserve">recalls that it previously addressed a request to the Secretary-General concerning the consequences of the conflict for its telecommunications/ICT infrastructure, with reference to Article 1 of the ITU Constitution and Resolution 34. </w:t>
      </w:r>
      <w:r>
        <w:t>The I.R. of Iran</w:t>
      </w:r>
      <w:r w:rsidRPr="0004727A">
        <w:t xml:space="preserve"> has not yet received a corresponding technical assessment or a substantive response clarifying the status and follow-up of that request.</w:t>
      </w:r>
    </w:p>
    <w:p w14:paraId="37FC5B15" w14:textId="77777777" w:rsidR="00E7193E" w:rsidRDefault="00E7193E" w:rsidP="00E7193E">
      <w:pPr>
        <w:jc w:val="both"/>
      </w:pPr>
      <w:r>
        <w:t>The I.R. of Iran</w:t>
      </w:r>
      <w:r w:rsidRPr="0004727A">
        <w:t xml:space="preserve"> has expressed its readiness to cover the costs associated with the requested technical assessment. It therefore requests the Secretary-General to clarify the status of the earlier request, the reasons why the assessment has not yet been initiated, and the practical steps and indicative timeline for its consideration. Iran stands ready to cooperate with the Union and to provide relevant information and technical documentation through the appropriate channels.</w:t>
      </w:r>
    </w:p>
    <w:p w14:paraId="673EF79D" w14:textId="77777777" w:rsidR="00E7193E" w:rsidRDefault="00E7193E" w:rsidP="00E7193E">
      <w:pPr>
        <w:jc w:val="both"/>
      </w:pPr>
      <w:r w:rsidRPr="00AB72B0">
        <w:t>The I</w:t>
      </w:r>
      <w:r>
        <w:t>.</w:t>
      </w:r>
      <w:r w:rsidRPr="00AB72B0">
        <w:t xml:space="preserve"> R</w:t>
      </w:r>
      <w:r>
        <w:t>.</w:t>
      </w:r>
      <w:r w:rsidRPr="00AB72B0">
        <w:t xml:space="preserve"> of Iran respectfully requests the Secretary-General to:</w:t>
      </w:r>
    </w:p>
    <w:p w14:paraId="75AE2AB5" w14:textId="77777777" w:rsidR="00E7193E" w:rsidRPr="0045539A" w:rsidRDefault="00E7193E" w:rsidP="00E7193E">
      <w:pPr>
        <w:pStyle w:val="ListParagraph"/>
      </w:pPr>
      <w:r w:rsidRPr="0045539A">
        <w:t>(a) Provide a substantive response on the status of Iran’s earlier request for a technical assessment of damage to its civilian telecommunications/ICT and broadcasting infrastructure, including the reasons why the assessment has not yet been initiated, the applicable procedure, the practical steps and indicative timeline for its consideration, and taking into account Iran’s readiness to cover the associated costs;</w:t>
      </w:r>
    </w:p>
    <w:p w14:paraId="35A95871" w14:textId="77777777" w:rsidR="00E7193E" w:rsidRPr="0045539A" w:rsidRDefault="00E7193E" w:rsidP="00E7193E">
      <w:pPr>
        <w:pStyle w:val="ListParagraph"/>
      </w:pPr>
      <w:r w:rsidRPr="0045539A">
        <w:t>(b) Clarify the applicable procedure, practical steps and indicative timeline for considering and, as appropriate, initiating the requested independent technical assessment of Iran’s infrastructure;</w:t>
      </w:r>
    </w:p>
    <w:p w14:paraId="3CB2B61A" w14:textId="77777777" w:rsidR="00E7193E" w:rsidRPr="0045539A" w:rsidRDefault="00E7193E" w:rsidP="00E7193E">
      <w:pPr>
        <w:pStyle w:val="ListParagraph"/>
      </w:pPr>
      <w:r w:rsidRPr="0045539A">
        <w:t>(c) Ensure that publicly reported information is appropriately verified, that its evidentiary status and limitations are clearly indicated, and that consistent technical standards are applied to information considered in the assessment;</w:t>
      </w:r>
    </w:p>
    <w:p w14:paraId="2F00CF20" w14:textId="77777777" w:rsidR="00E7193E" w:rsidRPr="0045539A" w:rsidRDefault="00E7193E" w:rsidP="00E7193E">
      <w:pPr>
        <w:pStyle w:val="ListParagraph"/>
      </w:pPr>
      <w:r w:rsidRPr="0045539A">
        <w:t>(d) Ensure that the assessment of infrastructure damage and service disruption duly considers impacts on human life, public safety, emergency communications, healthcare and the continuity of other essential services, including in rural and underserved areas;</w:t>
      </w:r>
    </w:p>
    <w:p w14:paraId="4D16C3A2" w14:textId="77777777" w:rsidR="00E7193E" w:rsidRPr="0045539A" w:rsidRDefault="00E7193E" w:rsidP="00E7193E">
      <w:pPr>
        <w:ind w:left="720"/>
      </w:pPr>
      <w:r w:rsidRPr="0045539A">
        <w:t>(e) Take due account, as appropriate, of the reported impacts on civilian communities and on telecommunications and postal personnel, including the consequences for connectivity and efforts to bridge the digital divide.</w:t>
      </w:r>
    </w:p>
    <w:p w14:paraId="7D5C02DA" w14:textId="77777777" w:rsidR="00E7193E" w:rsidRPr="00AB72B0" w:rsidRDefault="00E7193E" w:rsidP="00E7193E">
      <w:pPr>
        <w:jc w:val="both"/>
        <w:rPr>
          <w:b/>
          <w:bCs/>
        </w:rPr>
      </w:pPr>
      <w:r w:rsidRPr="00AB72B0">
        <w:rPr>
          <w:b/>
          <w:bCs/>
        </w:rPr>
        <w:t>7.</w:t>
      </w:r>
      <w:r>
        <w:rPr>
          <w:b/>
          <w:bCs/>
        </w:rPr>
        <w:t xml:space="preserve"> </w:t>
      </w:r>
      <w:r w:rsidRPr="00AB72B0">
        <w:rPr>
          <w:b/>
          <w:bCs/>
        </w:rPr>
        <w:t>Conclusion</w:t>
      </w:r>
    </w:p>
    <w:p w14:paraId="4DE65FB4" w14:textId="77777777" w:rsidR="00E7193E" w:rsidRDefault="00E7193E" w:rsidP="00E7193E">
      <w:pPr>
        <w:jc w:val="both"/>
      </w:pPr>
      <w:r w:rsidRPr="0045539A">
        <w:t>Document PP26/70-E is an interim report whose stated methodology relies primarily on publicly available information and acknowledges the need for further primary-source data collection and analysis. The final report should provide an objective, impartial and evidence-based technical assessment of damage to telecommunications/ICT infrastructure and the resulting impact on services, clearly distinguishing verified findings from reported incidents and acknowledging the limitations of the available information. The role of the ITU in this context should remain focused on the technical assessment of damage and its consequences, without seeking to attribute responsibility to, or accuse, any State or other party.</w:t>
      </w:r>
    </w:p>
    <w:p w14:paraId="19F255A2" w14:textId="77777777" w:rsidR="00E7193E" w:rsidRPr="007E2939" w:rsidRDefault="00E7193E" w:rsidP="00E7193E">
      <w:pPr>
        <w:jc w:val="both"/>
      </w:pPr>
      <w:r w:rsidRPr="007E2939">
        <w:lastRenderedPageBreak/>
        <w:t>These comments should be considered in conjunction with the proposals submitted by the I. R. of Iran to the Plenipotentiary Conference 2026 concerning “A</w:t>
      </w:r>
      <w:r>
        <w:t>ssistance</w:t>
      </w:r>
      <w:r w:rsidRPr="007E2939">
        <w:t xml:space="preserve"> </w:t>
      </w:r>
      <w:r>
        <w:t>and</w:t>
      </w:r>
      <w:r w:rsidRPr="007E2939">
        <w:t xml:space="preserve"> S</w:t>
      </w:r>
      <w:r>
        <w:t>upport</w:t>
      </w:r>
      <w:r w:rsidRPr="007E2939">
        <w:t xml:space="preserve"> </w:t>
      </w:r>
      <w:r>
        <w:t>to the</w:t>
      </w:r>
      <w:r w:rsidRPr="007E2939">
        <w:t xml:space="preserve"> I</w:t>
      </w:r>
      <w:r>
        <w:t>slamic</w:t>
      </w:r>
      <w:r w:rsidRPr="007E2939">
        <w:t xml:space="preserve"> R</w:t>
      </w:r>
      <w:r>
        <w:t>epublic</w:t>
      </w:r>
      <w:r w:rsidRPr="007E2939">
        <w:t xml:space="preserve"> </w:t>
      </w:r>
      <w:r>
        <w:t>of</w:t>
      </w:r>
      <w:r w:rsidRPr="007E2939">
        <w:t xml:space="preserve"> I</w:t>
      </w:r>
      <w:r>
        <w:t>ran</w:t>
      </w:r>
      <w:r w:rsidRPr="007E2939">
        <w:t xml:space="preserve"> </w:t>
      </w:r>
      <w:r>
        <w:t>for the</w:t>
      </w:r>
      <w:r w:rsidRPr="007E2939">
        <w:t xml:space="preserve"> R</w:t>
      </w:r>
      <w:r>
        <w:t>ecovery</w:t>
      </w:r>
      <w:r w:rsidRPr="007E2939">
        <w:t xml:space="preserve"> </w:t>
      </w:r>
      <w:r>
        <w:t>and</w:t>
      </w:r>
      <w:r w:rsidRPr="007E2939">
        <w:t xml:space="preserve"> R</w:t>
      </w:r>
      <w:r>
        <w:t>esilient</w:t>
      </w:r>
      <w:r w:rsidRPr="007E2939">
        <w:t xml:space="preserve"> R</w:t>
      </w:r>
      <w:r>
        <w:t>econstruction</w:t>
      </w:r>
      <w:r w:rsidRPr="007E2939">
        <w:t xml:space="preserve"> </w:t>
      </w:r>
      <w:r>
        <w:t>of its</w:t>
      </w:r>
      <w:r w:rsidRPr="007E2939">
        <w:t xml:space="preserve"> C</w:t>
      </w:r>
      <w:r>
        <w:t>ivilian</w:t>
      </w:r>
      <w:r w:rsidRPr="007E2939">
        <w:t xml:space="preserve"> B</w:t>
      </w:r>
      <w:r>
        <w:t xml:space="preserve">roadcasting and </w:t>
      </w:r>
      <w:r w:rsidRPr="007E2939">
        <w:t>Telecommunication</w:t>
      </w:r>
      <w:r>
        <w:t xml:space="preserve">/ICT </w:t>
      </w:r>
      <w:r w:rsidRPr="007E2939">
        <w:t>I</w:t>
      </w:r>
      <w:r>
        <w:t>nfrastructure</w:t>
      </w:r>
      <w:r w:rsidRPr="007E2939">
        <w:t xml:space="preserve">” and </w:t>
      </w:r>
      <w:r>
        <w:t>“</w:t>
      </w:r>
      <w:r w:rsidRPr="007E2939">
        <w:t>Protection of civilian telecommunication/ICT infrastructure in situations of armed conflict</w:t>
      </w:r>
      <w:r>
        <w:t>”</w:t>
      </w:r>
      <w:r w:rsidRPr="007E2939">
        <w:t>. These proposals address complementary aspects of protecting civilian infrastructure and responding to the consequences of damage, while respecting the scope of the respective mandates and procedures of the Union.</w:t>
      </w:r>
    </w:p>
    <w:p w14:paraId="00CBE825" w14:textId="77777777" w:rsidR="00E7193E" w:rsidRDefault="00E7193E" w:rsidP="00E7193E">
      <w:pPr>
        <w:jc w:val="both"/>
      </w:pPr>
      <w:r w:rsidRPr="0045539A">
        <w:t xml:space="preserve">In this regard, </w:t>
      </w:r>
      <w:r>
        <w:t xml:space="preserve">the I.R. of </w:t>
      </w:r>
      <w:r w:rsidRPr="0045539A">
        <w:t xml:space="preserve">Iran requests substantive follow-up to its earlier request to the Secretary-General for a technical assessment of the damage reported to its civilian telecommunications/ICT and broadcasting infrastructure. Such follow-up should clarify the status of the request, the applicable procedure, the reasons why the assessment has not yet been initiated, and the practical steps and indicative timeline for its consideration. </w:t>
      </w:r>
      <w:r>
        <w:t xml:space="preserve">The I.R. of </w:t>
      </w:r>
      <w:r w:rsidRPr="0045539A">
        <w:t>Iran stands ready to cooperate with the Secretary-General and the relevant ITU bodies and to provide the necessary technical information through the appropriate channels.</w:t>
      </w:r>
    </w:p>
    <w:p w14:paraId="29958113" w14:textId="77777777" w:rsidR="00E7193E" w:rsidRDefault="00E7193E" w:rsidP="00E7193E">
      <w:pPr>
        <w:jc w:val="both"/>
      </w:pPr>
      <w:r>
        <w:t xml:space="preserve">The I.R. of </w:t>
      </w:r>
      <w:r w:rsidRPr="0045539A">
        <w:t xml:space="preserve">Iran emphasizes that technical assessments of damage should be conducted objectively and without discrimination, with due consideration given to the consequences for human life, public safety, essential services and connectivity, including in rural and underserved areas. </w:t>
      </w:r>
    </w:p>
    <w:p w14:paraId="67858121" w14:textId="77777777" w:rsidR="00E7193E" w:rsidRDefault="00E7193E" w:rsidP="00E7193E">
      <w:pPr>
        <w:jc w:val="both"/>
      </w:pPr>
      <w:r>
        <w:t xml:space="preserve">The I.R. of </w:t>
      </w:r>
      <w:r w:rsidRPr="0045539A">
        <w:t>Iran looks forward to the completion of the report through a transparent and technically sound process, consistent with the applicable mandates and procedures of the Union.</w:t>
      </w:r>
    </w:p>
    <w:p w14:paraId="07B7C26B" w14:textId="77777777" w:rsidR="00E7193E" w:rsidRDefault="00E7193E" w:rsidP="00E7193E">
      <w:pPr>
        <w:jc w:val="center"/>
      </w:pPr>
      <w:r>
        <w:t>______________</w:t>
      </w:r>
    </w:p>
    <w:sectPr w:rsidR="00E7193E" w:rsidSect="00361097">
      <w:headerReference w:type="default" r:id="rId12"/>
      <w:footerReference w:type="first" r:id="rId13"/>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C79C4" w14:textId="77777777" w:rsidR="00FF3B05" w:rsidRDefault="00FF3B05">
      <w:r>
        <w:separator/>
      </w:r>
    </w:p>
  </w:endnote>
  <w:endnote w:type="continuationSeparator" w:id="0">
    <w:p w14:paraId="1BEDB245" w14:textId="77777777" w:rsidR="00FF3B05" w:rsidRDefault="00FF3B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42C3CE" w14:textId="77777777"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E1AD8" w14:textId="77777777" w:rsidR="00FF3B05" w:rsidRDefault="00FF3B05">
      <w:r>
        <w:t>____________________</w:t>
      </w:r>
    </w:p>
  </w:footnote>
  <w:footnote w:type="continuationSeparator" w:id="0">
    <w:p w14:paraId="2D526CA6" w14:textId="77777777" w:rsidR="00FF3B05" w:rsidRDefault="00FF3B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87C7F" w14:textId="77777777" w:rsidR="000507C1" w:rsidRDefault="000507C1" w:rsidP="00CE1B90">
    <w:pPr>
      <w:pStyle w:val="Header"/>
    </w:pPr>
    <w:r>
      <w:fldChar w:fldCharType="begin"/>
    </w:r>
    <w:r>
      <w:instrText xml:space="preserve"> PAGE   \* MERGEFORMAT </w:instrText>
    </w:r>
    <w:r>
      <w:fldChar w:fldCharType="separate"/>
    </w:r>
    <w:r w:rsidR="004B3F04">
      <w:rPr>
        <w:noProof/>
      </w:rPr>
      <w:t>5</w:t>
    </w:r>
    <w:r>
      <w:fldChar w:fldCharType="end"/>
    </w:r>
  </w:p>
  <w:p w14:paraId="0DBCECDB" w14:textId="77777777" w:rsidR="00CE1B90" w:rsidRDefault="00CE1B90" w:rsidP="004F7925">
    <w:pPr>
      <w:pStyle w:val="Header"/>
    </w:pPr>
    <w:r>
      <w:t>PP</w:t>
    </w:r>
    <w:r w:rsidR="000235EC">
      <w:t>2</w:t>
    </w:r>
    <w:r w:rsidR="00EF3B7A">
      <w:t>6</w:t>
    </w:r>
    <w:r>
      <w:t>/5547-E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851714"/>
    <w:multiLevelType w:val="multilevel"/>
    <w:tmpl w:val="249CB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25319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D3085"/>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177EA"/>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E5CF5"/>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B3F04"/>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6E0D"/>
    <w:rsid w:val="00627DF4"/>
    <w:rsid w:val="006404B0"/>
    <w:rsid w:val="0066499C"/>
    <w:rsid w:val="00676BE2"/>
    <w:rsid w:val="00676E68"/>
    <w:rsid w:val="006A7108"/>
    <w:rsid w:val="006B2035"/>
    <w:rsid w:val="006B40DA"/>
    <w:rsid w:val="006C5D5D"/>
    <w:rsid w:val="006E215D"/>
    <w:rsid w:val="006E51DF"/>
    <w:rsid w:val="006E57C8"/>
    <w:rsid w:val="006E70E1"/>
    <w:rsid w:val="006F565E"/>
    <w:rsid w:val="006F794B"/>
    <w:rsid w:val="00701ABB"/>
    <w:rsid w:val="00711035"/>
    <w:rsid w:val="007130ED"/>
    <w:rsid w:val="007140CF"/>
    <w:rsid w:val="0071582A"/>
    <w:rsid w:val="0072101B"/>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56AC"/>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6F02"/>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40FB1"/>
    <w:rsid w:val="00A45C25"/>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3164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193E"/>
    <w:rsid w:val="00E726DE"/>
    <w:rsid w:val="00E844D5"/>
    <w:rsid w:val="00E86536"/>
    <w:rsid w:val="00E871C2"/>
    <w:rsid w:val="00EA0657"/>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5DA5"/>
    <w:rsid w:val="00F902F0"/>
    <w:rsid w:val="00F94BC2"/>
    <w:rsid w:val="00F95ABE"/>
    <w:rsid w:val="00F9756D"/>
    <w:rsid w:val="00FB5F12"/>
    <w:rsid w:val="00FC5117"/>
    <w:rsid w:val="00FD417F"/>
    <w:rsid w:val="00FD7255"/>
    <w:rsid w:val="00FD7B1D"/>
    <w:rsid w:val="00FE1E22"/>
    <w:rsid w:val="00FF04D6"/>
    <w:rsid w:val="00FF3B0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4C2358"/>
  <w15:docId w15:val="{DF4C2CBE-CF73-4EC3-B51F-FF35F8541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customStyle="1" w:styleId="UnresolvedMention1">
    <w:name w:val="Unresolved Mention1"/>
    <w:basedOn w:val="DefaultParagraphFont"/>
    <w:uiPriority w:val="99"/>
    <w:semiHidden/>
    <w:unhideWhenUsed/>
    <w:rsid w:val="00D75620"/>
    <w:rPr>
      <w:color w:val="605E5C"/>
      <w:shd w:val="clear" w:color="auto" w:fill="E1DFDD"/>
    </w:rPr>
  </w:style>
  <w:style w:type="paragraph" w:styleId="ListParagraph">
    <w:name w:val="List Paragraph"/>
    <w:basedOn w:val="Normal"/>
    <w:uiPriority w:val="34"/>
    <w:qFormat/>
    <w:rsid w:val="00E7193E"/>
    <w:pPr>
      <w:tabs>
        <w:tab w:val="clear" w:pos="567"/>
        <w:tab w:val="clear" w:pos="1134"/>
        <w:tab w:val="clear" w:pos="1701"/>
        <w:tab w:val="clear" w:pos="2268"/>
        <w:tab w:val="clear" w:pos="2835"/>
      </w:tabs>
      <w:overflowPunct/>
      <w:autoSpaceDE/>
      <w:autoSpaceDN/>
      <w:adjustRightInd/>
      <w:spacing w:before="0" w:after="160" w:line="278" w:lineRule="auto"/>
      <w:ind w:left="720"/>
      <w:contextualSpacing/>
      <w:textAlignment w:val="auto"/>
    </w:pPr>
    <w:rPr>
      <w:rFonts w:asciiTheme="minorHAnsi" w:eastAsiaTheme="minorHAnsi" w:hAnsiTheme="minorHAnsi" w:cstheme="minorBidi"/>
      <w:kern w:val="2"/>
      <w:szCs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dc5f4597-23c4-4169-8205-76c12bdd62f4">Conference Proposals Interface (CPI)</DPM_x0020_Author>
    <DPM_x0020_File_x0020_name xmlns="dc5f4597-23c4-4169-8205-76c12bdd62f4">S26-PP-C-5547!!MSW-E</DPM_x0020_File_x0020_name>
    <DPM_x0020_Version xmlns="dc5f4597-23c4-4169-8205-76c12bdd62f4">CPI_2025.10.23.1</DPM_x0020_Versi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2.xml><?xml version="1.0" encoding="utf-8"?>
<ds:datastoreItem xmlns:ds="http://schemas.openxmlformats.org/officeDocument/2006/customXml" ds:itemID="{F3DB7F6E-42F9-4B1C-96FB-16EBEED60090}">
  <ds:schemaRefs>
    <ds:schemaRef ds:uri="http://schemas.microsoft.com/sharepoint/v3/contenttype/forms"/>
  </ds:schemaRefs>
</ds:datastoreItem>
</file>

<file path=customXml/itemProps3.xml><?xml version="1.0" encoding="utf-8"?>
<ds:datastoreItem xmlns:ds="http://schemas.openxmlformats.org/officeDocument/2006/customXml" ds:itemID="{3705A69B-69F1-48A3-A72D-CF60FA4DF4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5</Pages>
  <Words>2051</Words>
  <Characters>11855</Characters>
  <Application>Microsoft Office Word</Application>
  <DocSecurity>0</DocSecurity>
  <Lines>219</Lines>
  <Paragraphs>95</Paragraphs>
  <ScaleCrop>false</ScaleCrop>
  <HeadingPairs>
    <vt:vector size="2" baseType="variant">
      <vt:variant>
        <vt:lpstr>Title</vt:lpstr>
      </vt:variant>
      <vt:variant>
        <vt:i4>1</vt:i4>
      </vt:variant>
    </vt:vector>
  </HeadingPairs>
  <TitlesOfParts>
    <vt:vector size="1" baseType="lpstr">
      <vt:lpstr>S26-PP-C-5547!!MSW-E</vt:lpstr>
    </vt:vector>
  </TitlesOfParts>
  <Company/>
  <LinksUpToDate>false</LinksUpToDate>
  <CharactersWithSpaces>13811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S26-PP-C-5547!!MSW-E</dc:title>
  <dc:subject>ITU Plenipotentiary Conference (PP-26)</dc:subject>
  <dc:creator>GBS</dc:creator>
  <cp:keywords>CPI_2025.10.23.1</cp:keywords>
  <cp:lastModifiedBy>GBS-3</cp:lastModifiedBy>
  <cp:revision>4</cp:revision>
  <dcterms:created xsi:type="dcterms:W3CDTF">2026-10-17T14:47:00Z</dcterms:created>
  <dcterms:modified xsi:type="dcterms:W3CDTF">2026-10-22T09:17:00Z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