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BF32F2" w:rsidRPr="004A5CFA" w14:paraId="51481B1B" w14:textId="77777777" w:rsidTr="005A329F">
        <w:trPr>
          <w:cantSplit/>
          <w:jc w:val="center"/>
        </w:trPr>
        <w:tc>
          <w:tcPr>
            <w:tcW w:w="10031" w:type="dxa"/>
            <w:gridSpan w:val="2"/>
            <w:tcMar>
              <w:left w:w="0" w:type="dxa"/>
              <w:right w:w="0" w:type="dxa"/>
            </w:tcMar>
            <w:vAlign w:val="center"/>
          </w:tcPr>
          <w:p w14:paraId="6A120B4B" w14:textId="77777777" w:rsidR="00BF32F2" w:rsidRPr="004A5CFA" w:rsidRDefault="00BF32F2" w:rsidP="00BF32F2">
            <w:pPr>
              <w:spacing w:before="0" w:line="240" w:lineRule="atLeast"/>
              <w:rPr>
                <w:rFonts w:cstheme="minorHAnsi"/>
              </w:rPr>
            </w:pPr>
            <w:bookmarkStart w:id="0" w:name="ditulogo"/>
            <w:bookmarkEnd w:id="0"/>
            <w:r w:rsidRPr="004A5CFA">
              <w:rPr>
                <w:rFonts w:cstheme="minorHAnsi"/>
              </w:rPr>
              <w:drawing>
                <wp:anchor distT="0" distB="0" distL="0" distR="0" simplePos="0" relativeHeight="251658240" behindDoc="1" locked="0" layoutInCell="1" allowOverlap="1" wp14:anchorId="5C27AE8C" wp14:editId="79601A0E">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7045" y="16094"/>
                      <wp:lineTo x="19206" y="15247"/>
                      <wp:lineTo x="19144" y="7200"/>
                      <wp:lineTo x="16921" y="6353"/>
                      <wp:lineTo x="432" y="1694"/>
                      <wp:lineTo x="124" y="1694"/>
                    </wp:wrapPolygon>
                  </wp:wrapTight>
                  <wp:docPr id="13302119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211939" name="Picture 1" descr="A black background with a black square&#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77985" w:rsidRPr="004A5CFA" w14:paraId="2493D8D3" w14:textId="77777777" w:rsidTr="005A329F">
        <w:trPr>
          <w:cantSplit/>
          <w:trHeight w:val="283"/>
          <w:jc w:val="center"/>
        </w:trPr>
        <w:tc>
          <w:tcPr>
            <w:tcW w:w="10031" w:type="dxa"/>
            <w:gridSpan w:val="2"/>
            <w:tcBorders>
              <w:bottom w:val="single" w:sz="12" w:space="0" w:color="71716F"/>
            </w:tcBorders>
          </w:tcPr>
          <w:p w14:paraId="5644B300" w14:textId="77777777" w:rsidR="00277985" w:rsidRPr="004A5CFA" w:rsidRDefault="00277985" w:rsidP="00BF32F2">
            <w:pPr>
              <w:spacing w:before="0" w:line="240" w:lineRule="atLeast"/>
              <w:rPr>
                <w:rFonts w:cstheme="minorHAnsi"/>
                <w:b/>
                <w:smallCaps/>
                <w:szCs w:val="24"/>
              </w:rPr>
            </w:pPr>
            <w:bookmarkStart w:id="1" w:name="dhead"/>
          </w:p>
        </w:tc>
      </w:tr>
      <w:tr w:rsidR="00255FA1" w:rsidRPr="004A5CFA" w14:paraId="1908121B" w14:textId="77777777" w:rsidTr="005A329F">
        <w:trPr>
          <w:cantSplit/>
          <w:trHeight w:val="255"/>
          <w:jc w:val="center"/>
        </w:trPr>
        <w:tc>
          <w:tcPr>
            <w:tcW w:w="7229" w:type="dxa"/>
            <w:tcBorders>
              <w:top w:val="single" w:sz="12" w:space="0" w:color="71716F"/>
            </w:tcBorders>
          </w:tcPr>
          <w:p w14:paraId="56F1D79D" w14:textId="77777777" w:rsidR="00255FA1" w:rsidRPr="004A5CFA" w:rsidRDefault="00255FA1" w:rsidP="00BF32F2">
            <w:pPr>
              <w:spacing w:before="0"/>
              <w:ind w:firstLine="720"/>
              <w:rPr>
                <w:rFonts w:cstheme="minorHAnsi"/>
                <w:b/>
                <w:smallCaps/>
                <w:szCs w:val="24"/>
              </w:rPr>
            </w:pPr>
          </w:p>
        </w:tc>
        <w:tc>
          <w:tcPr>
            <w:tcW w:w="2802" w:type="dxa"/>
            <w:tcBorders>
              <w:top w:val="single" w:sz="12" w:space="0" w:color="71716F"/>
            </w:tcBorders>
          </w:tcPr>
          <w:p w14:paraId="16E98E62" w14:textId="77777777" w:rsidR="00255FA1" w:rsidRPr="004A5CFA" w:rsidRDefault="00255FA1" w:rsidP="00BF32F2">
            <w:pPr>
              <w:spacing w:before="0"/>
              <w:rPr>
                <w:rFonts w:cstheme="minorHAnsi"/>
                <w:szCs w:val="24"/>
              </w:rPr>
            </w:pPr>
          </w:p>
        </w:tc>
      </w:tr>
      <w:tr w:rsidR="00255FA1" w:rsidRPr="004A5CFA" w14:paraId="16F95CB8" w14:textId="77777777" w:rsidTr="005A329F">
        <w:trPr>
          <w:cantSplit/>
          <w:jc w:val="center"/>
        </w:trPr>
        <w:tc>
          <w:tcPr>
            <w:tcW w:w="7229" w:type="dxa"/>
          </w:tcPr>
          <w:p w14:paraId="65AB5ABE" w14:textId="77777777" w:rsidR="00255FA1" w:rsidRPr="004A5CFA" w:rsidRDefault="00255FA1" w:rsidP="003B5DC9">
            <w:pPr>
              <w:pStyle w:val="Committee"/>
              <w:framePr w:hSpace="0" w:wrap="auto" w:hAnchor="text" w:yAlign="inline"/>
              <w:spacing w:after="0" w:line="240" w:lineRule="auto"/>
              <w:rPr>
                <w:lang w:val="es-ES_tradnl"/>
              </w:rPr>
            </w:pPr>
            <w:r w:rsidRPr="004A5CFA">
              <w:rPr>
                <w:lang w:val="es-ES_tradnl"/>
              </w:rPr>
              <w:t>SESIÓN PLENARIA</w:t>
            </w:r>
          </w:p>
        </w:tc>
        <w:tc>
          <w:tcPr>
            <w:tcW w:w="2802" w:type="dxa"/>
          </w:tcPr>
          <w:p w14:paraId="79C5090E" w14:textId="77777777" w:rsidR="00255FA1" w:rsidRPr="004A5CFA" w:rsidRDefault="00255FA1" w:rsidP="003B5DC9">
            <w:pPr>
              <w:spacing w:before="0"/>
              <w:rPr>
                <w:rFonts w:cstheme="minorHAnsi"/>
                <w:szCs w:val="24"/>
              </w:rPr>
            </w:pPr>
            <w:r w:rsidRPr="004A5CFA">
              <w:rPr>
                <w:rFonts w:cstheme="minorHAnsi"/>
                <w:b/>
                <w:szCs w:val="24"/>
              </w:rPr>
              <w:t>Documento 35</w:t>
            </w:r>
            <w:r w:rsidR="00262FF4" w:rsidRPr="004A5CFA">
              <w:rPr>
                <w:rFonts w:cstheme="minorHAnsi"/>
                <w:b/>
                <w:szCs w:val="24"/>
              </w:rPr>
              <w:t>-S</w:t>
            </w:r>
          </w:p>
        </w:tc>
      </w:tr>
      <w:tr w:rsidR="00255FA1" w:rsidRPr="004A5CFA" w14:paraId="60FE22B8" w14:textId="77777777" w:rsidTr="005A329F">
        <w:trPr>
          <w:cantSplit/>
          <w:jc w:val="center"/>
        </w:trPr>
        <w:tc>
          <w:tcPr>
            <w:tcW w:w="7229" w:type="dxa"/>
          </w:tcPr>
          <w:p w14:paraId="7766B16B" w14:textId="77777777" w:rsidR="00255FA1" w:rsidRPr="004A5CFA" w:rsidRDefault="00255FA1" w:rsidP="003B5DC9">
            <w:pPr>
              <w:spacing w:before="0"/>
              <w:rPr>
                <w:rFonts w:cstheme="minorHAnsi"/>
                <w:b/>
                <w:szCs w:val="24"/>
              </w:rPr>
            </w:pPr>
          </w:p>
        </w:tc>
        <w:tc>
          <w:tcPr>
            <w:tcW w:w="2802" w:type="dxa"/>
          </w:tcPr>
          <w:p w14:paraId="39B14703" w14:textId="77777777" w:rsidR="00255FA1" w:rsidRPr="004A5CFA" w:rsidRDefault="00255FA1" w:rsidP="003B5DC9">
            <w:pPr>
              <w:spacing w:before="0"/>
              <w:rPr>
                <w:rFonts w:cstheme="minorHAnsi"/>
                <w:b/>
                <w:szCs w:val="24"/>
              </w:rPr>
            </w:pPr>
            <w:r w:rsidRPr="004A5CFA">
              <w:rPr>
                <w:rFonts w:cstheme="minorHAnsi"/>
                <w:b/>
                <w:szCs w:val="24"/>
              </w:rPr>
              <w:t>9 de julio de 2026</w:t>
            </w:r>
          </w:p>
        </w:tc>
      </w:tr>
      <w:tr w:rsidR="00255FA1" w:rsidRPr="004A5CFA" w14:paraId="79ECC072" w14:textId="77777777" w:rsidTr="005A329F">
        <w:trPr>
          <w:cantSplit/>
          <w:jc w:val="center"/>
        </w:trPr>
        <w:tc>
          <w:tcPr>
            <w:tcW w:w="7229" w:type="dxa"/>
          </w:tcPr>
          <w:p w14:paraId="1086C483" w14:textId="77777777" w:rsidR="00255FA1" w:rsidRPr="004A5CFA" w:rsidRDefault="00255FA1" w:rsidP="003B5DC9">
            <w:pPr>
              <w:spacing w:before="0"/>
              <w:rPr>
                <w:rFonts w:cstheme="minorHAnsi"/>
                <w:b/>
                <w:smallCaps/>
                <w:szCs w:val="24"/>
              </w:rPr>
            </w:pPr>
          </w:p>
        </w:tc>
        <w:tc>
          <w:tcPr>
            <w:tcW w:w="2802" w:type="dxa"/>
          </w:tcPr>
          <w:p w14:paraId="1D2D9D00" w14:textId="77777777" w:rsidR="00255FA1" w:rsidRPr="004A5CFA" w:rsidRDefault="00255FA1" w:rsidP="003B5DC9">
            <w:pPr>
              <w:spacing w:before="0"/>
              <w:rPr>
                <w:rFonts w:cstheme="minorHAnsi"/>
                <w:b/>
                <w:szCs w:val="24"/>
              </w:rPr>
            </w:pPr>
            <w:r w:rsidRPr="004A5CFA">
              <w:rPr>
                <w:rFonts w:cstheme="minorHAnsi"/>
                <w:b/>
                <w:szCs w:val="24"/>
              </w:rPr>
              <w:t>Original: inglés</w:t>
            </w:r>
          </w:p>
        </w:tc>
      </w:tr>
      <w:tr w:rsidR="00255FA1" w:rsidRPr="004A5CFA" w14:paraId="2D7486F2" w14:textId="77777777" w:rsidTr="005A329F">
        <w:trPr>
          <w:cantSplit/>
          <w:jc w:val="center"/>
        </w:trPr>
        <w:tc>
          <w:tcPr>
            <w:tcW w:w="10031" w:type="dxa"/>
            <w:gridSpan w:val="2"/>
          </w:tcPr>
          <w:p w14:paraId="0A9FBF24" w14:textId="77777777" w:rsidR="00255FA1" w:rsidRPr="004A5CFA" w:rsidRDefault="00255FA1" w:rsidP="003B5DC9">
            <w:pPr>
              <w:spacing w:before="0" w:line="240" w:lineRule="atLeast"/>
              <w:rPr>
                <w:rFonts w:cstheme="minorHAnsi"/>
                <w:b/>
                <w:szCs w:val="24"/>
              </w:rPr>
            </w:pPr>
          </w:p>
        </w:tc>
      </w:tr>
      <w:tr w:rsidR="00255FA1" w:rsidRPr="004A5CFA" w14:paraId="744244BE" w14:textId="77777777" w:rsidTr="005A329F">
        <w:trPr>
          <w:cantSplit/>
          <w:jc w:val="center"/>
        </w:trPr>
        <w:tc>
          <w:tcPr>
            <w:tcW w:w="10031" w:type="dxa"/>
            <w:gridSpan w:val="2"/>
          </w:tcPr>
          <w:p w14:paraId="6A69B499" w14:textId="77777777" w:rsidR="00255FA1" w:rsidRPr="004A5CFA" w:rsidRDefault="00255FA1" w:rsidP="003B5DC9">
            <w:pPr>
              <w:pStyle w:val="Source"/>
            </w:pPr>
            <w:bookmarkStart w:id="2" w:name="dsource" w:colFirst="0" w:colLast="0"/>
            <w:bookmarkEnd w:id="1"/>
            <w:r w:rsidRPr="004A5CFA">
              <w:t>Ghana</w:t>
            </w:r>
          </w:p>
        </w:tc>
      </w:tr>
      <w:tr w:rsidR="00255FA1" w:rsidRPr="004A5CFA" w14:paraId="12632FB8" w14:textId="77777777" w:rsidTr="005A329F">
        <w:trPr>
          <w:cantSplit/>
          <w:jc w:val="center"/>
        </w:trPr>
        <w:tc>
          <w:tcPr>
            <w:tcW w:w="10031" w:type="dxa"/>
            <w:gridSpan w:val="2"/>
          </w:tcPr>
          <w:p w14:paraId="2D543432" w14:textId="5A421FF7" w:rsidR="00255FA1" w:rsidRPr="004A5CFA" w:rsidRDefault="00FE5BB2" w:rsidP="003B5DC9">
            <w:pPr>
              <w:pStyle w:val="Title1"/>
            </w:pPr>
            <w:bookmarkStart w:id="3" w:name="dtitle1" w:colFirst="0" w:colLast="0"/>
            <w:bookmarkEnd w:id="2"/>
            <w:r w:rsidRPr="004A5CFA">
              <w:rPr>
                <w:caps w:val="0"/>
              </w:rPr>
              <w:t>PROPUESTAS PARA LOS TRABAJOS DE LA CONFERENCIA</w:t>
            </w:r>
          </w:p>
        </w:tc>
      </w:tr>
      <w:tr w:rsidR="00255FA1" w:rsidRPr="004A5CFA" w14:paraId="2DAE9097" w14:textId="77777777" w:rsidTr="005A329F">
        <w:trPr>
          <w:cantSplit/>
          <w:jc w:val="center"/>
        </w:trPr>
        <w:tc>
          <w:tcPr>
            <w:tcW w:w="10031" w:type="dxa"/>
            <w:gridSpan w:val="2"/>
          </w:tcPr>
          <w:p w14:paraId="022A5940" w14:textId="7CB4D5CC" w:rsidR="00255FA1" w:rsidRPr="004A5CFA" w:rsidRDefault="00FE5BB2" w:rsidP="00096BFD">
            <w:pPr>
              <w:pStyle w:val="Title2"/>
            </w:pPr>
            <w:bookmarkStart w:id="4" w:name="dtitle2" w:colFirst="0" w:colLast="0"/>
            <w:bookmarkEnd w:id="3"/>
            <w:r w:rsidRPr="004A5CFA">
              <w:rPr>
                <w:caps w:val="0"/>
              </w:rPr>
              <w:t>PROYECTO DE NUEVA RESOLUCIÓN [GHA-1]: PROTECCIÓN DE LA INFRAESTRUCTURA CIVIL DE TELECOMUNICACIONES/TIC EN SITUACIONES DE CONFLICTO ARMADO</w:t>
            </w:r>
          </w:p>
        </w:tc>
      </w:tr>
      <w:tr w:rsidR="00255FA1" w:rsidRPr="004A5CFA" w14:paraId="6A12D100" w14:textId="77777777" w:rsidTr="005A329F">
        <w:trPr>
          <w:cantSplit/>
          <w:jc w:val="center"/>
        </w:trPr>
        <w:tc>
          <w:tcPr>
            <w:tcW w:w="10031" w:type="dxa"/>
            <w:gridSpan w:val="2"/>
          </w:tcPr>
          <w:p w14:paraId="1CEDCE5F" w14:textId="77777777" w:rsidR="00255FA1" w:rsidRPr="004A5CFA" w:rsidRDefault="00255FA1" w:rsidP="003B5DC9">
            <w:pPr>
              <w:pStyle w:val="Agendaitem"/>
            </w:pPr>
            <w:bookmarkStart w:id="5" w:name="dtitle3" w:colFirst="0" w:colLast="0"/>
            <w:bookmarkEnd w:id="4"/>
          </w:p>
        </w:tc>
      </w:tr>
    </w:tbl>
    <w:bookmarkEnd w:id="5"/>
    <w:p w14:paraId="236F7C9F" w14:textId="77777777" w:rsidR="00A4511B" w:rsidRPr="004A5CFA" w:rsidRDefault="00A4511B" w:rsidP="00512FF1">
      <w:pPr>
        <w:pStyle w:val="Headingb"/>
      </w:pPr>
      <w:r w:rsidRPr="004A5CFA">
        <w:t>Finalidad</w:t>
      </w:r>
    </w:p>
    <w:p w14:paraId="070C9903" w14:textId="79D9FB83" w:rsidR="00A4511B" w:rsidRPr="004A5CFA" w:rsidRDefault="008062E9" w:rsidP="004A5CFA">
      <w:pPr>
        <w:jc w:val="both"/>
      </w:pPr>
      <w:r w:rsidRPr="004A5CFA">
        <w:t xml:space="preserve">En la presente contribución se invita a la Conferencia de Plenipotenciarios a establecer, como principio permanente de la Unión, que la infraestructura civil de telecomunicaciones/TIC constituye una infraestructura civil crítica que goza de protección en situaciones de conflicto armado, de conformidad con el derecho internacional aplicable. </w:t>
      </w:r>
      <w:r w:rsidR="00A4511B" w:rsidRPr="004A5CFA">
        <w:t>La contribución se basa en la Resolución adoptada por consenso por el Consejo de la UIT en 2026 sobre las repercusiones de los ataques a la infraestructura civil de telecomunicaciones/TIC, y propone que la Conferencia de Plenipotenciarios dé una expresión permanente y universal a esta cuestión mediante una nueva Resolución.</w:t>
      </w:r>
    </w:p>
    <w:p w14:paraId="1745D95D" w14:textId="4C2B6ACF" w:rsidR="00E2017B" w:rsidRPr="004A5CFA" w:rsidRDefault="00E2017B" w:rsidP="004A5CFA">
      <w:pPr>
        <w:jc w:val="both"/>
      </w:pPr>
      <w:r w:rsidRPr="004A5CFA">
        <w:t xml:space="preserve">La República de Ghana </w:t>
      </w:r>
      <w:r w:rsidR="00463043" w:rsidRPr="004A5CFA">
        <w:t>defiende</w:t>
      </w:r>
      <w:r w:rsidRPr="004A5CFA">
        <w:t xml:space="preserve"> la </w:t>
      </w:r>
      <w:r w:rsidR="00E73FD6" w:rsidRPr="004A5CFA">
        <w:t>postura ponderada</w:t>
      </w:r>
      <w:r w:rsidRPr="004A5CFA">
        <w:t xml:space="preserve"> que formuló durante el examen de esta cuestión por el Consejo</w:t>
      </w:r>
      <w:r w:rsidR="00463043" w:rsidRPr="004A5CFA">
        <w:t>, a saber:</w:t>
      </w:r>
      <w:r w:rsidRPr="004A5CFA">
        <w:t xml:space="preserve"> que las redes civiles que </w:t>
      </w:r>
      <w:r w:rsidR="00463043" w:rsidRPr="004A5CFA">
        <w:t>actualmente</w:t>
      </w:r>
      <w:r w:rsidRPr="004A5CFA">
        <w:t xml:space="preserve"> sustentan los servicios de hospitales, escuelas, equipos de respuesta a emergencias y operaciones humanitarias merecen protección durante los conflictos, y que dicha protección debe</w:t>
      </w:r>
      <w:r w:rsidR="00463043" w:rsidRPr="004A5CFA">
        <w:t>ría</w:t>
      </w:r>
      <w:r w:rsidRPr="004A5CFA">
        <w:t xml:space="preserve"> afirmarse como principio de aplicación general, sin señalar a ningún Estado Miembro y sin que la Unión </w:t>
      </w:r>
      <w:r w:rsidR="00975694" w:rsidRPr="004A5CFA">
        <w:t>entre a examinar cuestiones reservadas al derecho internacional humanitario</w:t>
      </w:r>
      <w:r w:rsidRPr="004A5CFA">
        <w:t>.</w:t>
      </w:r>
    </w:p>
    <w:p w14:paraId="734A2CCD" w14:textId="77777777" w:rsidR="00A44F05" w:rsidRPr="004A5CFA" w:rsidRDefault="00A4511B" w:rsidP="00512FF1">
      <w:pPr>
        <w:pStyle w:val="Headingb"/>
        <w:rPr>
          <w:b w:val="0"/>
        </w:rPr>
      </w:pPr>
      <w:r w:rsidRPr="004A5CFA">
        <w:t>Antecedentes</w:t>
      </w:r>
    </w:p>
    <w:p w14:paraId="4D2500A6" w14:textId="4F4D9FA5" w:rsidR="00A44F05" w:rsidRPr="00CD5058" w:rsidRDefault="00A44F05" w:rsidP="00CD5058">
      <w:pPr>
        <w:jc w:val="both"/>
        <w:rPr>
          <w:spacing w:val="-2"/>
        </w:rPr>
      </w:pPr>
      <w:r w:rsidRPr="00CD5058">
        <w:rPr>
          <w:spacing w:val="-2"/>
        </w:rPr>
        <w:t xml:space="preserve">Las telecomunicaciones y las tecnologías de la información y la comunicación se han vuelto indispensables para el funcionamiento de las sociedades y las economías modernas. Las redes civiles actuales ya no se limitan a transmitir comunicaciones: una misma infraestructura sustenta simultáneamente la prestación de servicios de salud, los servicios de emergencia y de alerta temprana, la coordinación humanitaria, los sistemas de agua y energía, los servicios financieros, el transporte, la administración pública y la educación. Por consiguiente, los daños causados a un solo elemento de la red pueden afectar a numerosos servicios esenciales de los que depende la </w:t>
      </w:r>
      <w:r w:rsidR="00467E20" w:rsidRPr="00CD5058">
        <w:rPr>
          <w:spacing w:val="-2"/>
        </w:rPr>
        <w:t>población</w:t>
      </w:r>
      <w:r w:rsidRPr="00CD5058">
        <w:rPr>
          <w:spacing w:val="-2"/>
        </w:rPr>
        <w:t xml:space="preserve"> civil.</w:t>
      </w:r>
    </w:p>
    <w:p w14:paraId="2D56D5EA" w14:textId="3BDDF5A1" w:rsidR="00A4511B" w:rsidRPr="00CD5058" w:rsidRDefault="00A4511B" w:rsidP="00CD5058">
      <w:pPr>
        <w:jc w:val="both"/>
        <w:rPr>
          <w:b/>
          <w:spacing w:val="-2"/>
        </w:rPr>
      </w:pPr>
      <w:r w:rsidRPr="00CD5058">
        <w:rPr>
          <w:spacing w:val="-2"/>
        </w:rPr>
        <w:t xml:space="preserve">Dado que las redes de telecomunicaciones están interconectadas a través de las fronteras, los ataques deliberados contra la infraestructura de un Estado pueden obstaculizar la asistencia humanitaria, interrumpir los servicios de emergencia, aislar a la población civil, interrumpir los servicios financieros </w:t>
      </w:r>
      <w:r w:rsidRPr="00CD5058">
        <w:rPr>
          <w:spacing w:val="-2"/>
        </w:rPr>
        <w:lastRenderedPageBreak/>
        <w:t>y públicos, y producir efectos transfronterizos importantes en la conectividad de otros Estados Miembros y en las redes regionales y mundiales. Los recientes conflictos e incidentes hostiles han demostrado la vulnerabilidad de esta infraestructura a los ataques cinéticos, los ciberataques, el sabotaje y la destrucción de cables submarinos, centros de datos e instalaciones de satélite.</w:t>
      </w:r>
    </w:p>
    <w:p w14:paraId="77593046" w14:textId="77777777" w:rsidR="00A4511B" w:rsidRPr="004A5CFA" w:rsidRDefault="00A4511B" w:rsidP="00512FF1">
      <w:pPr>
        <w:pStyle w:val="Headingb"/>
      </w:pPr>
      <w:r w:rsidRPr="004A5CFA">
        <w:t>Precedentes en la Unión</w:t>
      </w:r>
    </w:p>
    <w:p w14:paraId="30B1E8A9" w14:textId="77777777" w:rsidR="002235FD" w:rsidRPr="004A5CFA" w:rsidRDefault="00A4511B" w:rsidP="00CD5058">
      <w:pPr>
        <w:jc w:val="both"/>
      </w:pPr>
      <w:r w:rsidRPr="004A5CFA">
        <w:t>La Unión ha actuado reiteradamente para proteger y restaurar la infraestructura de telecomunicaciones afectada por los conflictos. El Consejo de la UIT adoptó la Resolución</w:t>
      </w:r>
      <w:r w:rsidR="008451A1" w:rsidRPr="004A5CFA">
        <w:t> </w:t>
      </w:r>
      <w:r w:rsidRPr="004A5CFA">
        <w:t>1408</w:t>
      </w:r>
      <w:r w:rsidR="008451A1" w:rsidRPr="004A5CFA">
        <w:t> </w:t>
      </w:r>
      <w:r w:rsidRPr="004A5CFA">
        <w:t xml:space="preserve">(2022) sobre asistencia y ayuda a Ucrania para la reconstrucción de su sector de </w:t>
      </w:r>
      <w:r w:rsidR="008D3959" w:rsidRPr="004A5CFA">
        <w:t xml:space="preserve">las </w:t>
      </w:r>
      <w:r w:rsidRPr="004A5CFA">
        <w:t xml:space="preserve">telecomunicaciones, por la que se crea un Grupo Especial y un Fondo Fiduciario Especial y se encarga una evaluación de los daños </w:t>
      </w:r>
      <w:r w:rsidR="00976230" w:rsidRPr="004A5CFA">
        <w:t>ocurridos</w:t>
      </w:r>
      <w:r w:rsidRPr="004A5CFA">
        <w:t>. La Conferencia de Plenipotenciarios mantiene instrumentos permanentes de asistencia a los miembros afectados por conflictos, incluida la Resolución</w:t>
      </w:r>
      <w:r w:rsidR="00976230" w:rsidRPr="004A5CFA">
        <w:t> </w:t>
      </w:r>
      <w:r w:rsidRPr="004A5CFA">
        <w:t xml:space="preserve">125 (Rev. Bucarest, 2022) sobre asistencia y apoyo a Palestina. En su reunión de 2026, el Consejo de la UIT adoptó por consenso una resolución sobre las repercusiones de los ataques a las infraestructuras civiles de telecomunicaciones/TIC y sus consecuencias para la conectividad regional y mundial, la primera ocasión en que la Unión abordó, en un instrumento oficial, la protección de esas infraestructuras contra ataques deliberados. </w:t>
      </w:r>
      <w:r w:rsidR="002235FD" w:rsidRPr="004A5CFA">
        <w:t>La presente propuesta consolida esta nueva práctica en un principio único, duradero y de aplicación universal, evitando así que la Unión tenga que volver a abordar la cuestión caso por caso ante cada nuevo conflicto.</w:t>
      </w:r>
    </w:p>
    <w:p w14:paraId="4A118FDC" w14:textId="3482F545" w:rsidR="00A4511B" w:rsidRPr="004A5CFA" w:rsidRDefault="00A4511B" w:rsidP="00512FF1">
      <w:pPr>
        <w:pStyle w:val="Headingb"/>
      </w:pPr>
      <w:r w:rsidRPr="004A5CFA">
        <w:t xml:space="preserve">La cuestión </w:t>
      </w:r>
      <w:r w:rsidR="00570B26" w:rsidRPr="004A5CFA">
        <w:t>clave: las infraestructuras de doble uso</w:t>
      </w:r>
    </w:p>
    <w:p w14:paraId="018764C4" w14:textId="77777777" w:rsidR="0034517E" w:rsidRPr="004A5CFA" w:rsidRDefault="0034517E" w:rsidP="00CD5058">
      <w:pPr>
        <w:jc w:val="both"/>
      </w:pPr>
      <w:r w:rsidRPr="004A5CFA">
        <w:t>Un principio duradero de la Unión debe dar respuesta a una cuestión que surge en todo debate serio sobre este tema: ¿qué protección debe otorgarse a la infraestructura civil de telecomunicaciones cuando esa misma infraestructura se utiliza con fines militares, por ejemplo, para controlar u operar sistemas aéreos no tripulados, llevar a cabo actividades de guerra electrónica o contribuir eficazmente a una acción militar?</w:t>
      </w:r>
    </w:p>
    <w:p w14:paraId="18F48A36" w14:textId="1C1234FC" w:rsidR="00A4511B" w:rsidRPr="004A5CFA" w:rsidRDefault="00A4511B" w:rsidP="00CD5058">
      <w:pPr>
        <w:jc w:val="both"/>
      </w:pPr>
      <w:r w:rsidRPr="004A5CFA">
        <w:t>La República de Ghana no propone que la Unión resuelva esta cuestión, que se rige por el derecho internacional humanitario y escapa al mandato de la Unión. La postura de Ghana es que la Unión debería afirmar el principio de protección como regla general, se presume que la infraestructura civil de telecomunicaciones/TIC es un bien civil con derecho a protección, al tiempo que estipula expresamente que la Resolución no crea, modifica ni interpreta las condiciones bajo las cuales un objeto puede perder esa protección en virtud del derecho internacional. Así formulada, la Resolución salvaguarda la función civil de la red sin pretender proteger infraestructuras realmente empleadas con fines militares y sin que la Unión adopte posición alguna sobre los hechos de una situación particular. Esta formulación permite a los Estados Miembros que tienen opiniones diferentes sobre el derecho de la focalización apoyar un principio común y, por lo tanto, preserva el consenso en el que se basó el resultado del Consejo.</w:t>
      </w:r>
    </w:p>
    <w:p w14:paraId="7866F1CF" w14:textId="77777777" w:rsidR="00A4511B" w:rsidRPr="004A5CFA" w:rsidRDefault="00A4511B" w:rsidP="00512FF1">
      <w:pPr>
        <w:pStyle w:val="Headingb"/>
      </w:pPr>
      <w:r w:rsidRPr="004A5CFA">
        <w:t>Propuesta</w:t>
      </w:r>
    </w:p>
    <w:p w14:paraId="6EE8D992" w14:textId="6D2C7F26" w:rsidR="00504FD4" w:rsidRPr="004A5CFA" w:rsidRDefault="00A4511B" w:rsidP="00CD5058">
      <w:pPr>
        <w:jc w:val="both"/>
      </w:pPr>
      <w:r w:rsidRPr="004A5CFA">
        <w:t>La República de Ghana propone la adopción de la nueva Resolución siguiente. El nuevo texto propuesto lleva la indicación ADD de conformidad con los métodos de trabajo de la Conferencia.</w:t>
      </w:r>
    </w:p>
    <w:p w14:paraId="75EF9771" w14:textId="77777777" w:rsidR="00255FA1" w:rsidRPr="004A5CFA" w:rsidRDefault="00255FA1">
      <w:pPr>
        <w:tabs>
          <w:tab w:val="clear" w:pos="567"/>
          <w:tab w:val="clear" w:pos="1134"/>
          <w:tab w:val="clear" w:pos="1701"/>
          <w:tab w:val="clear" w:pos="2268"/>
          <w:tab w:val="clear" w:pos="2835"/>
        </w:tabs>
        <w:overflowPunct/>
        <w:autoSpaceDE/>
        <w:autoSpaceDN/>
        <w:adjustRightInd/>
        <w:spacing w:before="0"/>
        <w:textAlignment w:val="auto"/>
        <w:rPr>
          <w:rStyle w:val="PageNumber"/>
        </w:rPr>
      </w:pPr>
      <w:r w:rsidRPr="004A5CFA">
        <w:rPr>
          <w:rStyle w:val="PageNumber"/>
        </w:rPr>
        <w:br w:type="page"/>
      </w:r>
    </w:p>
    <w:p w14:paraId="0391CF5A" w14:textId="77777777" w:rsidR="003F2B9A" w:rsidRPr="004A5CFA" w:rsidRDefault="005A7CBE">
      <w:pPr>
        <w:pStyle w:val="Proposal"/>
        <w:rPr>
          <w:lang w:val="es-ES_tradnl"/>
        </w:rPr>
      </w:pPr>
      <w:r w:rsidRPr="004A5CFA">
        <w:rPr>
          <w:lang w:val="es-ES_tradnl"/>
        </w:rPr>
        <w:lastRenderedPageBreak/>
        <w:t>ADD</w:t>
      </w:r>
      <w:r w:rsidRPr="004A5CFA">
        <w:rPr>
          <w:lang w:val="es-ES_tradnl"/>
        </w:rPr>
        <w:tab/>
        <w:t>GHA/35/1</w:t>
      </w:r>
    </w:p>
    <w:p w14:paraId="0BCC6892" w14:textId="45EA7368" w:rsidR="00D42B55" w:rsidRPr="004A5CFA" w:rsidRDefault="005A7CBE" w:rsidP="00512FF1">
      <w:pPr>
        <w:pStyle w:val="ResNo"/>
        <w:rPr>
          <w:lang w:eastAsia="fr-CH"/>
        </w:rPr>
      </w:pPr>
      <w:r w:rsidRPr="004A5CFA">
        <w:rPr>
          <w:lang w:eastAsia="fr-CH"/>
        </w:rPr>
        <w:t>Proyecto de nueva Resolución</w:t>
      </w:r>
      <w:r w:rsidR="00A4511B" w:rsidRPr="004A5CFA">
        <w:rPr>
          <w:lang w:eastAsia="fr-CH"/>
        </w:rPr>
        <w:t xml:space="preserve"> [GHA-1]</w:t>
      </w:r>
    </w:p>
    <w:p w14:paraId="705B2027" w14:textId="407AF556" w:rsidR="00092664" w:rsidRPr="004A5CFA" w:rsidRDefault="00092664" w:rsidP="00512FF1">
      <w:pPr>
        <w:pStyle w:val="Restitle"/>
        <w:rPr>
          <w:lang w:eastAsia="fr-CH"/>
        </w:rPr>
      </w:pPr>
      <w:r w:rsidRPr="004A5CFA">
        <w:rPr>
          <w:lang w:eastAsia="fr-CH"/>
        </w:rPr>
        <w:t xml:space="preserve">Protección de la infraestructura civil de telecomunicaciones/TIC </w:t>
      </w:r>
      <w:r w:rsidR="00FE5BB2" w:rsidRPr="004A5CFA">
        <w:rPr>
          <w:lang w:eastAsia="fr-CH"/>
        </w:rPr>
        <w:br/>
      </w:r>
      <w:r w:rsidRPr="004A5CFA">
        <w:rPr>
          <w:lang w:eastAsia="fr-CH"/>
        </w:rPr>
        <w:t>en situaciones de conflicto armado</w:t>
      </w:r>
    </w:p>
    <w:p w14:paraId="2F963D1F" w14:textId="6D48D2E9" w:rsidR="00694C94" w:rsidRPr="004A5CFA" w:rsidRDefault="00746904" w:rsidP="00CD5058">
      <w:pPr>
        <w:pStyle w:val="Normalaftertitle"/>
        <w:jc w:val="both"/>
        <w:rPr>
          <w:b/>
        </w:rPr>
      </w:pPr>
      <w:r w:rsidRPr="004A5CFA">
        <w:t>La Conferencia de Plenipotenciarios de la Unión Internacional de Telecomunicaciones (Doha,</w:t>
      </w:r>
      <w:r w:rsidR="004004B5" w:rsidRPr="004A5CFA">
        <w:t> </w:t>
      </w:r>
      <w:r w:rsidRPr="004A5CFA">
        <w:t>2026),</w:t>
      </w:r>
    </w:p>
    <w:p w14:paraId="5D819210" w14:textId="77777777" w:rsidR="00E71920" w:rsidRPr="004A5CFA" w:rsidRDefault="00E71920" w:rsidP="00512FF1">
      <w:pPr>
        <w:pStyle w:val="Call"/>
      </w:pPr>
      <w:r w:rsidRPr="004A5CFA">
        <w:t>recordando</w:t>
      </w:r>
    </w:p>
    <w:p w14:paraId="4ECD5C62" w14:textId="77777777" w:rsidR="00E71920" w:rsidRPr="004A5CFA" w:rsidRDefault="00E71920" w:rsidP="00CD5058">
      <w:pPr>
        <w:jc w:val="both"/>
      </w:pPr>
      <w:r w:rsidRPr="004A5CFA">
        <w:rPr>
          <w:i/>
          <w:iCs/>
        </w:rPr>
        <w:t>a)</w:t>
      </w:r>
      <w:r w:rsidRPr="004A5CFA">
        <w:tab/>
        <w:t>los objetivos de la Unión establecidos en el Artículo 1 de la Constitución de la Unión Internacional de Telecomunicaciones, entre ellos promover la extensión de los beneficios de las telecomunicaciones a todos los habitantes del Planeta y facilitar las relaciones pacíficas por medio de las telecomunicaciones;</w:t>
      </w:r>
    </w:p>
    <w:p w14:paraId="375DFD02" w14:textId="77777777" w:rsidR="00E71920" w:rsidRPr="004A5CFA" w:rsidRDefault="00E71920" w:rsidP="00CD5058">
      <w:pPr>
        <w:jc w:val="both"/>
      </w:pPr>
      <w:r w:rsidRPr="004A5CFA">
        <w:rPr>
          <w:i/>
          <w:iCs/>
        </w:rPr>
        <w:t>b)</w:t>
      </w:r>
      <w:r w:rsidRPr="004A5CFA">
        <w:tab/>
        <w:t>la Resolución 1436 (2026) del Consejo de la UIT sobre las repercusiones sobre la infraestructura civil de telecomunicaciones/TIC de Bahrein, Kuwait, Emiratos Árabes Unidos y Jordania, y sus consecuencias para la conectividad regional y mundial;</w:t>
      </w:r>
    </w:p>
    <w:p w14:paraId="2BC014AA" w14:textId="77777777" w:rsidR="00E71920" w:rsidRPr="004A5CFA" w:rsidRDefault="00E71920" w:rsidP="00CD5058">
      <w:pPr>
        <w:jc w:val="both"/>
      </w:pPr>
      <w:r w:rsidRPr="004A5CFA">
        <w:rPr>
          <w:i/>
          <w:iCs/>
        </w:rPr>
        <w:t>c)</w:t>
      </w:r>
      <w:r w:rsidRPr="004A5CFA">
        <w:tab/>
        <w:t>la Resolución 125 (Rev. Bucarest, 2022) de la Conferencia de Plenipotenciarios, sobre la asistencia y la ayuda a Palestina para el desarrollo de infraestructuras y la capacitación en el sector de las telecomunicaciones y las tecnologías de la información;</w:t>
      </w:r>
    </w:p>
    <w:p w14:paraId="02E5768F" w14:textId="77777777" w:rsidR="00E71920" w:rsidRPr="004A5CFA" w:rsidRDefault="00E71920" w:rsidP="00CD5058">
      <w:pPr>
        <w:jc w:val="both"/>
      </w:pPr>
      <w:r w:rsidRPr="004A5CFA">
        <w:rPr>
          <w:i/>
          <w:iCs/>
        </w:rPr>
        <w:t>d)</w:t>
      </w:r>
      <w:r w:rsidRPr="004A5CFA">
        <w:tab/>
        <w:t>la Resolución 130 (Rev. Bucarest, 2022) de la Conferencia de Plenipotenciarios sobre el fortalecimiento del papel de la UIT en la creación de confianza y seguridad en la utilización de las tecnologías de la información y la comunicación;</w:t>
      </w:r>
    </w:p>
    <w:p w14:paraId="3801F34A" w14:textId="77777777" w:rsidR="00E71920" w:rsidRPr="004A5CFA" w:rsidRDefault="00E71920" w:rsidP="00CD5058">
      <w:pPr>
        <w:jc w:val="both"/>
      </w:pPr>
      <w:r w:rsidRPr="004A5CFA">
        <w:rPr>
          <w:i/>
          <w:iCs/>
        </w:rPr>
        <w:t>e)</w:t>
      </w:r>
      <w:r w:rsidRPr="004A5CFA">
        <w:tab/>
        <w:t>la Resolución 136 (Rev. Bucarest, 2022) de la Conferencia de Plenipotenciarios, sobre la utilización de las telecomunicaciones/TIC para la asistencia humanitaria y el control y la gestión en situaciones de emergencia y catástrofes;</w:t>
      </w:r>
    </w:p>
    <w:p w14:paraId="3DDF1F39" w14:textId="77777777" w:rsidR="00E71920" w:rsidRPr="004A5CFA" w:rsidRDefault="00E71920" w:rsidP="00CD5058">
      <w:pPr>
        <w:jc w:val="both"/>
      </w:pPr>
      <w:r w:rsidRPr="004A5CFA">
        <w:rPr>
          <w:i/>
          <w:iCs/>
        </w:rPr>
        <w:t>f)</w:t>
      </w:r>
      <w:r w:rsidRPr="004A5CFA">
        <w:tab/>
        <w:t>la Resolución 34 (Rev. Bakú, 2025) de la Conferencia Mundial de Desarrollo de las Telecomunicaciones sobre la función de las telecomunicaciones y las TIC en la preparación, alerta temprana, rescate, mitigación, socorro y respuesta en situaciones de catástrofe;</w:t>
      </w:r>
    </w:p>
    <w:p w14:paraId="33BDA72C" w14:textId="77777777" w:rsidR="00E71920" w:rsidRPr="004A5CFA" w:rsidRDefault="00E71920" w:rsidP="00CD5058">
      <w:pPr>
        <w:jc w:val="both"/>
      </w:pPr>
      <w:r w:rsidRPr="004A5CFA">
        <w:rPr>
          <w:i/>
          <w:iCs/>
        </w:rPr>
        <w:t>g)</w:t>
      </w:r>
      <w:r w:rsidRPr="004A5CFA">
        <w:tab/>
        <w:t>la Resolución 1408 (modificada en 2023) del Consejo de la UIT sobre asistencia y apoyo a Ucrania para la reconstrucción de su sector de telecomunicaciones;</w:t>
      </w:r>
    </w:p>
    <w:p w14:paraId="0DC3182E" w14:textId="77777777" w:rsidR="00E71920" w:rsidRPr="004A5CFA" w:rsidRDefault="00E71920" w:rsidP="00CD5058">
      <w:pPr>
        <w:jc w:val="both"/>
      </w:pPr>
      <w:r w:rsidRPr="004A5CFA">
        <w:rPr>
          <w:i/>
          <w:iCs/>
        </w:rPr>
        <w:t>h)</w:t>
      </w:r>
      <w:r w:rsidRPr="004A5CFA">
        <w:tab/>
        <w:t>la Carta de las Naciones Unidas y las normas y principios aplicables del derecho internacional,</w:t>
      </w:r>
    </w:p>
    <w:p w14:paraId="10836458" w14:textId="77777777" w:rsidR="00E71920" w:rsidRPr="004A5CFA" w:rsidRDefault="00E71920" w:rsidP="00E71920">
      <w:pPr>
        <w:pStyle w:val="Call"/>
      </w:pPr>
      <w:r w:rsidRPr="004A5CFA">
        <w:t>reconociendo</w:t>
      </w:r>
    </w:p>
    <w:p w14:paraId="1BAD5053" w14:textId="77777777" w:rsidR="00E71920" w:rsidRPr="004A5CFA" w:rsidRDefault="00E71920" w:rsidP="00CD5058">
      <w:pPr>
        <w:jc w:val="both"/>
      </w:pPr>
      <w:r w:rsidRPr="004A5CFA">
        <w:rPr>
          <w:i/>
          <w:iCs/>
        </w:rPr>
        <w:t>a)</w:t>
      </w:r>
      <w:r w:rsidRPr="004A5CFA">
        <w:tab/>
        <w:t>que la infraestructura civil de telecomunicaciones/TIC abarca hoy los servicios esenciales de hospitales, escuelas, sistemas de emergencia y alerta temprana, operaciones humanitarias y agua, energía, transporte y servicios financieros, por lo que es indispensable para la protección de la vida humana y el bienestar de la población civil;</w:t>
      </w:r>
    </w:p>
    <w:p w14:paraId="62EF3726" w14:textId="77777777" w:rsidR="00E71920" w:rsidRPr="004A5CFA" w:rsidRDefault="00E71920" w:rsidP="00CD5058">
      <w:pPr>
        <w:jc w:val="both"/>
      </w:pPr>
      <w:r w:rsidRPr="004A5CFA">
        <w:rPr>
          <w:i/>
          <w:iCs/>
        </w:rPr>
        <w:t>b)</w:t>
      </w:r>
      <w:r w:rsidRPr="004A5CFA">
        <w:tab/>
        <w:t>que dichas infraestructuras constituyen, cada vez más, infraestructuras civiles críticas, cuya perturbación afecta directamente a la población civil que depende de ellas;</w:t>
      </w:r>
    </w:p>
    <w:p w14:paraId="0E239316" w14:textId="77777777" w:rsidR="00E71920" w:rsidRPr="004A5CFA" w:rsidRDefault="00E71920" w:rsidP="00CD5058">
      <w:pPr>
        <w:jc w:val="both"/>
      </w:pPr>
      <w:r w:rsidRPr="004A5CFA">
        <w:rPr>
          <w:i/>
          <w:iCs/>
        </w:rPr>
        <w:lastRenderedPageBreak/>
        <w:t>c)</w:t>
      </w:r>
      <w:r w:rsidRPr="004A5CFA">
        <w:tab/>
        <w:t>que los cables submarinos, los sistemas de satélites, los centros de datos, los puntos de intercambio de Internet y los sistemas de transmisión terrenal son componentes esenciales e interconectados de la infraestructura digital mundial;</w:t>
      </w:r>
    </w:p>
    <w:p w14:paraId="05CE6426" w14:textId="77777777" w:rsidR="00E71920" w:rsidRPr="004A5CFA" w:rsidRDefault="00E71920" w:rsidP="00CD5058">
      <w:pPr>
        <w:jc w:val="both"/>
      </w:pPr>
      <w:r w:rsidRPr="004A5CFA">
        <w:rPr>
          <w:i/>
          <w:iCs/>
        </w:rPr>
        <w:t>d)</w:t>
      </w:r>
      <w:r w:rsidRPr="004A5CFA">
        <w:tab/>
        <w:t>que los ataques contra la infraestructura de telecomunicaciones pueden afectar no sólo al territorio en el que está ubicada, sino que también pueden tener implicaciones regionales y mundiales para la conectividad,</w:t>
      </w:r>
    </w:p>
    <w:p w14:paraId="59E4BF46" w14:textId="77777777" w:rsidR="00E71920" w:rsidRPr="004A5CFA" w:rsidRDefault="00E71920" w:rsidP="00E71920">
      <w:pPr>
        <w:pStyle w:val="Call"/>
      </w:pPr>
      <w:r w:rsidRPr="004A5CFA">
        <w:t>considerando</w:t>
      </w:r>
    </w:p>
    <w:p w14:paraId="378AC67C" w14:textId="77777777" w:rsidR="00E71920" w:rsidRPr="004A5CFA" w:rsidRDefault="00E71920" w:rsidP="00CD5058">
      <w:pPr>
        <w:jc w:val="both"/>
      </w:pPr>
      <w:r w:rsidRPr="004A5CFA">
        <w:rPr>
          <w:i/>
          <w:iCs/>
        </w:rPr>
        <w:t>a)</w:t>
      </w:r>
      <w:r w:rsidRPr="004A5CFA">
        <w:tab/>
        <w:t>que los ataques deliberados contra la infraestructura civil de telecomunicaciones/TIC pueden perturbar gravemente la disponibilidad de los servicios de comunicaciones para la población civil y obstaculizar las operaciones humanitarias y de respuesta de emergencia;</w:t>
      </w:r>
    </w:p>
    <w:p w14:paraId="61ED45A8" w14:textId="77777777" w:rsidR="00E71920" w:rsidRPr="004A5CFA" w:rsidRDefault="00E71920" w:rsidP="00CD5058">
      <w:pPr>
        <w:jc w:val="both"/>
      </w:pPr>
      <w:r w:rsidRPr="004A5CFA">
        <w:rPr>
          <w:i/>
          <w:iCs/>
        </w:rPr>
        <w:t>b)</w:t>
      </w:r>
      <w:r w:rsidRPr="004A5CFA">
        <w:tab/>
        <w:t>que la protección y la resiliencia de la infraestructura civil de telecomunicaciones son asuntos de interés común para todos los Estados Miembros, independientemente de su posición sobre cualquier situación particular;</w:t>
      </w:r>
    </w:p>
    <w:p w14:paraId="66962A3A" w14:textId="77777777" w:rsidR="00E71920" w:rsidRPr="004A5CFA" w:rsidRDefault="00E71920" w:rsidP="00CD5058">
      <w:pPr>
        <w:jc w:val="both"/>
      </w:pPr>
      <w:r w:rsidRPr="004A5CFA">
        <w:rPr>
          <w:i/>
          <w:iCs/>
        </w:rPr>
        <w:t>c)</w:t>
      </w:r>
      <w:r w:rsidRPr="004A5CFA">
        <w:tab/>
        <w:t>que el Consejo de la UIT abordó esta cuestión por primera vez en 2026 y que merece un examen más amplio, permanente y universal por parte de la Conferencia de Plenipotenciarios,</w:t>
      </w:r>
    </w:p>
    <w:p w14:paraId="29DED800" w14:textId="77777777" w:rsidR="00E71920" w:rsidRPr="004A5CFA" w:rsidRDefault="00E71920" w:rsidP="00E71920">
      <w:pPr>
        <w:pStyle w:val="Call"/>
      </w:pPr>
      <w:r w:rsidRPr="004A5CFA">
        <w:t>consciente</w:t>
      </w:r>
    </w:p>
    <w:p w14:paraId="6511452D" w14:textId="77777777" w:rsidR="00E71920" w:rsidRPr="004A5CFA" w:rsidRDefault="00E71920" w:rsidP="00CD5058">
      <w:pPr>
        <w:jc w:val="both"/>
      </w:pPr>
      <w:r w:rsidRPr="004A5CFA">
        <w:t>que las cuestiones relativas a la conducción de las hostilidades, incluidas las condiciones en las cuales un objeto puede o no ser objeto de un ataque, se rigen por el derecho internacional humanitario y escapan al mandato de la Unión,</w:t>
      </w:r>
    </w:p>
    <w:p w14:paraId="6297ACA2" w14:textId="77777777" w:rsidR="00E71920" w:rsidRPr="004A5CFA" w:rsidRDefault="00E71920" w:rsidP="00E71920">
      <w:pPr>
        <w:pStyle w:val="Call"/>
      </w:pPr>
      <w:r w:rsidRPr="004A5CFA">
        <w:t>observando</w:t>
      </w:r>
    </w:p>
    <w:p w14:paraId="6FC6A228" w14:textId="77777777" w:rsidR="00E71920" w:rsidRPr="004A5CFA" w:rsidRDefault="00E71920" w:rsidP="00CD5058">
      <w:pPr>
        <w:jc w:val="both"/>
      </w:pPr>
      <w:r w:rsidRPr="004A5CFA">
        <w:rPr>
          <w:i/>
          <w:iCs/>
        </w:rPr>
        <w:t>a)</w:t>
      </w:r>
      <w:r w:rsidRPr="004A5CFA">
        <w:tab/>
        <w:t>la labor de la UIT y sus tres Sectores en la promoción de infraestructuras de telecomunicaciones resilientes y seguras;</w:t>
      </w:r>
    </w:p>
    <w:p w14:paraId="3247DA88" w14:textId="77777777" w:rsidR="00E71920" w:rsidRPr="004A5CFA" w:rsidRDefault="00E71920" w:rsidP="00CD5058">
      <w:pPr>
        <w:jc w:val="both"/>
      </w:pPr>
      <w:r w:rsidRPr="004A5CFA">
        <w:rPr>
          <w:i/>
          <w:iCs/>
        </w:rPr>
        <w:t>b)</w:t>
      </w:r>
      <w:r w:rsidRPr="004A5CFA">
        <w:tab/>
        <w:t>la labor del Grupo Asesor Internacional sobre Resiliencia de los Cables Submarinos, creado conjuntamente por la UIT y el Comité Internacional para la Protección de los Cables, y los resultados del Foro Mundial de Política de las Telecomunicaciones/TIC (2026) sobre la resiliencia de las telecomunicaciones/TIC;</w:t>
      </w:r>
    </w:p>
    <w:p w14:paraId="099772F2" w14:textId="77777777" w:rsidR="00E71920" w:rsidRPr="004A5CFA" w:rsidRDefault="00E71920" w:rsidP="00CD5058">
      <w:pPr>
        <w:jc w:val="both"/>
      </w:pPr>
      <w:r w:rsidRPr="004A5CFA">
        <w:rPr>
          <w:i/>
          <w:iCs/>
        </w:rPr>
        <w:t>c)</w:t>
      </w:r>
      <w:r w:rsidRPr="004A5CFA">
        <w:tab/>
        <w:t>la creciente importancia de la cooperación internacional para salvaguardar las infraestructuras digitales esenciales,</w:t>
      </w:r>
    </w:p>
    <w:p w14:paraId="122151BC" w14:textId="77777777" w:rsidR="00E71920" w:rsidRPr="004A5CFA" w:rsidRDefault="00E71920" w:rsidP="00E71920">
      <w:pPr>
        <w:pStyle w:val="Call"/>
      </w:pPr>
      <w:r w:rsidRPr="004A5CFA">
        <w:t>resuelve</w:t>
      </w:r>
    </w:p>
    <w:p w14:paraId="23494608" w14:textId="77777777" w:rsidR="00E71920" w:rsidRPr="004A5CFA" w:rsidRDefault="00E71920" w:rsidP="00CD5058">
      <w:pPr>
        <w:jc w:val="both"/>
      </w:pPr>
      <w:r w:rsidRPr="004A5CFA">
        <w:t>1</w:t>
      </w:r>
      <w:r w:rsidRPr="004A5CFA">
        <w:tab/>
        <w:t>afirmar, como principio de la Unión, que la infraestructura civil de telecomunicaciones/TIC es una infraestructura civil esencial y se presume que es un bien civil con derecho a protección en situaciones de conflicto armado, de conformidad con el derecho internacional aplicable;</w:t>
      </w:r>
    </w:p>
    <w:p w14:paraId="4D10653E" w14:textId="77777777" w:rsidR="00E71920" w:rsidRPr="004A5CFA" w:rsidRDefault="00E71920" w:rsidP="00CD5058">
      <w:pPr>
        <w:jc w:val="both"/>
      </w:pPr>
      <w:r w:rsidRPr="004A5CFA">
        <w:t>2</w:t>
      </w:r>
      <w:r w:rsidRPr="004A5CFA">
        <w:tab/>
        <w:t>expresar su profunda preocupación por los ataques deliberados contra la infraestructura civil de telecomunicaciones/TIC que perturban los servicios esenciales para la población civil;</w:t>
      </w:r>
    </w:p>
    <w:p w14:paraId="0908C82E" w14:textId="77777777" w:rsidR="00E71920" w:rsidRPr="004A5CFA" w:rsidRDefault="00E71920" w:rsidP="00CD5058">
      <w:pPr>
        <w:jc w:val="both"/>
      </w:pPr>
      <w:r w:rsidRPr="004A5CFA">
        <w:t>3</w:t>
      </w:r>
      <w:r w:rsidRPr="004A5CFA">
        <w:tab/>
        <w:t>alentar a los Estados Miembros a tomar todas las medidas apropiadas, compatibles con el derecho internacional aplicable, para proteger y preservar la infraestructura civil de telecomunicaciones/TIC y los servicios civiles esenciales que soporta;</w:t>
      </w:r>
    </w:p>
    <w:p w14:paraId="30F43938" w14:textId="77777777" w:rsidR="00E71920" w:rsidRPr="004A5CFA" w:rsidRDefault="00E71920" w:rsidP="00CD5058">
      <w:pPr>
        <w:jc w:val="both"/>
      </w:pPr>
      <w:r w:rsidRPr="004A5CFA">
        <w:t>4</w:t>
      </w:r>
      <w:r w:rsidRPr="004A5CFA">
        <w:tab/>
        <w:t>promover la resistencia, el restablecimiento y la rápida recuperación de las infraestructuras de telecomunicaciones afectadas por conflictos;</w:t>
      </w:r>
    </w:p>
    <w:p w14:paraId="2443EF23" w14:textId="77777777" w:rsidR="00E71920" w:rsidRPr="004A5CFA" w:rsidRDefault="00E71920" w:rsidP="00CD5058">
      <w:pPr>
        <w:jc w:val="both"/>
      </w:pPr>
      <w:r w:rsidRPr="004A5CFA">
        <w:lastRenderedPageBreak/>
        <w:t>5</w:t>
      </w:r>
      <w:r w:rsidRPr="004A5CFA">
        <w:tab/>
        <w:t>fortalecer la cooperación internacional en materia de protección y resiliencia de las infraestructuras esenciales de telecomunicaciones,</w:t>
      </w:r>
    </w:p>
    <w:p w14:paraId="5D39EABA" w14:textId="77777777" w:rsidR="00E71920" w:rsidRPr="004A5CFA" w:rsidRDefault="00E71920" w:rsidP="00E71920">
      <w:pPr>
        <w:pStyle w:val="Call"/>
      </w:pPr>
      <w:r w:rsidRPr="004A5CFA">
        <w:t>resuelve además</w:t>
      </w:r>
    </w:p>
    <w:p w14:paraId="11EED9AF" w14:textId="77777777" w:rsidR="00E71920" w:rsidRPr="004A5CFA" w:rsidRDefault="00E71920" w:rsidP="00CD5058">
      <w:pPr>
        <w:jc w:val="both"/>
      </w:pPr>
      <w:r w:rsidRPr="004A5CFA">
        <w:t>1</w:t>
      </w:r>
      <w:r w:rsidRPr="004A5CFA">
        <w:tab/>
        <w:t>que ninguna disposición de la presente Resolución se interpretará en el sentido de que crea, modifica o interpreta los derechos u obligaciones de los Estados Miembros en virtud del derecho internacional humanitario u otras normas de derecho internacional, incluidas las condiciones en las que un objeto puede perder la protección a la que de otro modo tendría derecho;</w:t>
      </w:r>
    </w:p>
    <w:p w14:paraId="1321C892" w14:textId="77777777" w:rsidR="00E71920" w:rsidRPr="004A5CFA" w:rsidRDefault="00E71920" w:rsidP="00CD5058">
      <w:pPr>
        <w:jc w:val="both"/>
      </w:pPr>
      <w:r w:rsidRPr="004A5CFA">
        <w:t>2</w:t>
      </w:r>
      <w:r w:rsidRPr="004A5CFA">
        <w:tab/>
        <w:t>que no se interpretará que en la presente Resolución se adopta posición alguna sobre los hechos o la legalidad de la conducta de cualquier Estado Miembro o parte en una situación particular,</w:t>
      </w:r>
    </w:p>
    <w:p w14:paraId="12185325" w14:textId="6D467834" w:rsidR="00E71920" w:rsidRPr="004A5CFA" w:rsidRDefault="00E71920" w:rsidP="00E71920">
      <w:pPr>
        <w:pStyle w:val="Call"/>
      </w:pPr>
      <w:r w:rsidRPr="004A5CFA">
        <w:t>encarga al Secretari</w:t>
      </w:r>
      <w:r w:rsidR="00973896">
        <w:t>o</w:t>
      </w:r>
      <w:r w:rsidRPr="004A5CFA">
        <w:t xml:space="preserve"> General</w:t>
      </w:r>
    </w:p>
    <w:p w14:paraId="4A3A7E91" w14:textId="77777777" w:rsidR="00E71920" w:rsidRPr="004A5CFA" w:rsidRDefault="00E71920" w:rsidP="00973896">
      <w:pPr>
        <w:jc w:val="both"/>
      </w:pPr>
      <w:r w:rsidRPr="004A5CFA">
        <w:t>1</w:t>
      </w:r>
      <w:r w:rsidRPr="004A5CFA">
        <w:tab/>
        <w:t>que coordine las actividades de los tres Sectores de la Unión relativas a la protección y resiliencia de la infraestructura civil de telecomunicaciones;</w:t>
      </w:r>
    </w:p>
    <w:p w14:paraId="41166F7F" w14:textId="77777777" w:rsidR="00E71920" w:rsidRPr="004A5CFA" w:rsidRDefault="00E71920" w:rsidP="00973896">
      <w:pPr>
        <w:jc w:val="both"/>
      </w:pPr>
      <w:r w:rsidRPr="004A5CFA">
        <w:t>2</w:t>
      </w:r>
      <w:r w:rsidRPr="004A5CFA">
        <w:tab/>
        <w:t>que prepare informes periódicos para el Consejo sobre las repercusiones de los conflictos y los incidentes hostiles en la infraestructura y la conectividad mundiales de telecomunicaciones;</w:t>
      </w:r>
    </w:p>
    <w:p w14:paraId="14C0276B" w14:textId="13198A1F" w:rsidR="00E71920" w:rsidRPr="004A5CFA" w:rsidRDefault="00E71920" w:rsidP="00973896">
      <w:pPr>
        <w:jc w:val="both"/>
      </w:pPr>
      <w:r w:rsidRPr="004A5CFA">
        <w:t>3</w:t>
      </w:r>
      <w:r w:rsidRPr="004A5CFA">
        <w:tab/>
      </w:r>
      <w:r w:rsidR="009F447C" w:rsidRPr="004A5CFA">
        <w:t>que cooperen</w:t>
      </w:r>
      <w:r w:rsidRPr="004A5CFA">
        <w:t>, según proceda y dentro del mandato de la Unión, con las organizaciones internacionales pertinentes y las entidades del sistema de las Naciones Unidas en la protección y restauración de las infraestructuras esenciales de comunicaciones,</w:t>
      </w:r>
    </w:p>
    <w:p w14:paraId="2AB4E3E7" w14:textId="77777777" w:rsidR="00E71920" w:rsidRPr="004A5CFA" w:rsidRDefault="00E71920" w:rsidP="00E71920">
      <w:pPr>
        <w:pStyle w:val="Call"/>
      </w:pPr>
      <w:r w:rsidRPr="004A5CFA">
        <w:t>encarga a los Directores de las Oficinas</w:t>
      </w:r>
    </w:p>
    <w:p w14:paraId="7897D8F3" w14:textId="2474EDBD" w:rsidR="00E71920" w:rsidRPr="004A5CFA" w:rsidRDefault="00E71920" w:rsidP="0005492D">
      <w:pPr>
        <w:jc w:val="both"/>
      </w:pPr>
      <w:r w:rsidRPr="004A5CFA">
        <w:t>1</w:t>
      </w:r>
      <w:r w:rsidRPr="004A5CFA">
        <w:tab/>
      </w:r>
      <w:r w:rsidR="00AC6224" w:rsidRPr="004A5CFA">
        <w:t>que elaboren</w:t>
      </w:r>
      <w:r w:rsidRPr="004A5CFA">
        <w:t xml:space="preserve"> directrices y prácticas idóneas para la resiliencia, la protección y la restauración de las infraestructuras de telecomunicaciones afectadas por conflictos;</w:t>
      </w:r>
    </w:p>
    <w:p w14:paraId="746ADFC8" w14:textId="37AAFBC0" w:rsidR="00E71920" w:rsidRPr="004A5CFA" w:rsidRDefault="00E71920" w:rsidP="0005492D">
      <w:pPr>
        <w:jc w:val="both"/>
      </w:pPr>
      <w:r w:rsidRPr="004A5CFA">
        <w:t>2</w:t>
      </w:r>
      <w:r w:rsidRPr="004A5CFA">
        <w:tab/>
      </w:r>
      <w:r w:rsidR="00AC6224" w:rsidRPr="004A5CFA">
        <w:t>que presten</w:t>
      </w:r>
      <w:r w:rsidRPr="004A5CFA">
        <w:t xml:space="preserve"> asistencia a los Estados Miembros afectados que lo soliciten para restablecer los servicios de comunicaciones;</w:t>
      </w:r>
    </w:p>
    <w:p w14:paraId="4317DF16" w14:textId="30F15ED4" w:rsidR="00E71920" w:rsidRPr="004A5CFA" w:rsidRDefault="00E71920" w:rsidP="0005492D">
      <w:pPr>
        <w:jc w:val="both"/>
      </w:pPr>
      <w:r w:rsidRPr="004A5CFA">
        <w:t>3</w:t>
      </w:r>
      <w:r w:rsidRPr="004A5CFA">
        <w:tab/>
      </w:r>
      <w:r w:rsidR="00AC6224" w:rsidRPr="004A5CFA">
        <w:t>que apoyen</w:t>
      </w:r>
      <w:r w:rsidRPr="004A5CFA">
        <w:t xml:space="preserve"> la capacitación en materia de resiliencia de las infraestructuras de telecomunicaciones y fomente el intercambio de información y lecciones aprendidas,</w:t>
      </w:r>
    </w:p>
    <w:p w14:paraId="05D62A55" w14:textId="77777777" w:rsidR="00E71920" w:rsidRPr="004A5CFA" w:rsidRDefault="00E71920" w:rsidP="00E71920">
      <w:pPr>
        <w:pStyle w:val="Call"/>
      </w:pPr>
      <w:r w:rsidRPr="004A5CFA">
        <w:t>invita a los Estados Miembros</w:t>
      </w:r>
    </w:p>
    <w:p w14:paraId="0422C278" w14:textId="77777777" w:rsidR="00E71920" w:rsidRPr="004A5CFA" w:rsidRDefault="00E71920" w:rsidP="0005492D">
      <w:pPr>
        <w:jc w:val="both"/>
      </w:pPr>
      <w:r w:rsidRPr="004A5CFA">
        <w:t>1</w:t>
      </w:r>
      <w:r w:rsidRPr="004A5CFA">
        <w:tab/>
        <w:t>a reconocer la infraestructura civil de telecomunicaciones/TIC como infraestructura civil esencial en sus leyes y políticas nacionales;</w:t>
      </w:r>
    </w:p>
    <w:p w14:paraId="448B22ED" w14:textId="77777777" w:rsidR="00E71920" w:rsidRPr="004A5CFA" w:rsidRDefault="00E71920" w:rsidP="0005492D">
      <w:pPr>
        <w:jc w:val="both"/>
      </w:pPr>
      <w:r w:rsidRPr="004A5CFA">
        <w:t>2</w:t>
      </w:r>
      <w:r w:rsidRPr="004A5CFA">
        <w:tab/>
        <w:t>a elaborar medidas para mejorar la resiliencia de las infraestructuras de telecomunicaciones y a cooperar en la protección de los sistemas de cables submarinos y otras infraestructuras digitales esenciales;</w:t>
      </w:r>
    </w:p>
    <w:p w14:paraId="28C7B3D1" w14:textId="77777777" w:rsidR="00E71920" w:rsidRPr="004A5CFA" w:rsidRDefault="00E71920" w:rsidP="0005492D">
      <w:pPr>
        <w:jc w:val="both"/>
      </w:pPr>
      <w:r w:rsidRPr="004A5CFA">
        <w:t>3</w:t>
      </w:r>
      <w:r w:rsidRPr="004A5CFA">
        <w:tab/>
        <w:t>a facilitar, en su caso, el restablecimiento de los servicios de comunicaciones en las zonas afectadas;</w:t>
      </w:r>
    </w:p>
    <w:p w14:paraId="104A2AFA" w14:textId="77777777" w:rsidR="00E71920" w:rsidRPr="004A5CFA" w:rsidRDefault="00E71920" w:rsidP="0005492D">
      <w:pPr>
        <w:jc w:val="both"/>
      </w:pPr>
      <w:r w:rsidRPr="004A5CFA">
        <w:t>4</w:t>
      </w:r>
      <w:r w:rsidRPr="004A5CFA">
        <w:tab/>
        <w:t>a compartir prácticas idóneas y experiencias nacionales con la Unión,</w:t>
      </w:r>
    </w:p>
    <w:p w14:paraId="085F6854" w14:textId="3305575A" w:rsidR="00E71920" w:rsidRPr="004A5CFA" w:rsidRDefault="00E71920" w:rsidP="00E71920">
      <w:pPr>
        <w:pStyle w:val="Call"/>
      </w:pPr>
      <w:r w:rsidRPr="004A5CFA">
        <w:t xml:space="preserve">invita a los Miembros de Sector, los Asociados y las </w:t>
      </w:r>
      <w:r w:rsidR="00312DFA" w:rsidRPr="004A5CFA">
        <w:t>Instituciones</w:t>
      </w:r>
      <w:r w:rsidRPr="004A5CFA">
        <w:t xml:space="preserve"> Académicas</w:t>
      </w:r>
    </w:p>
    <w:p w14:paraId="4F321823" w14:textId="77777777" w:rsidR="00E71920" w:rsidRPr="004A5CFA" w:rsidRDefault="00E71920" w:rsidP="00805596">
      <w:pPr>
        <w:jc w:val="both"/>
      </w:pPr>
      <w:r w:rsidRPr="004A5CFA">
        <w:t>1</w:t>
      </w:r>
      <w:r w:rsidRPr="004A5CFA">
        <w:tab/>
        <w:t>a contribuir con conocimientos técnicos especializados y prácticas idóneas y a apoyar la investigación sobre la resiliencia de las infraestructuras de telecomunicaciones;</w:t>
      </w:r>
    </w:p>
    <w:p w14:paraId="4FD4C457" w14:textId="77777777" w:rsidR="00E71920" w:rsidRPr="004A5CFA" w:rsidRDefault="00E71920" w:rsidP="00805596">
      <w:pPr>
        <w:jc w:val="both"/>
      </w:pPr>
      <w:r w:rsidRPr="004A5CFA">
        <w:t>2</w:t>
      </w:r>
      <w:r w:rsidRPr="004A5CFA">
        <w:tab/>
        <w:t>a cooperar con los Estados Miembros y la Unión en la mejora de la protección y resiliencia de las infraestructuras esenciales de comunicaciones.</w:t>
      </w:r>
    </w:p>
    <w:p w14:paraId="77C1284F" w14:textId="224B99E6" w:rsidR="00797CA0" w:rsidRPr="004A5CFA" w:rsidRDefault="00E71920" w:rsidP="00FE5BB2">
      <w:pPr>
        <w:pStyle w:val="Reasons"/>
        <w:jc w:val="both"/>
      </w:pPr>
      <w:r w:rsidRPr="004A5CFA">
        <w:rPr>
          <w:b/>
          <w:bCs/>
        </w:rPr>
        <w:lastRenderedPageBreak/>
        <w:t>Motivos:</w:t>
      </w:r>
      <w:r w:rsidRPr="004A5CFA">
        <w:tab/>
        <w:t>En la actualidad, la infraestructura civil de telecomunicaciones/TIC abarca los servicios esenciales de hospitales, escuelas, equipos de respuesta a emergencias y operaciones humanitarias, y su perturbación perjudica directamente a la población civil y tiene efectos transfronterizos en la conectividad regional y mundial. El Consejo de la UIT abordó esta cuestión por primera vez en 2026</w:t>
      </w:r>
      <w:r w:rsidR="00312DFA" w:rsidRPr="004A5CFA">
        <w:t>. L</w:t>
      </w:r>
      <w:r w:rsidRPr="004A5CFA">
        <w:t xml:space="preserve">a Conferencia de Plenipotenciarios, como órgano supremo de la Unión, es el órgano apropiado para darle una expresión duradera y universal. Esta propuesta consolida la práctica en desarrollo de la Unión, incluidas la Resolución 1408 (2022) sobre Ucrania y la Resolución 125 (Rev. Bucarest, 2022) sobre Palestina, en un solo principio permanente, de modo que la Unión </w:t>
      </w:r>
      <w:r w:rsidR="00312DFA" w:rsidRPr="004A5CFA">
        <w:t>no tiene que volver a abordar la cuestión caso por caso ante cada nuevo conflicto</w:t>
      </w:r>
      <w:r w:rsidRPr="004A5CFA">
        <w:t>.</w:t>
      </w:r>
      <w:r w:rsidR="00FE5BB2" w:rsidRPr="004A5CFA">
        <w:br/>
      </w:r>
      <w:r w:rsidRPr="004A5CFA">
        <w:t xml:space="preserve">La propuesta se formula deliberadamente para preservar el consenso. Afirma que la protección de la infraestructura civil de telecomunicaciones/TIC es la regla general, al tiempo que establece expresamente (en el </w:t>
      </w:r>
      <w:r w:rsidRPr="004A5CFA">
        <w:rPr>
          <w:i/>
          <w:iCs/>
        </w:rPr>
        <w:t>resuelve además</w:t>
      </w:r>
      <w:r w:rsidRPr="004A5CFA">
        <w:t>) que no crea, modifica ni interpreta las condiciones bajo las cuales la infraestructura utilizada con fines militares puede perder esa protección, cuestiones que se rigen por el derecho internacional humanitario y escapan al mandato de la Unión. Complementa, sin duplicar, la Resolución 130 (confianza y seguridad en la utilización de las TIC), la Resolución 136 y la Resolución 34 de la CMDT (asistencia humanitaria y situaciones de catástrofe) y los resultados del Foro Mundial de Política de las Telecomunicaciones/TIC (2026) sobre la resiliencia de las telecomunicaciones/TIC, ninguno de los cuales establece la protección durante los conflictos armados como principio permanente de la Conferencia de Plenipotenciarios.</w:t>
      </w:r>
      <w:r w:rsidR="00FE5BB2" w:rsidRPr="004A5CFA">
        <w:br/>
      </w:r>
      <w:r w:rsidR="00797CA0" w:rsidRPr="004A5CFA">
        <w:t xml:space="preserve">Las actividades previstas en la presente Resolución se llevarán a cabo con cargo a los recursos asignados en el </w:t>
      </w:r>
      <w:r w:rsidR="007F70D3" w:rsidRPr="004A5CFA">
        <w:t>P</w:t>
      </w:r>
      <w:r w:rsidR="00797CA0" w:rsidRPr="004A5CFA">
        <w:t xml:space="preserve">lan </w:t>
      </w:r>
      <w:r w:rsidR="007F70D3" w:rsidRPr="004A5CFA">
        <w:t>F</w:t>
      </w:r>
      <w:r w:rsidR="00797CA0" w:rsidRPr="004A5CFA">
        <w:t>inanciero y el presupuesto de la Unión; toda actividad que requiera recursos adicionales a los existentes estará sujeta a la disponibilidad de fondos, incluidos los procedentes de contribuciones voluntarias y asociaciones.</w:t>
      </w:r>
    </w:p>
    <w:p w14:paraId="199E1AD2" w14:textId="77777777" w:rsidR="00805596" w:rsidRDefault="00805596">
      <w:pPr>
        <w:jc w:val="center"/>
      </w:pPr>
      <w:r>
        <w:t>______________</w:t>
      </w:r>
    </w:p>
    <w:sectPr w:rsidR="00805596">
      <w:headerReference w:type="default" r:id="rId13"/>
      <w:footerReference w:type="first" r:id="rId14"/>
      <w:type w:val="continuous"/>
      <w:pgSz w:w="11913" w:h="16834" w:code="9"/>
      <w:pgMar w:top="1418" w:right="1134" w:bottom="1418" w:left="1134"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114219" w14:textId="77777777" w:rsidR="00177B37" w:rsidRDefault="00177B37">
      <w:r>
        <w:separator/>
      </w:r>
    </w:p>
  </w:endnote>
  <w:endnote w:type="continuationSeparator" w:id="0">
    <w:p w14:paraId="526AE34F" w14:textId="77777777" w:rsidR="00177B37" w:rsidRDefault="00177B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5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019E9" w14:textId="77777777" w:rsidR="004B07DB" w:rsidRPr="00BF32F2" w:rsidRDefault="004B07DB" w:rsidP="00BF32F2">
    <w:pPr>
      <w:pStyle w:val="firstfooter0"/>
      <w:spacing w:before="0" w:beforeAutospacing="0" w:after="0" w:afterAutospacing="0"/>
      <w:jc w:val="center"/>
      <w:rPr>
        <w:sz w:val="18"/>
        <w:szCs w:val="18"/>
      </w:rPr>
    </w:pPr>
    <w:r>
      <w:rPr>
        <w:rFonts w:ascii="Symbol" w:hAnsi="Symbol"/>
        <w:sz w:val="22"/>
        <w:szCs w:val="20"/>
        <w:lang w:val="en-GB"/>
      </w:rPr>
      <w:t></w:t>
    </w:r>
    <w:r>
      <w:rPr>
        <w:sz w:val="20"/>
        <w:szCs w:val="20"/>
        <w:lang w:val="en-GB"/>
      </w:rPr>
      <w:t xml:space="preserve"> </w:t>
    </w:r>
    <w:hyperlink r:id="rId1" w:history="1">
      <w:r w:rsidR="003B5DC9" w:rsidRPr="009415B6">
        <w:rPr>
          <w:rStyle w:val="Hyperlink"/>
          <w:color w:val="00A3E0"/>
          <w:sz w:val="22"/>
          <w:szCs w:val="22"/>
          <w:lang w:val="en-GB"/>
        </w:rPr>
        <w:t>www.itu.int/plenipotentiary/</w:t>
      </w:r>
    </w:hyperlink>
    <w:r w:rsidR="003B5DC9" w:rsidRPr="003B5DC9">
      <w:rPr>
        <w:color w:val="0000FF"/>
        <w:sz w:val="22"/>
        <w:szCs w:val="22"/>
        <w:u w:val="single"/>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9975FB" w14:textId="77777777" w:rsidR="00177B37" w:rsidRDefault="00177B37">
      <w:r>
        <w:t>____________________</w:t>
      </w:r>
    </w:p>
  </w:footnote>
  <w:footnote w:type="continuationSeparator" w:id="0">
    <w:p w14:paraId="10D3D0E4" w14:textId="77777777" w:rsidR="00177B37" w:rsidRDefault="00177B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B6869" w14:textId="77777777" w:rsidR="00255FA1" w:rsidRDefault="00255FA1" w:rsidP="00255FA1">
    <w:pPr>
      <w:pStyle w:val="Header"/>
    </w:pPr>
    <w:r>
      <w:fldChar w:fldCharType="begin"/>
    </w:r>
    <w:r>
      <w:instrText xml:space="preserve"> PAGE </w:instrText>
    </w:r>
    <w:r>
      <w:fldChar w:fldCharType="separate"/>
    </w:r>
    <w:r w:rsidR="00B30C52">
      <w:rPr>
        <w:noProof/>
      </w:rPr>
      <w:t>2</w:t>
    </w:r>
    <w:r>
      <w:fldChar w:fldCharType="end"/>
    </w:r>
  </w:p>
  <w:p w14:paraId="1301323A" w14:textId="77777777" w:rsidR="00255FA1" w:rsidRDefault="00255FA1" w:rsidP="00C43474">
    <w:pPr>
      <w:pStyle w:val="Header"/>
    </w:pPr>
    <w:r>
      <w:rPr>
        <w:lang w:val="en-US"/>
      </w:rPr>
      <w:t>PP</w:t>
    </w:r>
    <w:r w:rsidR="009D1BE0">
      <w:rPr>
        <w:lang w:val="en-US"/>
      </w:rPr>
      <w:t>2</w:t>
    </w:r>
    <w:r w:rsidR="009415B6">
      <w:rPr>
        <w:lang w:val="en-US"/>
      </w:rPr>
      <w:t>6</w:t>
    </w:r>
    <w:r>
      <w:t>/35-</w:t>
    </w:r>
    <w:r w:rsidRPr="00010B43">
      <w: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C14CF5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3169C3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6E0C94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A3C906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FB7A0D2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B06878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1DEA31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02E88D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356C66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33EA8C6"/>
    <w:lvl w:ilvl="0">
      <w:start w:val="1"/>
      <w:numFmt w:val="bullet"/>
      <w:lvlText w:val=""/>
      <w:lvlJc w:val="left"/>
      <w:pPr>
        <w:tabs>
          <w:tab w:val="num" w:pos="360"/>
        </w:tabs>
        <w:ind w:left="360" w:hanging="360"/>
      </w:pPr>
      <w:rPr>
        <w:rFonts w:ascii="Symbol" w:hAnsi="Symbol" w:hint="default"/>
      </w:rPr>
    </w:lvl>
  </w:abstractNum>
  <w:num w:numId="1" w16cid:durableId="541291728">
    <w:abstractNumId w:val="9"/>
  </w:num>
  <w:num w:numId="2" w16cid:durableId="665670575">
    <w:abstractNumId w:val="7"/>
  </w:num>
  <w:num w:numId="3" w16cid:durableId="2106605284">
    <w:abstractNumId w:val="6"/>
  </w:num>
  <w:num w:numId="4" w16cid:durableId="145711609">
    <w:abstractNumId w:val="5"/>
  </w:num>
  <w:num w:numId="5" w16cid:durableId="274991742">
    <w:abstractNumId w:val="4"/>
  </w:num>
  <w:num w:numId="6" w16cid:durableId="1880244439">
    <w:abstractNumId w:val="8"/>
  </w:num>
  <w:num w:numId="7" w16cid:durableId="1712533459">
    <w:abstractNumId w:val="3"/>
  </w:num>
  <w:num w:numId="8" w16cid:durableId="1150708700">
    <w:abstractNumId w:val="2"/>
  </w:num>
  <w:num w:numId="9" w16cid:durableId="1179152445">
    <w:abstractNumId w:val="1"/>
  </w:num>
  <w:num w:numId="10" w16cid:durableId="15134515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8E0"/>
    <w:rsid w:val="0000188C"/>
    <w:rsid w:val="000507CA"/>
    <w:rsid w:val="0005492D"/>
    <w:rsid w:val="00057402"/>
    <w:rsid w:val="000863AB"/>
    <w:rsid w:val="00092664"/>
    <w:rsid w:val="00096BFD"/>
    <w:rsid w:val="000A1523"/>
    <w:rsid w:val="000B1752"/>
    <w:rsid w:val="000B552B"/>
    <w:rsid w:val="0010546D"/>
    <w:rsid w:val="00135F93"/>
    <w:rsid w:val="00141EBC"/>
    <w:rsid w:val="001632E3"/>
    <w:rsid w:val="00177B37"/>
    <w:rsid w:val="001D4983"/>
    <w:rsid w:val="001D6EC3"/>
    <w:rsid w:val="001D787B"/>
    <w:rsid w:val="001E3D06"/>
    <w:rsid w:val="001F0B24"/>
    <w:rsid w:val="002235FD"/>
    <w:rsid w:val="00225F6B"/>
    <w:rsid w:val="00237C17"/>
    <w:rsid w:val="00242376"/>
    <w:rsid w:val="00255FA1"/>
    <w:rsid w:val="00261201"/>
    <w:rsid w:val="00262FF4"/>
    <w:rsid w:val="00277985"/>
    <w:rsid w:val="002C6527"/>
    <w:rsid w:val="002E44FC"/>
    <w:rsid w:val="00312DFA"/>
    <w:rsid w:val="0034517E"/>
    <w:rsid w:val="00351381"/>
    <w:rsid w:val="003537B5"/>
    <w:rsid w:val="003707E5"/>
    <w:rsid w:val="00375610"/>
    <w:rsid w:val="00391611"/>
    <w:rsid w:val="003B5DC9"/>
    <w:rsid w:val="003D0027"/>
    <w:rsid w:val="003E6E73"/>
    <w:rsid w:val="003F2B9A"/>
    <w:rsid w:val="004004B5"/>
    <w:rsid w:val="00463043"/>
    <w:rsid w:val="00467E20"/>
    <w:rsid w:val="00484B72"/>
    <w:rsid w:val="00491A25"/>
    <w:rsid w:val="004A346E"/>
    <w:rsid w:val="004A5CFA"/>
    <w:rsid w:val="004A63A9"/>
    <w:rsid w:val="004B07DB"/>
    <w:rsid w:val="004B09D4"/>
    <w:rsid w:val="004B0BCB"/>
    <w:rsid w:val="004C27F5"/>
    <w:rsid w:val="004C39C6"/>
    <w:rsid w:val="004D23BA"/>
    <w:rsid w:val="004E069C"/>
    <w:rsid w:val="004E08E0"/>
    <w:rsid w:val="004E28FB"/>
    <w:rsid w:val="004F4BB1"/>
    <w:rsid w:val="00504FD4"/>
    <w:rsid w:val="00507662"/>
    <w:rsid w:val="00512FF1"/>
    <w:rsid w:val="00523448"/>
    <w:rsid w:val="005359B6"/>
    <w:rsid w:val="005470E8"/>
    <w:rsid w:val="00550FCF"/>
    <w:rsid w:val="00556958"/>
    <w:rsid w:val="005661CE"/>
    <w:rsid w:val="00567ED5"/>
    <w:rsid w:val="00570B26"/>
    <w:rsid w:val="005A329F"/>
    <w:rsid w:val="005A7CBE"/>
    <w:rsid w:val="005D1164"/>
    <w:rsid w:val="005D6488"/>
    <w:rsid w:val="005F6278"/>
    <w:rsid w:val="00601280"/>
    <w:rsid w:val="00641DBD"/>
    <w:rsid w:val="006426C0"/>
    <w:rsid w:val="006455D2"/>
    <w:rsid w:val="006537F3"/>
    <w:rsid w:val="00694C94"/>
    <w:rsid w:val="006B5512"/>
    <w:rsid w:val="006C190D"/>
    <w:rsid w:val="00720686"/>
    <w:rsid w:val="00722CE4"/>
    <w:rsid w:val="00737EFF"/>
    <w:rsid w:val="00746904"/>
    <w:rsid w:val="00750806"/>
    <w:rsid w:val="00780430"/>
    <w:rsid w:val="007875D2"/>
    <w:rsid w:val="00797CA0"/>
    <w:rsid w:val="007D61E2"/>
    <w:rsid w:val="007F6EBC"/>
    <w:rsid w:val="007F70D3"/>
    <w:rsid w:val="00805596"/>
    <w:rsid w:val="008062E9"/>
    <w:rsid w:val="00810D8B"/>
    <w:rsid w:val="008451A1"/>
    <w:rsid w:val="00882773"/>
    <w:rsid w:val="008B4706"/>
    <w:rsid w:val="008B6676"/>
    <w:rsid w:val="008C3FA8"/>
    <w:rsid w:val="008D3959"/>
    <w:rsid w:val="008E2A14"/>
    <w:rsid w:val="008E51C5"/>
    <w:rsid w:val="008F7109"/>
    <w:rsid w:val="009107B0"/>
    <w:rsid w:val="009220DE"/>
    <w:rsid w:val="00930E84"/>
    <w:rsid w:val="009415B6"/>
    <w:rsid w:val="00956FE6"/>
    <w:rsid w:val="00973896"/>
    <w:rsid w:val="00975694"/>
    <w:rsid w:val="00976230"/>
    <w:rsid w:val="00981480"/>
    <w:rsid w:val="0098458F"/>
    <w:rsid w:val="0099270D"/>
    <w:rsid w:val="0099551E"/>
    <w:rsid w:val="009A1A86"/>
    <w:rsid w:val="009D1BE0"/>
    <w:rsid w:val="009E0C42"/>
    <w:rsid w:val="009F447C"/>
    <w:rsid w:val="00A44F05"/>
    <w:rsid w:val="00A4511B"/>
    <w:rsid w:val="00A50BE3"/>
    <w:rsid w:val="00A70E95"/>
    <w:rsid w:val="00A9263B"/>
    <w:rsid w:val="00AA1F73"/>
    <w:rsid w:val="00AB190D"/>
    <w:rsid w:val="00AB34CA"/>
    <w:rsid w:val="00AC6224"/>
    <w:rsid w:val="00AD400E"/>
    <w:rsid w:val="00AF0DC5"/>
    <w:rsid w:val="00AF67A0"/>
    <w:rsid w:val="00B012B7"/>
    <w:rsid w:val="00B30C52"/>
    <w:rsid w:val="00B501AB"/>
    <w:rsid w:val="00B73978"/>
    <w:rsid w:val="00B77C4D"/>
    <w:rsid w:val="00BB13FE"/>
    <w:rsid w:val="00BC7EE2"/>
    <w:rsid w:val="00BF32F2"/>
    <w:rsid w:val="00BF5475"/>
    <w:rsid w:val="00C20ED7"/>
    <w:rsid w:val="00C2219C"/>
    <w:rsid w:val="00C3624C"/>
    <w:rsid w:val="00C42D2D"/>
    <w:rsid w:val="00C43474"/>
    <w:rsid w:val="00C61A48"/>
    <w:rsid w:val="00C71CAD"/>
    <w:rsid w:val="00C80F8F"/>
    <w:rsid w:val="00C84355"/>
    <w:rsid w:val="00C84A65"/>
    <w:rsid w:val="00CA3051"/>
    <w:rsid w:val="00CD20D9"/>
    <w:rsid w:val="00CD5058"/>
    <w:rsid w:val="00CD701A"/>
    <w:rsid w:val="00D05AAE"/>
    <w:rsid w:val="00D05E6B"/>
    <w:rsid w:val="00D066F8"/>
    <w:rsid w:val="00D254A6"/>
    <w:rsid w:val="00D42B55"/>
    <w:rsid w:val="00D57D70"/>
    <w:rsid w:val="00D728A7"/>
    <w:rsid w:val="00DE3E41"/>
    <w:rsid w:val="00E01245"/>
    <w:rsid w:val="00E01FBA"/>
    <w:rsid w:val="00E05D81"/>
    <w:rsid w:val="00E2017B"/>
    <w:rsid w:val="00E53DFC"/>
    <w:rsid w:val="00E625F2"/>
    <w:rsid w:val="00E66FC3"/>
    <w:rsid w:val="00E677DD"/>
    <w:rsid w:val="00E71920"/>
    <w:rsid w:val="00E73FD6"/>
    <w:rsid w:val="00E77F17"/>
    <w:rsid w:val="00E809D8"/>
    <w:rsid w:val="00E921EC"/>
    <w:rsid w:val="00EB23D0"/>
    <w:rsid w:val="00EC395A"/>
    <w:rsid w:val="00F01632"/>
    <w:rsid w:val="00F04858"/>
    <w:rsid w:val="00F13AA4"/>
    <w:rsid w:val="00F335D6"/>
    <w:rsid w:val="00F3510D"/>
    <w:rsid w:val="00F43C07"/>
    <w:rsid w:val="00F43D44"/>
    <w:rsid w:val="00F80E6E"/>
    <w:rsid w:val="00FD19EF"/>
    <w:rsid w:val="00FD7A16"/>
    <w:rsid w:val="00FE49A8"/>
    <w:rsid w:val="00FE5BB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9A174C"/>
  <w15:docId w15:val="{DA5BDCCB-471A-4152-B5D1-EC2E7BE35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63A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s-ES_tradnl" w:eastAsia="en-US"/>
    </w:rPr>
  </w:style>
  <w:style w:type="paragraph" w:styleId="Heading1">
    <w:name w:val="heading 1"/>
    <w:basedOn w:val="Normal"/>
    <w:next w:val="Normal"/>
    <w:qFormat/>
    <w:rsid w:val="004A63A9"/>
    <w:pPr>
      <w:keepNext/>
      <w:keepLines/>
      <w:spacing w:before="480"/>
      <w:ind w:left="567" w:hanging="567"/>
      <w:outlineLvl w:val="0"/>
    </w:pPr>
    <w:rPr>
      <w:b/>
      <w:sz w:val="28"/>
    </w:rPr>
  </w:style>
  <w:style w:type="paragraph" w:styleId="Heading2">
    <w:name w:val="heading 2"/>
    <w:basedOn w:val="Heading1"/>
    <w:next w:val="Normal"/>
    <w:qFormat/>
    <w:rsid w:val="00BB13FE"/>
    <w:pPr>
      <w:spacing w:before="320"/>
      <w:outlineLvl w:val="1"/>
    </w:pPr>
    <w:rPr>
      <w:sz w:val="24"/>
    </w:rPr>
  </w:style>
  <w:style w:type="paragraph" w:styleId="Heading3">
    <w:name w:val="heading 3"/>
    <w:basedOn w:val="Heading1"/>
    <w:next w:val="Normal"/>
    <w:qFormat/>
    <w:rsid w:val="00BB13FE"/>
    <w:pPr>
      <w:spacing w:before="200"/>
      <w:outlineLvl w:val="2"/>
    </w:pPr>
    <w:rPr>
      <w:sz w:val="24"/>
    </w:rPr>
  </w:style>
  <w:style w:type="paragraph" w:styleId="Heading4">
    <w:name w:val="heading 4"/>
    <w:basedOn w:val="Heading3"/>
    <w:next w:val="Normal"/>
    <w:qFormat/>
    <w:rsid w:val="00A70E95"/>
    <w:pPr>
      <w:ind w:left="1134" w:hanging="1134"/>
      <w:outlineLvl w:val="3"/>
    </w:pPr>
  </w:style>
  <w:style w:type="paragraph" w:styleId="Heading5">
    <w:name w:val="heading 5"/>
    <w:basedOn w:val="Heading4"/>
    <w:next w:val="Normal"/>
    <w:qFormat/>
    <w:rsid w:val="00A70E95"/>
    <w:pPr>
      <w:outlineLvl w:val="4"/>
    </w:pPr>
  </w:style>
  <w:style w:type="paragraph" w:styleId="Heading6">
    <w:name w:val="heading 6"/>
    <w:basedOn w:val="Heading4"/>
    <w:next w:val="Normal"/>
    <w:qFormat/>
    <w:rsid w:val="00A70E95"/>
    <w:pPr>
      <w:outlineLvl w:val="5"/>
    </w:pPr>
  </w:style>
  <w:style w:type="paragraph" w:styleId="Heading7">
    <w:name w:val="heading 7"/>
    <w:basedOn w:val="Heading4"/>
    <w:next w:val="Normal"/>
    <w:qFormat/>
    <w:rsid w:val="00A70E95"/>
    <w:pPr>
      <w:ind w:left="1701" w:hanging="1701"/>
      <w:outlineLvl w:val="6"/>
    </w:pPr>
  </w:style>
  <w:style w:type="paragraph" w:styleId="Heading8">
    <w:name w:val="heading 8"/>
    <w:basedOn w:val="Heading4"/>
    <w:next w:val="Normal"/>
    <w:qFormat/>
    <w:rsid w:val="00A70E95"/>
    <w:pPr>
      <w:ind w:left="1701" w:hanging="1701"/>
      <w:outlineLvl w:val="7"/>
    </w:pPr>
  </w:style>
  <w:style w:type="paragraph" w:styleId="Heading9">
    <w:name w:val="heading 9"/>
    <w:basedOn w:val="Heading4"/>
    <w:next w:val="Normal"/>
    <w:qFormat/>
    <w:rsid w:val="00A70E95"/>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70E95"/>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70E95"/>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70E95"/>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70E95"/>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70E95"/>
    <w:rPr>
      <w:position w:val="6"/>
      <w:sz w:val="16"/>
    </w:rPr>
  </w:style>
  <w:style w:type="paragraph" w:styleId="FootnoteText">
    <w:name w:val="footnote text"/>
    <w:basedOn w:val="Normal"/>
    <w:rsid w:val="00A70E95"/>
    <w:pPr>
      <w:keepLines/>
      <w:tabs>
        <w:tab w:val="left" w:pos="256"/>
      </w:tabs>
      <w:ind w:left="256" w:hanging="256"/>
    </w:pPr>
  </w:style>
  <w:style w:type="paragraph" w:styleId="NormalIndent">
    <w:name w:val="Normal Indent"/>
    <w:basedOn w:val="Normal"/>
    <w:rsid w:val="00A70E95"/>
    <w:pPr>
      <w:ind w:left="567"/>
    </w:pPr>
  </w:style>
  <w:style w:type="paragraph" w:customStyle="1" w:styleId="Tablelegend">
    <w:name w:val="Table_legend"/>
    <w:basedOn w:val="Tabletext"/>
    <w:rsid w:val="00A70E95"/>
    <w:pPr>
      <w:spacing w:before="120"/>
    </w:pPr>
  </w:style>
  <w:style w:type="paragraph" w:customStyle="1" w:styleId="Tabletext">
    <w:name w:val="Table_text"/>
    <w:basedOn w:val="Normal"/>
    <w:rsid w:val="00A70E95"/>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70E95"/>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70E95"/>
    <w:pPr>
      <w:keepNext/>
      <w:spacing w:before="560" w:after="120"/>
      <w:jc w:val="center"/>
    </w:pPr>
    <w:rPr>
      <w:caps/>
    </w:rPr>
  </w:style>
  <w:style w:type="paragraph" w:customStyle="1" w:styleId="enumlev1">
    <w:name w:val="enumlev1"/>
    <w:basedOn w:val="Normal"/>
    <w:rsid w:val="00A70E95"/>
    <w:pPr>
      <w:spacing w:before="86"/>
      <w:ind w:left="567" w:hanging="567"/>
    </w:pPr>
  </w:style>
  <w:style w:type="paragraph" w:customStyle="1" w:styleId="enumlev2">
    <w:name w:val="enumlev2"/>
    <w:basedOn w:val="enumlev1"/>
    <w:rsid w:val="00A70E95"/>
    <w:pPr>
      <w:ind w:left="1134"/>
    </w:pPr>
  </w:style>
  <w:style w:type="paragraph" w:customStyle="1" w:styleId="enumlev3">
    <w:name w:val="enumlev3"/>
    <w:basedOn w:val="enumlev2"/>
    <w:rsid w:val="00A70E95"/>
    <w:pPr>
      <w:ind w:left="1701"/>
    </w:pPr>
  </w:style>
  <w:style w:type="paragraph" w:customStyle="1" w:styleId="Tablehead">
    <w:name w:val="Table_head"/>
    <w:basedOn w:val="Tabletext"/>
    <w:rsid w:val="00A70E95"/>
    <w:pPr>
      <w:spacing w:before="120" w:after="120"/>
      <w:jc w:val="center"/>
    </w:pPr>
    <w:rPr>
      <w:b/>
    </w:rPr>
  </w:style>
  <w:style w:type="paragraph" w:customStyle="1" w:styleId="Normalaftertitle">
    <w:name w:val="Normal after title"/>
    <w:basedOn w:val="Normal"/>
    <w:next w:val="Normal"/>
    <w:rsid w:val="00A70E95"/>
    <w:pPr>
      <w:spacing w:before="240"/>
    </w:pPr>
  </w:style>
  <w:style w:type="paragraph" w:customStyle="1" w:styleId="AnnexNo">
    <w:name w:val="Annex_No"/>
    <w:basedOn w:val="Normal"/>
    <w:next w:val="Annexref"/>
    <w:rsid w:val="00BB13FE"/>
    <w:pPr>
      <w:spacing w:before="720"/>
      <w:jc w:val="center"/>
    </w:pPr>
    <w:rPr>
      <w:caps/>
      <w:sz w:val="28"/>
    </w:rPr>
  </w:style>
  <w:style w:type="paragraph" w:customStyle="1" w:styleId="Annexref">
    <w:name w:val="Annex_ref"/>
    <w:basedOn w:val="Normal"/>
    <w:next w:val="Annextitle"/>
    <w:rsid w:val="00BB13FE"/>
    <w:pPr>
      <w:jc w:val="center"/>
    </w:pPr>
    <w:rPr>
      <w:sz w:val="28"/>
    </w:rPr>
  </w:style>
  <w:style w:type="paragraph" w:customStyle="1" w:styleId="Annextitle">
    <w:name w:val="Annex_title"/>
    <w:basedOn w:val="Normal"/>
    <w:next w:val="Normal"/>
    <w:rsid w:val="00BB13FE"/>
    <w:pPr>
      <w:spacing w:before="240" w:after="240"/>
      <w:jc w:val="center"/>
    </w:pPr>
    <w:rPr>
      <w:b/>
      <w:sz w:val="28"/>
    </w:rPr>
  </w:style>
  <w:style w:type="paragraph" w:customStyle="1" w:styleId="AppendixNo">
    <w:name w:val="Appendix_No"/>
    <w:basedOn w:val="AnnexNo"/>
    <w:next w:val="Appendixref"/>
    <w:rsid w:val="00A70E95"/>
  </w:style>
  <w:style w:type="paragraph" w:customStyle="1" w:styleId="Appendixref">
    <w:name w:val="Appendix_ref"/>
    <w:basedOn w:val="Annexref"/>
    <w:next w:val="Appendixtitle"/>
    <w:rsid w:val="00A70E95"/>
  </w:style>
  <w:style w:type="paragraph" w:customStyle="1" w:styleId="Appendixtitle">
    <w:name w:val="Appendix_title"/>
    <w:basedOn w:val="Annextitle"/>
    <w:next w:val="Normal"/>
    <w:rsid w:val="00A70E95"/>
  </w:style>
  <w:style w:type="paragraph" w:customStyle="1" w:styleId="Reftitle">
    <w:name w:val="Ref_title"/>
    <w:basedOn w:val="Normal"/>
    <w:next w:val="Reftext"/>
    <w:rsid w:val="00BB13FE"/>
    <w:pPr>
      <w:spacing w:before="480"/>
      <w:jc w:val="center"/>
    </w:pPr>
    <w:rPr>
      <w:caps/>
      <w:sz w:val="28"/>
    </w:rPr>
  </w:style>
  <w:style w:type="paragraph" w:customStyle="1" w:styleId="Reftext">
    <w:name w:val="Ref_text"/>
    <w:basedOn w:val="Normal"/>
    <w:rsid w:val="00A70E95"/>
    <w:pPr>
      <w:ind w:left="567" w:hanging="567"/>
    </w:pPr>
  </w:style>
  <w:style w:type="paragraph" w:customStyle="1" w:styleId="Rectitle">
    <w:name w:val="Rec_title"/>
    <w:basedOn w:val="Normal"/>
    <w:next w:val="Heading1"/>
    <w:rsid w:val="004A63A9"/>
    <w:pPr>
      <w:spacing w:before="240"/>
      <w:jc w:val="center"/>
    </w:pPr>
    <w:rPr>
      <w:b/>
      <w:sz w:val="28"/>
    </w:rPr>
  </w:style>
  <w:style w:type="paragraph" w:customStyle="1" w:styleId="Call">
    <w:name w:val="Call"/>
    <w:basedOn w:val="Normal"/>
    <w:next w:val="Normal"/>
    <w:rsid w:val="00A70E95"/>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BB13FE"/>
    <w:pPr>
      <w:spacing w:before="720"/>
      <w:jc w:val="center"/>
    </w:pPr>
    <w:rPr>
      <w:caps/>
      <w:sz w:val="28"/>
    </w:rPr>
  </w:style>
  <w:style w:type="paragraph" w:customStyle="1" w:styleId="toc0">
    <w:name w:val="toc 0"/>
    <w:basedOn w:val="Normal"/>
    <w:next w:val="TOC1"/>
    <w:rsid w:val="00A70E95"/>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B13FE"/>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70E95"/>
    <w:pPr>
      <w:tabs>
        <w:tab w:val="clear" w:pos="567"/>
        <w:tab w:val="left" w:pos="851"/>
      </w:tabs>
    </w:pPr>
  </w:style>
  <w:style w:type="paragraph" w:customStyle="1" w:styleId="MinusFootnote">
    <w:name w:val="MinusFootnote"/>
    <w:basedOn w:val="Normal"/>
    <w:rsid w:val="00A70E95"/>
    <w:pPr>
      <w:ind w:left="-1701" w:hanging="284"/>
    </w:pPr>
  </w:style>
  <w:style w:type="paragraph" w:customStyle="1" w:styleId="Title3">
    <w:name w:val="Title 3"/>
    <w:basedOn w:val="Title2"/>
    <w:next w:val="Normalaftertitle"/>
    <w:rsid w:val="00A70E95"/>
    <w:rPr>
      <w:caps w:val="0"/>
    </w:rPr>
  </w:style>
  <w:style w:type="paragraph" w:customStyle="1" w:styleId="Title2">
    <w:name w:val="Title 2"/>
    <w:basedOn w:val="Source"/>
    <w:next w:val="Title3"/>
    <w:rsid w:val="00A70E95"/>
    <w:pPr>
      <w:spacing w:before="240"/>
    </w:pPr>
    <w:rPr>
      <w:b w:val="0"/>
      <w:caps/>
    </w:rPr>
  </w:style>
  <w:style w:type="paragraph" w:customStyle="1" w:styleId="Source">
    <w:name w:val="Source"/>
    <w:basedOn w:val="Normal"/>
    <w:next w:val="Title1"/>
    <w:rsid w:val="000A1523"/>
    <w:pPr>
      <w:spacing w:before="840"/>
      <w:jc w:val="center"/>
    </w:pPr>
    <w:rPr>
      <w:b/>
      <w:sz w:val="28"/>
    </w:rPr>
  </w:style>
  <w:style w:type="paragraph" w:customStyle="1" w:styleId="Title1">
    <w:name w:val="Title 1"/>
    <w:basedOn w:val="Source"/>
    <w:next w:val="Title2"/>
    <w:rsid w:val="00A70E95"/>
    <w:pPr>
      <w:spacing w:before="240"/>
    </w:pPr>
    <w:rPr>
      <w:b w:val="0"/>
      <w:caps/>
    </w:rPr>
  </w:style>
  <w:style w:type="paragraph" w:customStyle="1" w:styleId="ArtNo">
    <w:name w:val="Art_No"/>
    <w:basedOn w:val="Normal"/>
    <w:next w:val="Arttitle"/>
    <w:rsid w:val="00BB13FE"/>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B13FE"/>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A70E95"/>
  </w:style>
  <w:style w:type="paragraph" w:customStyle="1" w:styleId="Chaptitle">
    <w:name w:val="Chap_title"/>
    <w:basedOn w:val="Arttitle"/>
    <w:next w:val="Normal"/>
    <w:rsid w:val="00A70E95"/>
  </w:style>
  <w:style w:type="paragraph" w:customStyle="1" w:styleId="Reasons">
    <w:name w:val="Reasons"/>
    <w:basedOn w:val="Normal"/>
    <w:qFormat/>
    <w:rsid w:val="00A70E95"/>
  </w:style>
  <w:style w:type="paragraph" w:customStyle="1" w:styleId="ResNo">
    <w:name w:val="Res_No"/>
    <w:basedOn w:val="AnnexNo"/>
    <w:next w:val="Restitle"/>
    <w:rsid w:val="00A70E95"/>
  </w:style>
  <w:style w:type="paragraph" w:customStyle="1" w:styleId="Restitle">
    <w:name w:val="Res_title"/>
    <w:basedOn w:val="Annextitle"/>
    <w:next w:val="Normal"/>
    <w:rsid w:val="004A63A9"/>
  </w:style>
  <w:style w:type="paragraph" w:customStyle="1" w:styleId="AnnexNoS2">
    <w:name w:val="Annex_No_S2"/>
    <w:basedOn w:val="AnnexNo"/>
    <w:next w:val="AnnexrefS2"/>
    <w:rsid w:val="00BB13FE"/>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A70E95"/>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A70E95"/>
    <w:rPr>
      <w:caps w:val="0"/>
    </w:rPr>
  </w:style>
  <w:style w:type="paragraph" w:customStyle="1" w:styleId="Section2">
    <w:name w:val="Section 2"/>
    <w:basedOn w:val="Section1"/>
    <w:next w:val="Normal"/>
    <w:rsid w:val="00A70E95"/>
    <w:pPr>
      <w:spacing w:before="240"/>
    </w:pPr>
    <w:rPr>
      <w:b/>
      <w:i/>
    </w:rPr>
  </w:style>
  <w:style w:type="paragraph" w:customStyle="1" w:styleId="AppendixNoS2">
    <w:name w:val="Appendix_No_S2"/>
    <w:basedOn w:val="AppendixNo"/>
    <w:next w:val="Appendixref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B13FE"/>
    <w:pPr>
      <w:tabs>
        <w:tab w:val="left" w:pos="851"/>
      </w:tabs>
      <w:jc w:val="left"/>
    </w:pPr>
    <w:rPr>
      <w:b/>
      <w:sz w:val="24"/>
    </w:rPr>
  </w:style>
  <w:style w:type="paragraph" w:customStyle="1" w:styleId="ArttitleS2">
    <w:name w:val="Art_title_S2"/>
    <w:basedOn w:val="Arttitle"/>
    <w:next w:val="NormalS2"/>
    <w:rsid w:val="00BB13FE"/>
    <w:pPr>
      <w:tabs>
        <w:tab w:val="left" w:pos="851"/>
      </w:tabs>
      <w:jc w:val="left"/>
    </w:pPr>
    <w:rPr>
      <w:sz w:val="24"/>
    </w:rPr>
  </w:style>
  <w:style w:type="paragraph" w:customStyle="1" w:styleId="ChapNoS2">
    <w:name w:val="Chap_No_S2"/>
    <w:basedOn w:val="ChapNo"/>
    <w:next w:val="ChaptitleS2"/>
    <w:rsid w:val="004A63A9"/>
    <w:pPr>
      <w:tabs>
        <w:tab w:val="left" w:pos="851"/>
      </w:tabs>
      <w:jc w:val="left"/>
    </w:pPr>
    <w:rPr>
      <w:b/>
      <w:sz w:val="24"/>
    </w:rPr>
  </w:style>
  <w:style w:type="paragraph" w:customStyle="1" w:styleId="ChaptitleS2">
    <w:name w:val="Chap_title_S2"/>
    <w:basedOn w:val="Chaptitle"/>
    <w:next w:val="NormalS2"/>
    <w:rsid w:val="00BB13FE"/>
    <w:pPr>
      <w:tabs>
        <w:tab w:val="left" w:pos="851"/>
      </w:tabs>
      <w:jc w:val="left"/>
    </w:pPr>
    <w:rPr>
      <w:sz w:val="24"/>
    </w:rPr>
  </w:style>
  <w:style w:type="paragraph" w:customStyle="1" w:styleId="enumlev1S2">
    <w:name w:val="enumlev1_S2"/>
    <w:basedOn w:val="enumlev1"/>
    <w:rsid w:val="00A70E95"/>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70E95"/>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70E95"/>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70E95"/>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B13FE"/>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70E95"/>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B13FE"/>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70E95"/>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70E95"/>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70E95"/>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70E95"/>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70E95"/>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70E95"/>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70E95"/>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70E95"/>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A70E95"/>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B13FE"/>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A70E95"/>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B13F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B13FE"/>
    <w:pPr>
      <w:tabs>
        <w:tab w:val="left" w:pos="851"/>
      </w:tabs>
      <w:jc w:val="left"/>
    </w:pPr>
    <w:rPr>
      <w:caps/>
      <w:sz w:val="24"/>
    </w:rPr>
  </w:style>
  <w:style w:type="paragraph" w:customStyle="1" w:styleId="Section2S2">
    <w:name w:val="Section 2_S2"/>
    <w:basedOn w:val="Section2"/>
    <w:next w:val="NormalS2"/>
    <w:rsid w:val="004A63A9"/>
    <w:pPr>
      <w:tabs>
        <w:tab w:val="left" w:pos="851"/>
      </w:tabs>
      <w:jc w:val="left"/>
    </w:pPr>
    <w:rPr>
      <w:sz w:val="24"/>
    </w:rPr>
  </w:style>
  <w:style w:type="paragraph" w:customStyle="1" w:styleId="TableNoS2">
    <w:name w:val="Table_No_S2"/>
    <w:basedOn w:val="TableNo"/>
    <w:next w:val="TabletitleS2"/>
    <w:rsid w:val="00A70E95"/>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A70E95"/>
    <w:pPr>
      <w:keepNext w:val="0"/>
      <w:tabs>
        <w:tab w:val="clear" w:pos="2948"/>
        <w:tab w:val="clear" w:pos="4082"/>
        <w:tab w:val="left" w:pos="851"/>
      </w:tabs>
      <w:jc w:val="left"/>
    </w:pPr>
  </w:style>
  <w:style w:type="paragraph" w:customStyle="1" w:styleId="TabletextS2">
    <w:name w:val="Table_text_S2"/>
    <w:basedOn w:val="Tabletext"/>
    <w:rsid w:val="00A70E95"/>
    <w:pPr>
      <w:tabs>
        <w:tab w:val="left" w:pos="851"/>
      </w:tabs>
    </w:pPr>
    <w:rPr>
      <w:b/>
    </w:rPr>
  </w:style>
  <w:style w:type="paragraph" w:customStyle="1" w:styleId="TablelegendS2">
    <w:name w:val="Table_legend_S2"/>
    <w:basedOn w:val="Tablelegend"/>
    <w:rsid w:val="00A70E95"/>
    <w:pPr>
      <w:tabs>
        <w:tab w:val="left" w:pos="851"/>
      </w:tabs>
      <w:spacing w:after="0"/>
    </w:pPr>
    <w:rPr>
      <w:b/>
    </w:rPr>
  </w:style>
  <w:style w:type="paragraph" w:customStyle="1" w:styleId="FooterS2">
    <w:name w:val="Footer_S2"/>
    <w:basedOn w:val="Footer"/>
    <w:rsid w:val="00A70E95"/>
    <w:pPr>
      <w:tabs>
        <w:tab w:val="clear" w:pos="5954"/>
        <w:tab w:val="clear" w:pos="9639"/>
        <w:tab w:val="left" w:pos="3686"/>
        <w:tab w:val="right" w:pos="7655"/>
      </w:tabs>
      <w:ind w:left="-1985"/>
    </w:pPr>
  </w:style>
  <w:style w:type="paragraph" w:customStyle="1" w:styleId="HeaderS2">
    <w:name w:val="Header_S2"/>
    <w:basedOn w:val="Normal"/>
    <w:rsid w:val="00A70E95"/>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70E95"/>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70E95"/>
    <w:pPr>
      <w:tabs>
        <w:tab w:val="left" w:pos="851"/>
      </w:tabs>
      <w:jc w:val="left"/>
    </w:pPr>
  </w:style>
  <w:style w:type="paragraph" w:customStyle="1" w:styleId="NoteS2">
    <w:name w:val="Note_S2"/>
    <w:basedOn w:val="Note"/>
    <w:rsid w:val="00A70E95"/>
    <w:pPr>
      <w:tabs>
        <w:tab w:val="clear" w:pos="1134"/>
        <w:tab w:val="clear" w:pos="1701"/>
        <w:tab w:val="clear" w:pos="2268"/>
        <w:tab w:val="clear" w:pos="2835"/>
      </w:tabs>
    </w:pPr>
    <w:rPr>
      <w:b/>
    </w:rPr>
  </w:style>
  <w:style w:type="paragraph" w:styleId="Date">
    <w:name w:val="Date"/>
    <w:basedOn w:val="Normal"/>
    <w:rsid w:val="00A70E95"/>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customStyle="1" w:styleId="HeadingbS2">
    <w:name w:val="Headingb_S2"/>
    <w:basedOn w:val="Headingb"/>
    <w:next w:val="NormalS2"/>
    <w:rsid w:val="00A70E95"/>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70E95"/>
    <w:pPr>
      <w:spacing w:before="160"/>
      <w:outlineLvl w:val="0"/>
    </w:pPr>
  </w:style>
  <w:style w:type="paragraph" w:customStyle="1" w:styleId="HeadingiS2">
    <w:name w:val="Headingi_S2"/>
    <w:basedOn w:val="Headingi"/>
    <w:next w:val="NormalS2"/>
    <w:rsid w:val="00A70E95"/>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4A63A9"/>
    <w:pPr>
      <w:spacing w:before="160"/>
      <w:outlineLvl w:val="0"/>
    </w:pPr>
    <w:rPr>
      <w:b w:val="0"/>
      <w:i/>
    </w:rPr>
  </w:style>
  <w:style w:type="paragraph" w:customStyle="1" w:styleId="FirstFooter">
    <w:name w:val="FirstFooter"/>
    <w:basedOn w:val="Footer"/>
    <w:rsid w:val="00A70E95"/>
    <w:rPr>
      <w:caps w:val="0"/>
    </w:rPr>
  </w:style>
  <w:style w:type="paragraph" w:styleId="TOC9">
    <w:name w:val="toc 9"/>
    <w:basedOn w:val="Normal"/>
    <w:next w:val="Normal"/>
    <w:rsid w:val="00A70E95"/>
    <w:pPr>
      <w:tabs>
        <w:tab w:val="clear" w:pos="567"/>
        <w:tab w:val="clear" w:pos="1134"/>
        <w:tab w:val="clear" w:pos="1701"/>
        <w:tab w:val="clear" w:pos="2268"/>
        <w:tab w:val="clear" w:pos="2835"/>
        <w:tab w:val="right" w:leader="dot" w:pos="9645"/>
      </w:tabs>
      <w:ind w:left="1920"/>
    </w:pPr>
  </w:style>
  <w:style w:type="paragraph" w:customStyle="1" w:styleId="Heading1c">
    <w:name w:val="Heading 1c"/>
    <w:basedOn w:val="Heading1"/>
    <w:next w:val="Normal"/>
    <w:rsid w:val="000863AB"/>
    <w:pPr>
      <w:ind w:left="0" w:firstLine="0"/>
      <w:jc w:val="center"/>
      <w:outlineLvl w:val="9"/>
    </w:pPr>
  </w:style>
  <w:style w:type="paragraph" w:customStyle="1" w:styleId="Heading1cS2">
    <w:name w:val="Heading 1c_S2"/>
    <w:basedOn w:val="Heading1c"/>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4A63A9"/>
    <w:rPr>
      <w:b w:val="0"/>
      <w:i/>
    </w:rPr>
  </w:style>
  <w:style w:type="paragraph" w:customStyle="1" w:styleId="Heading2iS2">
    <w:name w:val="Heading 2i_S2"/>
    <w:basedOn w:val="Heading2i"/>
    <w:next w:val="NormalS2"/>
    <w:rsid w:val="00A70E95"/>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4A63A9"/>
    <w:rPr>
      <w:rFonts w:ascii="Calibri" w:hAnsi="Calibri"/>
    </w:rPr>
  </w:style>
  <w:style w:type="character" w:styleId="Hyperlink">
    <w:name w:val="Hyperlink"/>
    <w:basedOn w:val="DefaultParagraphFont"/>
    <w:uiPriority w:val="99"/>
    <w:rsid w:val="000863AB"/>
    <w:rPr>
      <w:rFonts w:ascii="Calibri" w:hAnsi="Calibri"/>
      <w:color w:val="0000FF"/>
      <w:u w:val="single"/>
    </w:rPr>
  </w:style>
  <w:style w:type="paragraph" w:customStyle="1" w:styleId="Head">
    <w:name w:val="Head"/>
    <w:basedOn w:val="Normal"/>
    <w:rsid w:val="00A70E95"/>
    <w:pPr>
      <w:tabs>
        <w:tab w:val="clear" w:pos="567"/>
        <w:tab w:val="clear" w:pos="1134"/>
        <w:tab w:val="clear" w:pos="1701"/>
        <w:tab w:val="clear" w:pos="2268"/>
        <w:tab w:val="clear" w:pos="2835"/>
      </w:tabs>
      <w:spacing w:before="0"/>
    </w:pPr>
  </w:style>
  <w:style w:type="paragraph" w:customStyle="1" w:styleId="Heading1pv">
    <w:name w:val="Heading 1pv"/>
    <w:basedOn w:val="Heading1"/>
    <w:next w:val="Normalpv"/>
    <w:rsid w:val="00A70E95"/>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Normalpv">
    <w:name w:val="Normal pv"/>
    <w:basedOn w:val="Normal"/>
    <w:rsid w:val="00A70E95"/>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2pv">
    <w:name w:val="Heading 2pv"/>
    <w:basedOn w:val="Heading1pv"/>
    <w:next w:val="Normalpv"/>
    <w:rsid w:val="00A70E95"/>
    <w:pPr>
      <w:spacing w:before="320"/>
      <w:outlineLvl w:val="1"/>
    </w:pPr>
  </w:style>
  <w:style w:type="paragraph" w:customStyle="1" w:styleId="Heading3pv">
    <w:name w:val="Heading 3pv"/>
    <w:basedOn w:val="Heading1pv"/>
    <w:next w:val="Normalpv"/>
    <w:rsid w:val="00A70E95"/>
    <w:pPr>
      <w:spacing w:before="200"/>
      <w:outlineLvl w:val="2"/>
    </w:pPr>
  </w:style>
  <w:style w:type="paragraph" w:customStyle="1" w:styleId="NormalendS2">
    <w:name w:val="Normal_end_S2"/>
    <w:basedOn w:val="Normal"/>
    <w:qFormat/>
    <w:rsid w:val="00F80E6E"/>
    <w:pPr>
      <w:tabs>
        <w:tab w:val="clear" w:pos="567"/>
        <w:tab w:val="clear" w:pos="1134"/>
        <w:tab w:val="clear" w:pos="1701"/>
        <w:tab w:val="clear" w:pos="2268"/>
        <w:tab w:val="clear" w:pos="2835"/>
      </w:tabs>
      <w:overflowPunct/>
      <w:autoSpaceDE/>
      <w:autoSpaceDN/>
      <w:adjustRightInd/>
      <w:spacing w:before="0"/>
      <w:textAlignment w:val="auto"/>
    </w:pPr>
  </w:style>
  <w:style w:type="paragraph" w:customStyle="1" w:styleId="Dectitle">
    <w:name w:val="Dec_title"/>
    <w:basedOn w:val="Rectitle"/>
    <w:next w:val="Normalaftertitle"/>
    <w:qFormat/>
    <w:rsid w:val="009A1A86"/>
  </w:style>
  <w:style w:type="paragraph" w:customStyle="1" w:styleId="DecNo">
    <w:name w:val="Dec_No"/>
    <w:basedOn w:val="RecNo"/>
    <w:next w:val="Dectitle"/>
    <w:qFormat/>
    <w:rsid w:val="009A1A86"/>
  </w:style>
  <w:style w:type="paragraph" w:customStyle="1" w:styleId="DectitleS2">
    <w:name w:val="Dec_title_S2"/>
    <w:basedOn w:val="RestitleS2"/>
    <w:next w:val="Normal"/>
    <w:qFormat/>
    <w:rsid w:val="009A1A86"/>
  </w:style>
  <w:style w:type="paragraph" w:customStyle="1" w:styleId="DecNoS2">
    <w:name w:val="Dec_No_S2"/>
    <w:basedOn w:val="ResNoS2"/>
    <w:next w:val="DectitleS2"/>
    <w:qFormat/>
    <w:rsid w:val="009A1A86"/>
  </w:style>
  <w:style w:type="paragraph" w:customStyle="1" w:styleId="SectionNo">
    <w:name w:val="Section_No"/>
    <w:basedOn w:val="ArtNo"/>
    <w:next w:val="Normal"/>
    <w:qFormat/>
    <w:rsid w:val="00CD20D9"/>
    <w:rPr>
      <w:lang w:val="en-GB"/>
    </w:rPr>
  </w:style>
  <w:style w:type="paragraph" w:customStyle="1" w:styleId="SectionNoS2">
    <w:name w:val="Section_No_S2"/>
    <w:basedOn w:val="ArtNoS2"/>
    <w:next w:val="Normal"/>
    <w:qFormat/>
    <w:rsid w:val="00CD20D9"/>
    <w:rPr>
      <w:lang w:val="en-GB"/>
    </w:rPr>
  </w:style>
  <w:style w:type="paragraph" w:customStyle="1" w:styleId="Sectiontitle">
    <w:name w:val="Section_title"/>
    <w:basedOn w:val="Arttitle"/>
    <w:next w:val="Normalaftertitle"/>
    <w:qFormat/>
    <w:rsid w:val="00CD20D9"/>
    <w:rPr>
      <w:lang w:val="en-GB"/>
    </w:rPr>
  </w:style>
  <w:style w:type="paragraph" w:customStyle="1" w:styleId="SectiontitleS2">
    <w:name w:val="Section_title_S2"/>
    <w:basedOn w:val="ArttitleS2"/>
    <w:next w:val="Normal"/>
    <w:qFormat/>
    <w:rsid w:val="00CD20D9"/>
    <w:rPr>
      <w:lang w:val="en-GB"/>
    </w:rPr>
  </w:style>
  <w:style w:type="paragraph" w:customStyle="1" w:styleId="firstfooter0">
    <w:name w:val="firstfooter"/>
    <w:basedOn w:val="Normal"/>
    <w:rsid w:val="004B07DB"/>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Agendaitem">
    <w:name w:val="Agenda_item"/>
    <w:basedOn w:val="Normal"/>
    <w:next w:val="Normal"/>
    <w:qFormat/>
    <w:rsid w:val="00255FA1"/>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rPr>
  </w:style>
  <w:style w:type="paragraph" w:customStyle="1" w:styleId="Committee">
    <w:name w:val="Committee"/>
    <w:basedOn w:val="Normal"/>
    <w:qFormat/>
    <w:rsid w:val="00255FA1"/>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mallCaps/>
      <w:szCs w:val="24"/>
      <w:lang w:val="en-US"/>
    </w:rPr>
  </w:style>
  <w:style w:type="character" w:customStyle="1" w:styleId="HeaderChar">
    <w:name w:val="Header Char"/>
    <w:basedOn w:val="DefaultParagraphFont"/>
    <w:link w:val="Header"/>
    <w:rsid w:val="00255FA1"/>
    <w:rPr>
      <w:rFonts w:ascii="Calibri" w:hAnsi="Calibri"/>
      <w:sz w:val="18"/>
      <w:lang w:val="es-ES_tradnl" w:eastAsia="en-US"/>
    </w:rPr>
  </w:style>
  <w:style w:type="paragraph" w:customStyle="1" w:styleId="Proposal">
    <w:name w:val="Proposal"/>
    <w:basedOn w:val="Normal"/>
    <w:next w:val="Normal"/>
    <w:rsid w:val="003D0027"/>
    <w:pPr>
      <w:keepNext/>
      <w:tabs>
        <w:tab w:val="clear" w:pos="567"/>
        <w:tab w:val="clear" w:pos="1701"/>
        <w:tab w:val="clear" w:pos="2268"/>
        <w:tab w:val="clear" w:pos="2835"/>
      </w:tabs>
      <w:spacing w:before="240"/>
    </w:pPr>
    <w:rPr>
      <w:rFonts w:asciiTheme="minorHAnsi" w:hAnsi="Times New Roman Bold"/>
      <w:b/>
      <w:lang w:val="en-GB"/>
    </w:rPr>
  </w:style>
  <w:style w:type="paragraph" w:styleId="BalloonText">
    <w:name w:val="Balloon Text"/>
    <w:basedOn w:val="Normal"/>
    <w:link w:val="BalloonTextChar"/>
    <w:semiHidden/>
    <w:unhideWhenUsed/>
    <w:rsid w:val="00AD400E"/>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D400E"/>
    <w:rPr>
      <w:rFonts w:ascii="Tahoma" w:hAnsi="Tahoma" w:cs="Tahoma"/>
      <w:sz w:val="16"/>
      <w:szCs w:val="16"/>
      <w:lang w:val="es-ES_tradnl" w:eastAsia="en-US"/>
    </w:rPr>
  </w:style>
  <w:style w:type="paragraph" w:customStyle="1" w:styleId="OP">
    <w:name w:val="OP"/>
    <w:basedOn w:val="Normal"/>
    <w:next w:val="Normal"/>
    <w:qFormat/>
    <w:rsid w:val="00504FD4"/>
    <w:pPr>
      <w:tabs>
        <w:tab w:val="clear" w:pos="1134"/>
        <w:tab w:val="clear" w:pos="2268"/>
        <w:tab w:val="right" w:pos="567"/>
        <w:tab w:val="left" w:pos="794"/>
        <w:tab w:val="left" w:pos="1191"/>
        <w:tab w:val="left" w:pos="1588"/>
        <w:tab w:val="left" w:pos="1985"/>
      </w:tabs>
      <w:spacing w:before="1200" w:after="240" w:line="480" w:lineRule="atLeast"/>
      <w:jc w:val="center"/>
    </w:pPr>
    <w:rPr>
      <w:b/>
      <w:sz w:val="32"/>
      <w:lang w:val="en-GB"/>
    </w:rPr>
  </w:style>
  <w:style w:type="paragraph" w:customStyle="1" w:styleId="OPtitle">
    <w:name w:val="OP_title"/>
    <w:basedOn w:val="Normal"/>
    <w:next w:val="Normalaftertitle"/>
    <w:qFormat/>
    <w:rsid w:val="00504FD4"/>
    <w:pPr>
      <w:jc w:val="center"/>
    </w:pPr>
    <w:rPr>
      <w:b/>
      <w:bCs/>
      <w:lang w:val="en-GB"/>
    </w:rPr>
  </w:style>
  <w:style w:type="paragraph" w:customStyle="1" w:styleId="VolumeTitle">
    <w:name w:val="VolumeTitle"/>
    <w:basedOn w:val="Normal"/>
    <w:next w:val="Normal"/>
    <w:rsid w:val="004B09D4"/>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504FD4"/>
  </w:style>
  <w:style w:type="character" w:styleId="UnresolvedMention">
    <w:name w:val="Unresolved Mention"/>
    <w:basedOn w:val="DefaultParagraphFont"/>
    <w:uiPriority w:val="99"/>
    <w:semiHidden/>
    <w:unhideWhenUsed/>
    <w:rsid w:val="003B5DC9"/>
    <w:rPr>
      <w:color w:val="605E5C"/>
      <w:shd w:val="clear" w:color="auto" w:fill="E1DFDD"/>
    </w:rPr>
  </w:style>
  <w:style w:type="character" w:styleId="FollowedHyperlink">
    <w:name w:val="FollowedHyperlink"/>
    <w:basedOn w:val="DefaultParagraphFont"/>
    <w:semiHidden/>
    <w:unhideWhenUsed/>
    <w:rsid w:val="00057402"/>
    <w:rPr>
      <w:color w:val="800080" w:themeColor="followedHyperlink"/>
      <w:u w:val="single"/>
    </w:rPr>
  </w:style>
  <w:style w:type="paragraph" w:styleId="NormalWeb">
    <w:name w:val="Normal (Web)"/>
    <w:basedOn w:val="Normal"/>
    <w:semiHidden/>
    <w:unhideWhenUsed/>
    <w:rsid w:val="00797CA0"/>
    <w:rPr>
      <w:rFonts w:ascii="Times New Roman" w:hAnsi="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1.xml"/><Relationship Id="rId16"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pp26.itu.int/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b3f50eb5-3afb-406a-80b9-27beefb9e5ea" targetNamespace="http://schemas.microsoft.com/office/2006/metadata/properties" ma:root="true" ma:fieldsID="d41af5c836d734370eb92e7ee5f83852" ns2:_="" ns3:_="">
    <xsd:import namespace="996b2e75-67fd-4955-a3b0-5ab9934cb50b"/>
    <xsd:import namespace="b3f50eb5-3afb-406a-80b9-27beefb9e5ea"/>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b3f50eb5-3afb-406a-80b9-27beefb9e5ea"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PM_x0020_Author xmlns="b3f50eb5-3afb-406a-80b9-27beefb9e5ea">DPM</DPM_x0020_Author>
    <DPM_x0020_File_x0020_name xmlns="b3f50eb5-3afb-406a-80b9-27beefb9e5ea">S26-PP-C-0035!!MSW-S</DPM_x0020_File_x0020_name>
    <DPM_x0020_Version xmlns="b3f50eb5-3afb-406a-80b9-27beefb9e5ea">DPM_2025.10.23.1</DPM_x0020_Version>
  </documentManagement>
</p:properties>
</file>

<file path=customXml/itemProps1.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b3f50eb5-3afb-406a-80b9-27beefb9e5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27E8234-F786-4EB6-AA53-8BC09038B5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16DEBCB-5B8D-4EB0-B7EC-26C5436CA417}">
  <ds:schemaRefs>
    <ds:schemaRef ds:uri="http://schemas.microsoft.com/sharepoint/v3/contenttype/forms"/>
  </ds:schemaRefs>
</ds:datastoreItem>
</file>

<file path=customXml/itemProps4.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b3f50eb5-3afb-406a-80b9-27beefb9e5ea"/>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6</Pages>
  <Words>2205</Words>
  <Characters>13985</Characters>
  <Application>Microsoft Office Word</Application>
  <DocSecurity>0</DocSecurity>
  <Lines>237</Lines>
  <Paragraphs>96</Paragraphs>
  <ScaleCrop>false</ScaleCrop>
  <HeadingPairs>
    <vt:vector size="2" baseType="variant">
      <vt:variant>
        <vt:lpstr>Title</vt:lpstr>
      </vt:variant>
      <vt:variant>
        <vt:i4>1</vt:i4>
      </vt:variant>
    </vt:vector>
  </HeadingPairs>
  <TitlesOfParts>
    <vt:vector size="1" baseType="lpstr">
      <vt:lpstr>S26-PP-C-0035!!MSW-S</vt:lpstr>
    </vt:vector>
  </TitlesOfParts>
  <Manager/>
  <Company/>
  <LinksUpToDate>false</LinksUpToDate>
  <CharactersWithSpaces>16094</CharactersWithSpaces>
  <SharedDoc>false</SharedDoc>
  <HyperlinkBase/>
  <HLinks>
    <vt:vector size="6" baseType="variant">
      <vt:variant>
        <vt:i4>4194374</vt:i4>
      </vt:variant>
      <vt:variant>
        <vt:i4>12</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Propuestas para los trabajos de la Conferencia - Proyecto de nueva Resolución [GHA-1]: Protección de la infraestructura civil de telecomunicaciones/TIC en situaciones de conflicto armado</dc:title>
  <dc:subject>ITU Plenipotentiary Conference (PP-26)</dc:subject>
  <dc:creator>Documents Proposals Manager (DPM)</dc:creator>
  <cp:keywords>DPM_v2026.8.25.1_prod</cp:keywords>
  <dc:description/>
  <dcterms:created xsi:type="dcterms:W3CDTF">2026-09-02T08:01:00Z</dcterms:created>
  <dcterms:modified xsi:type="dcterms:W3CDTF">2026-09-02T08:55:00Z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