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3816eab867a4726"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585D" w:rsidRDefault="00CD3B17" w14:paraId="6E4D9C78" w14:textId="77777777">
      <w:pPr>
        <w:pStyle w:val="Proposal"/>
      </w:pPr>
      <w:r>
        <w:t>ADD</w:t>
      </w:r>
      <w:r>
        <w:tab/>
        <w:t>GHA/35/1</w:t>
      </w:r>
    </w:p>
    <w:p w:rsidR="0008540E" w:rsidP="00361174" w:rsidRDefault="00CD3B17" w14:paraId="32789956" w14:textId="3AF4F74A">
      <w:pPr>
        <w:pStyle w:val="VolumeTitle"/>
        <w:rPr>
          <w:b w:val="0"/>
          <w:bCs w:val="0"/>
        </w:rPr>
      </w:pPr>
      <w:r w:rsidRPr="00243405">
        <w:rPr>
          <w:b w:val="0"/>
          <w:bCs w:val="0"/>
        </w:rPr>
        <w:t>Draft New Resolution</w:t>
      </w:r>
      <w:r w:rsidR="00243405">
        <w:rPr>
          <w:b w:val="0"/>
          <w:bCs w:val="0"/>
        </w:rPr>
        <w:t xml:space="preserve"> [GHA-1]</w:t>
      </w:r>
    </w:p>
    <w:p w:rsidRPr="00243405" w:rsidR="00243405" w:rsidP="00243405" w:rsidRDefault="00243405" w14:paraId="6DB00F70" w14:textId="5561B42C">
      <w:pPr>
        <w:pStyle w:val="Restitle"/>
        <w:rPr>
          <w:rFonts w:asciiTheme="minorHAnsi" w:hAnsiTheme="minorHAnsi" w:cstheme="minorHAnsi"/>
          <w:lang w:val="en-US" w:eastAsia="zh-CN"/>
        </w:rPr>
      </w:pPr>
      <w:r w:rsidRPr="00243405">
        <w:rPr>
          <w:rFonts w:asciiTheme="minorHAnsi" w:hAnsiTheme="minorHAnsi" w:cstheme="minorHAnsi"/>
          <w:lang w:val="en-US" w:eastAsia="zh-CN"/>
        </w:rPr>
        <w:t xml:space="preserve">Protection of civilian </w:t>
      </w:r>
      <w:proofErr w:type="gramStart"/>
      <w:r w:rsidRPr="00243405">
        <w:rPr>
          <w:rFonts w:asciiTheme="minorHAnsi" w:hAnsiTheme="minorHAnsi" w:cstheme="minorHAnsi"/>
          <w:lang w:val="en-US" w:eastAsia="zh-CN"/>
        </w:rPr>
        <w:t>telecommunication</w:t>
      </w:r>
      <w:proofErr w:type="gramEnd"/>
      <w:r w:rsidRPr="00243405">
        <w:rPr>
          <w:rFonts w:asciiTheme="minorHAnsi" w:hAnsiTheme="minorHAnsi" w:cstheme="minorHAnsi"/>
          <w:lang w:val="en-US" w:eastAsia="zh-CN"/>
        </w:rPr>
        <w:t xml:space="preserve">/ICT infrastructure </w:t>
      </w:r>
      <w:r w:rsidRPr="00243405">
        <w:rPr>
          <w:rFonts w:asciiTheme="minorHAnsi" w:hAnsiTheme="minorHAnsi" w:cstheme="minorHAnsi"/>
          <w:lang w:val="en-US" w:eastAsia="zh-CN"/>
        </w:rPr>
        <w:br/>
        <w:t>in situations of armed conflict</w:t>
      </w:r>
    </w:p>
    <w:p w:rsidRPr="00243405" w:rsidR="00243405" w:rsidP="00C53C0B" w:rsidRDefault="00243405" w14:paraId="0DA7E71B" w14:textId="77777777">
      <w:pPr>
        <w:pStyle w:val="Normalaftertitle"/>
        <w:rPr>
          <w:lang w:val="en-US" w:eastAsia="zh-CN"/>
        </w:rPr>
      </w:pPr>
      <w:r w:rsidRPr="00243405">
        <w:rPr>
          <w:lang w:val="en-US" w:eastAsia="zh-CN"/>
        </w:rPr>
        <w:t>The Plenipotentiary Conference of the International Telecommunication Union (Doha, 2026),</w:t>
      </w:r>
    </w:p>
    <w:p w:rsidRPr="00243405" w:rsidR="00243405" w:rsidP="00C53C0B" w:rsidRDefault="00243405" w14:paraId="7D59B213" w14:textId="77777777">
      <w:pPr>
        <w:pStyle w:val="Call"/>
        <w:rPr>
          <w:lang w:val="en-US" w:eastAsia="zh-CN"/>
        </w:rPr>
      </w:pPr>
      <w:r w:rsidRPr="00243405">
        <w:rPr>
          <w:lang w:val="en-US" w:eastAsia="zh-CN"/>
        </w:rPr>
        <w:t>recalling</w:t>
      </w:r>
    </w:p>
    <w:p w:rsidRPr="009C7675" w:rsidR="00243405" w:rsidP="00C53C0B" w:rsidRDefault="00243405" w14:paraId="751176BD" w14:textId="77777777">
      <w:pPr>
        <w:rPr>
          <w:lang w:val="en-US" w:eastAsia="zh-CN"/>
        </w:rPr>
      </w:pPr>
      <w:r w:rsidRPr="00C53C0B">
        <w:rPr>
          <w:i/>
          <w:iCs/>
          <w:lang w:val="en-US" w:eastAsia="zh-CN"/>
        </w:rPr>
        <w:t>a)</w:t>
      </w:r>
      <w:r w:rsidRPr="00243405">
        <w:rPr>
          <w:lang w:val="en-US" w:eastAsia="zh-CN"/>
        </w:rPr>
        <w:tab/>
        <w:t xml:space="preserve">the purposes of the Union set out in Article 1 of the Constitution of the International </w:t>
      </w:r>
      <w:r w:rsidRPr="009C7675">
        <w:rPr>
          <w:lang w:val="en-US" w:eastAsia="zh-CN"/>
        </w:rPr>
        <w:t xml:space="preserve">Telecommunication Union, including </w:t>
      </w:r>
      <w:proofErr w:type="gramStart"/>
      <w:r w:rsidRPr="009C7675">
        <w:rPr>
          <w:lang w:val="en-US" w:eastAsia="zh-CN"/>
        </w:rPr>
        <w:t>to promote</w:t>
      </w:r>
      <w:proofErr w:type="gramEnd"/>
      <w:r w:rsidRPr="009C7675">
        <w:rPr>
          <w:lang w:val="en-US" w:eastAsia="zh-CN"/>
        </w:rPr>
        <w:t xml:space="preserve"> the extension of the benefits of telecommunications to all the world's inhabitants and to facilitate peaceful relations through telecommunications;</w:t>
      </w:r>
    </w:p>
    <w:p w:rsidRPr="009C7675" w:rsidR="00243405" w:rsidP="00C53C0B" w:rsidRDefault="00243405" w14:paraId="3A0529F8" w14:textId="608EE404">
      <w:pPr>
        <w:rPr>
          <w:lang w:val="en-US" w:eastAsia="zh-CN"/>
        </w:rPr>
      </w:pPr>
      <w:r w:rsidRPr="009C7675">
        <w:rPr>
          <w:i/>
          <w:iCs/>
          <w:lang w:val="en-US" w:eastAsia="zh-CN"/>
        </w:rPr>
        <w:t>b)</w:t>
      </w:r>
      <w:r w:rsidRPr="009C7675">
        <w:rPr>
          <w:lang w:val="en-US" w:eastAsia="zh-CN"/>
        </w:rPr>
        <w:tab/>
      </w:r>
      <w:r w:rsidRPr="009C7675" w:rsidR="00C53C0B">
        <w:rPr>
          <w:lang w:val="en-US" w:eastAsia="zh-CN"/>
        </w:rPr>
        <w:t>Resolution 1436 (2026) of</w:t>
      </w:r>
      <w:r w:rsidRPr="009C7675">
        <w:rPr>
          <w:lang w:val="en-US" w:eastAsia="zh-CN"/>
        </w:rPr>
        <w:t xml:space="preserve"> the ITU Council</w:t>
      </w:r>
      <w:r w:rsidRPr="009C7675" w:rsidR="00C53C0B">
        <w:rPr>
          <w:lang w:val="en-US" w:eastAsia="zh-CN"/>
        </w:rPr>
        <w:t xml:space="preserve">, </w:t>
      </w:r>
      <w:r w:rsidRPr="009C7675">
        <w:rPr>
          <w:lang w:val="en-US" w:eastAsia="zh-CN"/>
        </w:rPr>
        <w:t xml:space="preserve">on </w:t>
      </w:r>
      <w:r w:rsidRPr="009C7675" w:rsidR="00C53C0B">
        <w:rPr>
          <w:lang w:val="en-US" w:eastAsia="zh-CN"/>
        </w:rPr>
        <w:t>the Impact on civilian Telecommunications/ICT infrastructure in Bahrain, Kuwait, the United Arab Emirates and Jordan, and its implications for regional and global connectivity;</w:t>
      </w:r>
    </w:p>
    <w:p w:rsidRPr="009C7675" w:rsidR="00243405" w:rsidP="00C53C0B" w:rsidRDefault="00243405" w14:paraId="7327EBED" w14:textId="77777777">
      <w:pPr>
        <w:rPr>
          <w:lang w:val="en-US" w:eastAsia="zh-CN"/>
        </w:rPr>
      </w:pPr>
      <w:r w:rsidRPr="009C7675">
        <w:rPr>
          <w:i/>
          <w:iCs/>
          <w:lang w:val="en-US" w:eastAsia="zh-CN"/>
        </w:rPr>
        <w:t>c)</w:t>
      </w:r>
      <w:r w:rsidRPr="009C7675">
        <w:rPr>
          <w:lang w:val="en-US" w:eastAsia="zh-CN"/>
        </w:rPr>
        <w:tab/>
        <w:t>Resolution 125 (Rev. Bucharest, 2022) of the Plenipotentiary Conference, on assistance and support to Palestine for infrastructure development and capacity building in the telecommunication and information technology sector;</w:t>
      </w:r>
    </w:p>
    <w:p w:rsidRPr="009C7675" w:rsidR="00243405" w:rsidP="00C53C0B" w:rsidRDefault="00243405" w14:paraId="5D92E552" w14:textId="77777777">
      <w:pPr>
        <w:rPr>
          <w:lang w:val="en-US" w:eastAsia="zh-CN"/>
        </w:rPr>
      </w:pPr>
      <w:r w:rsidRPr="009C7675">
        <w:rPr>
          <w:i/>
          <w:iCs/>
          <w:lang w:val="en-US" w:eastAsia="zh-CN"/>
        </w:rPr>
        <w:t>d)</w:t>
      </w:r>
      <w:r w:rsidRPr="009C7675">
        <w:rPr>
          <w:lang w:val="en-US" w:eastAsia="zh-CN"/>
        </w:rPr>
        <w:tab/>
        <w:t>Resolution 130 (Rev. Bucharest, 2022) of the Plenipotentiary Conference, on strengthening the role of ITU in building confidence and security in the use of information and communication technologies;</w:t>
      </w:r>
    </w:p>
    <w:p w:rsidRPr="009C7675" w:rsidR="00243405" w:rsidP="00C53C0B" w:rsidRDefault="00243405" w14:paraId="67746F4D" w14:textId="77777777">
      <w:pPr>
        <w:rPr>
          <w:lang w:val="en-US" w:eastAsia="zh-CN"/>
        </w:rPr>
      </w:pPr>
      <w:r w:rsidRPr="009C7675">
        <w:rPr>
          <w:i/>
          <w:iCs/>
          <w:lang w:val="en-US" w:eastAsia="zh-CN"/>
        </w:rPr>
        <w:t>e)</w:t>
      </w:r>
      <w:r w:rsidRPr="009C7675">
        <w:rPr>
          <w:lang w:val="en-US" w:eastAsia="zh-CN"/>
        </w:rPr>
        <w:tab/>
        <w:t>Resolution 136 (Rev. Bucharest, 2022) of the Plenipotentiary Conference, on the use of telecommunications/ICTs for humanitarian assistance and for monitoring and management in emergency and disaster situations;</w:t>
      </w:r>
    </w:p>
    <w:p w:rsidRPr="009C7675" w:rsidR="00243405" w:rsidP="00C53C0B" w:rsidRDefault="00243405" w14:paraId="78DEC81E" w14:textId="77777777">
      <w:pPr>
        <w:rPr>
          <w:lang w:val="en-US" w:eastAsia="zh-CN"/>
        </w:rPr>
      </w:pPr>
      <w:r w:rsidRPr="009C7675">
        <w:rPr>
          <w:i/>
          <w:iCs/>
          <w:lang w:val="en-US" w:eastAsia="zh-CN"/>
        </w:rPr>
        <w:t>f)</w:t>
      </w:r>
      <w:r w:rsidRPr="009C7675">
        <w:rPr>
          <w:lang w:val="en-US" w:eastAsia="zh-CN"/>
        </w:rPr>
        <w:tab/>
        <w:t>Resolution 34 (Rev. Baku, 2025) of the World Telecommunication Development Conference, on the role of telecommunications/ICTs in disaster preparedness, early warning, rescue, mitigation, relief and response;</w:t>
      </w:r>
    </w:p>
    <w:p w:rsidRPr="00243405" w:rsidR="00243405" w:rsidP="00C53C0B" w:rsidRDefault="00243405" w14:paraId="15B01D5D" w14:textId="7B292D4C">
      <w:pPr>
        <w:rPr>
          <w:lang w:val="en-US" w:eastAsia="zh-CN"/>
        </w:rPr>
      </w:pPr>
      <w:r w:rsidRPr="009C7675">
        <w:rPr>
          <w:i/>
          <w:iCs/>
          <w:lang w:val="en-US" w:eastAsia="zh-CN"/>
        </w:rPr>
        <w:t>g)</w:t>
      </w:r>
      <w:r w:rsidRPr="009C7675">
        <w:rPr>
          <w:lang w:val="en-US" w:eastAsia="zh-CN"/>
        </w:rPr>
        <w:tab/>
        <w:t>Resolution 1408 (</w:t>
      </w:r>
      <w:r w:rsidRPr="009C7675" w:rsidR="00C53C0B">
        <w:rPr>
          <w:lang w:eastAsia="zh-CN"/>
        </w:rPr>
        <w:t>Modified 2023</w:t>
      </w:r>
      <w:r w:rsidRPr="009C7675">
        <w:rPr>
          <w:lang w:val="en-US" w:eastAsia="zh-CN"/>
        </w:rPr>
        <w:t>) of the</w:t>
      </w:r>
      <w:r w:rsidRPr="00243405">
        <w:rPr>
          <w:lang w:val="en-US" w:eastAsia="zh-CN"/>
        </w:rPr>
        <w:t xml:space="preserve"> ITU Council, on assistance and support to Ukraine for rebuilding its telecommunication sector;</w:t>
      </w:r>
    </w:p>
    <w:p w:rsidRPr="00243405" w:rsidR="00243405" w:rsidP="00C53C0B" w:rsidRDefault="00243405" w14:paraId="20633302" w14:textId="77777777">
      <w:pPr>
        <w:rPr>
          <w:lang w:val="en-US" w:eastAsia="zh-CN"/>
        </w:rPr>
      </w:pPr>
      <w:r w:rsidRPr="00C53C0B">
        <w:rPr>
          <w:i/>
          <w:iCs/>
          <w:lang w:val="en-US" w:eastAsia="zh-CN"/>
        </w:rPr>
        <w:t>h)</w:t>
      </w:r>
      <w:r w:rsidRPr="00243405">
        <w:rPr>
          <w:lang w:val="en-US" w:eastAsia="zh-CN"/>
        </w:rPr>
        <w:tab/>
        <w:t>the Charter of the United Nations and the applicable rules and principles of international law,</w:t>
      </w:r>
    </w:p>
    <w:p w:rsidRPr="00243405" w:rsidR="00243405" w:rsidP="00C53C0B" w:rsidRDefault="00243405" w14:paraId="18A88C60" w14:textId="77777777">
      <w:pPr>
        <w:pStyle w:val="Call"/>
        <w:rPr>
          <w:lang w:val="en-US" w:eastAsia="zh-CN"/>
        </w:rPr>
      </w:pPr>
      <w:r w:rsidRPr="00243405">
        <w:rPr>
          <w:lang w:val="en-US" w:eastAsia="zh-CN"/>
        </w:rPr>
        <w:t>recognizing</w:t>
      </w:r>
    </w:p>
    <w:p w:rsidRPr="00243405" w:rsidR="00243405" w:rsidP="00C53C0B" w:rsidRDefault="00243405" w14:paraId="151DFEA4" w14:textId="77777777">
      <w:pPr>
        <w:rPr>
          <w:lang w:val="en-US" w:eastAsia="zh-CN"/>
        </w:rPr>
      </w:pPr>
      <w:r w:rsidRPr="00C53C0B">
        <w:rPr>
          <w:i/>
          <w:iCs/>
          <w:lang w:val="en-US" w:eastAsia="zh-CN"/>
        </w:rPr>
        <w:t>a)</w:t>
      </w:r>
      <w:r w:rsidRPr="00243405">
        <w:rPr>
          <w:lang w:val="en-US" w:eastAsia="zh-CN"/>
        </w:rPr>
        <w:tab/>
        <w:t>that civilian telecommunication/ICT infrastructure today carries the essential services of hospitals, schools, emergency and early-warning systems, humanitarian operations, and water, energy, transport and financial services, and is therefore indispensable to the protection of life and to the welfare of the civilian population;</w:t>
      </w:r>
    </w:p>
    <w:p w:rsidRPr="00243405" w:rsidR="00243405" w:rsidP="00C53C0B" w:rsidRDefault="00243405" w14:paraId="3ABEA329" w14:textId="77777777">
      <w:pPr>
        <w:rPr>
          <w:lang w:val="en-US" w:eastAsia="zh-CN"/>
        </w:rPr>
      </w:pPr>
      <w:r w:rsidRPr="00C53C0B">
        <w:rPr>
          <w:i/>
          <w:iCs/>
          <w:lang w:val="en-US" w:eastAsia="zh-CN"/>
        </w:rPr>
        <w:t>b)</w:t>
      </w:r>
      <w:r w:rsidRPr="00243405">
        <w:rPr>
          <w:lang w:val="en-US" w:eastAsia="zh-CN"/>
        </w:rPr>
        <w:tab/>
        <w:t>that such infrastructure increasingly constitutes critical civilian infrastructure, the disruption of which directly affects the civilian population that depends upon it;</w:t>
      </w:r>
    </w:p>
    <w:p w:rsidRPr="00243405" w:rsidR="00243405" w:rsidP="00C53C0B" w:rsidRDefault="00243405" w14:paraId="3E861D9B" w14:textId="77777777">
      <w:pPr>
        <w:rPr>
          <w:lang w:val="en-US" w:eastAsia="zh-CN"/>
        </w:rPr>
      </w:pPr>
      <w:r w:rsidRPr="00C53C0B">
        <w:rPr>
          <w:i/>
          <w:iCs/>
          <w:lang w:val="en-US" w:eastAsia="zh-CN"/>
        </w:rPr>
        <w:t>c)</w:t>
      </w:r>
      <w:r w:rsidRPr="00243405">
        <w:rPr>
          <w:lang w:val="en-US" w:eastAsia="zh-CN"/>
        </w:rPr>
        <w:tab/>
        <w:t xml:space="preserve">that submarine cables, satellite systems, data </w:t>
      </w:r>
      <w:proofErr w:type="spellStart"/>
      <w:r w:rsidRPr="00243405">
        <w:rPr>
          <w:lang w:val="en-US" w:eastAsia="zh-CN"/>
        </w:rPr>
        <w:t>centres</w:t>
      </w:r>
      <w:proofErr w:type="spellEnd"/>
      <w:r w:rsidRPr="00243405">
        <w:rPr>
          <w:lang w:val="en-US" w:eastAsia="zh-CN"/>
        </w:rPr>
        <w:t>, Internet exchange points and terrestrial transmission systems are essential and interconnected components of global digital infrastructure;</w:t>
      </w:r>
    </w:p>
    <w:p w:rsidRPr="00243405" w:rsidR="00243405" w:rsidP="00C53C0B" w:rsidRDefault="00243405" w14:paraId="3A2AA89D" w14:textId="77777777">
      <w:pPr>
        <w:rPr>
          <w:lang w:val="en-US" w:eastAsia="zh-CN"/>
        </w:rPr>
      </w:pPr>
      <w:r w:rsidRPr="00C53C0B">
        <w:rPr>
          <w:i/>
          <w:iCs/>
          <w:lang w:val="en-US" w:eastAsia="zh-CN"/>
        </w:rPr>
        <w:t>d)</w:t>
      </w:r>
      <w:r w:rsidRPr="00243405">
        <w:rPr>
          <w:lang w:val="en-US" w:eastAsia="zh-CN"/>
        </w:rPr>
        <w:tab/>
        <w:t>that attacks against telecommunication infrastructure may affect not only the territory in which the infrastructure is located but may also have regional and global implications for connectivity,</w:t>
      </w:r>
    </w:p>
    <w:p w:rsidRPr="00243405" w:rsidR="00243405" w:rsidP="00C53C0B" w:rsidRDefault="00243405" w14:paraId="119358B1" w14:textId="77777777">
      <w:pPr>
        <w:pStyle w:val="Call"/>
        <w:rPr>
          <w:lang w:val="en-US" w:eastAsia="zh-CN"/>
        </w:rPr>
      </w:pPr>
      <w:r w:rsidRPr="00243405">
        <w:rPr>
          <w:lang w:val="en-US" w:eastAsia="zh-CN"/>
        </w:rPr>
        <w:t>considering</w:t>
      </w:r>
    </w:p>
    <w:p w:rsidRPr="00243405" w:rsidR="00243405" w:rsidP="00C53C0B" w:rsidRDefault="00243405" w14:paraId="5CBE46FB" w14:textId="77777777">
      <w:pPr>
        <w:rPr>
          <w:lang w:val="en-US" w:eastAsia="zh-CN"/>
        </w:rPr>
      </w:pPr>
      <w:r w:rsidRPr="00C53C0B">
        <w:rPr>
          <w:i/>
          <w:iCs/>
          <w:lang w:val="en-US" w:eastAsia="zh-CN"/>
        </w:rPr>
        <w:t>a)</w:t>
      </w:r>
      <w:r w:rsidRPr="00243405">
        <w:rPr>
          <w:lang w:val="en-US" w:eastAsia="zh-CN"/>
        </w:rPr>
        <w:tab/>
        <w:t>that deliberate attacks against civilian telecommunication/ICT infrastructure may severely disrupt the availability of communication services to civilian populations and hinder humanitarian and emergency-response operations;</w:t>
      </w:r>
    </w:p>
    <w:p w:rsidRPr="00243405" w:rsidR="00243405" w:rsidP="00C53C0B" w:rsidRDefault="00243405" w14:paraId="0AB5EC5F" w14:textId="77777777">
      <w:pPr>
        <w:rPr>
          <w:lang w:val="en-US" w:eastAsia="zh-CN"/>
        </w:rPr>
      </w:pPr>
      <w:r w:rsidRPr="00C53C0B">
        <w:rPr>
          <w:i/>
          <w:iCs/>
          <w:lang w:val="en-US" w:eastAsia="zh-CN"/>
        </w:rPr>
        <w:t>b)</w:t>
      </w:r>
      <w:r w:rsidRPr="00243405">
        <w:rPr>
          <w:lang w:val="en-US" w:eastAsia="zh-CN"/>
        </w:rPr>
        <w:tab/>
        <w:t xml:space="preserve">that the protection and resilience of civilian telecommunication infrastructure are matters of common interest to all Member States, irrespective of their position </w:t>
      </w:r>
      <w:proofErr w:type="gramStart"/>
      <w:r w:rsidRPr="00243405">
        <w:rPr>
          <w:lang w:val="en-US" w:eastAsia="zh-CN"/>
        </w:rPr>
        <w:t>on</w:t>
      </w:r>
      <w:proofErr w:type="gramEnd"/>
      <w:r w:rsidRPr="00243405">
        <w:rPr>
          <w:lang w:val="en-US" w:eastAsia="zh-CN"/>
        </w:rPr>
        <w:t xml:space="preserve"> any </w:t>
      </w:r>
      <w:proofErr w:type="gramStart"/>
      <w:r w:rsidRPr="00243405">
        <w:rPr>
          <w:lang w:val="en-US" w:eastAsia="zh-CN"/>
        </w:rPr>
        <w:t>particular situation</w:t>
      </w:r>
      <w:proofErr w:type="gramEnd"/>
      <w:r w:rsidRPr="00243405">
        <w:rPr>
          <w:lang w:val="en-US" w:eastAsia="zh-CN"/>
        </w:rPr>
        <w:t>;</w:t>
      </w:r>
    </w:p>
    <w:p w:rsidRPr="00243405" w:rsidR="00243405" w:rsidP="00C53C0B" w:rsidRDefault="00243405" w14:paraId="00399C2F" w14:textId="77777777">
      <w:pPr>
        <w:rPr>
          <w:lang w:val="en-US" w:eastAsia="zh-CN"/>
        </w:rPr>
      </w:pPr>
      <w:r w:rsidRPr="00C53C0B">
        <w:rPr>
          <w:i/>
          <w:iCs/>
          <w:lang w:val="en-US" w:eastAsia="zh-CN"/>
        </w:rPr>
        <w:t>c)</w:t>
      </w:r>
      <w:r w:rsidRPr="00243405">
        <w:rPr>
          <w:lang w:val="en-US" w:eastAsia="zh-CN"/>
        </w:rPr>
        <w:tab/>
        <w:t>that the ITU Council addressed this matter for the first time in 2026 and that it warrants broader, permanent and universal consideration by the Plenipotentiary Conference,</w:t>
      </w:r>
    </w:p>
    <w:p w:rsidRPr="00243405" w:rsidR="00243405" w:rsidP="00C53C0B" w:rsidRDefault="00243405" w14:paraId="3D2955DF" w14:textId="77777777">
      <w:pPr>
        <w:pStyle w:val="Call"/>
        <w:rPr>
          <w:lang w:val="en-US" w:eastAsia="zh-CN"/>
        </w:rPr>
      </w:pPr>
      <w:r w:rsidRPr="00243405">
        <w:rPr>
          <w:lang w:val="en-US" w:eastAsia="zh-CN"/>
        </w:rPr>
        <w:t>conscious</w:t>
      </w:r>
    </w:p>
    <w:p w:rsidRPr="00243405" w:rsidR="00243405" w:rsidP="00243405" w:rsidRDefault="00243405" w14:paraId="75D01896" w14:textId="64CE4771">
      <w:pPr>
        <w:rPr>
          <w:rFonts w:asciiTheme="minorHAnsi" w:hAnsiTheme="minorHAnsi" w:cstheme="minorHAnsi"/>
          <w:lang w:val="en-US" w:eastAsia="zh-CN"/>
        </w:rPr>
      </w:pPr>
      <w:proofErr w:type="gramStart"/>
      <w:r w:rsidRPr="00243405">
        <w:rPr>
          <w:rFonts w:asciiTheme="minorHAnsi" w:hAnsiTheme="minorHAnsi" w:cstheme="minorHAnsi"/>
          <w:lang w:val="en-US" w:eastAsia="zh-CN"/>
        </w:rPr>
        <w:t>that questions</w:t>
      </w:r>
      <w:proofErr w:type="gramEnd"/>
      <w:r w:rsidRPr="00243405">
        <w:rPr>
          <w:rFonts w:asciiTheme="minorHAnsi" w:hAnsiTheme="minorHAnsi" w:cstheme="minorHAnsi"/>
          <w:lang w:val="en-US" w:eastAsia="zh-CN"/>
        </w:rPr>
        <w:t xml:space="preserve"> concerning the conduct of hostilities, including the conditions under which an object may or may not be made the subject of attack, are governed by international humanitarian law and fall outside the mandate of the Union,</w:t>
      </w:r>
    </w:p>
    <w:p w:rsidRPr="00243405" w:rsidR="00243405" w:rsidP="00C53C0B" w:rsidRDefault="00243405" w14:paraId="4B4C3325" w14:textId="77777777">
      <w:pPr>
        <w:pStyle w:val="Call"/>
        <w:rPr>
          <w:lang w:val="en-US" w:eastAsia="zh-CN"/>
        </w:rPr>
      </w:pPr>
      <w:r w:rsidRPr="00243405">
        <w:rPr>
          <w:lang w:val="en-US" w:eastAsia="zh-CN"/>
        </w:rPr>
        <w:t>noting</w:t>
      </w:r>
    </w:p>
    <w:p w:rsidRPr="00243405" w:rsidR="00243405" w:rsidP="00C53C0B" w:rsidRDefault="00243405" w14:paraId="4552E7A3" w14:textId="77777777">
      <w:pPr>
        <w:rPr>
          <w:lang w:val="en-US" w:eastAsia="zh-CN"/>
        </w:rPr>
      </w:pPr>
      <w:r w:rsidRPr="00C53C0B">
        <w:rPr>
          <w:i/>
          <w:iCs/>
          <w:lang w:val="en-US" w:eastAsia="zh-CN"/>
        </w:rPr>
        <w:t>a)</w:t>
      </w:r>
      <w:r w:rsidRPr="00243405">
        <w:rPr>
          <w:lang w:val="en-US" w:eastAsia="zh-CN"/>
        </w:rPr>
        <w:tab/>
        <w:t>the work of the ITU and its three Sectors in promoting resilient and secure telecommunication infrastructure;</w:t>
      </w:r>
    </w:p>
    <w:p w:rsidRPr="00243405" w:rsidR="00243405" w:rsidP="00C53C0B" w:rsidRDefault="00243405" w14:paraId="188D1FD9" w14:textId="77777777">
      <w:pPr>
        <w:rPr>
          <w:lang w:val="en-US" w:eastAsia="zh-CN"/>
        </w:rPr>
      </w:pPr>
      <w:r w:rsidRPr="00C53C0B">
        <w:rPr>
          <w:i/>
          <w:iCs/>
          <w:lang w:val="en-US" w:eastAsia="zh-CN"/>
        </w:rPr>
        <w:t>b)</w:t>
      </w:r>
      <w:r w:rsidRPr="00243405">
        <w:rPr>
          <w:lang w:val="en-US" w:eastAsia="zh-CN"/>
        </w:rPr>
        <w:tab/>
        <w:t>the work of the International Advisory Body on Submarine Cable Resilience, established jointly by ITU and the International Cable Protection Committee, and the outcomes of the World Telecommunication/ICT Policy Forum (2026) on the resilience of telecommunications/ICTs;</w:t>
      </w:r>
    </w:p>
    <w:p w:rsidRPr="00243405" w:rsidR="00243405" w:rsidP="00C53C0B" w:rsidRDefault="00243405" w14:paraId="790B942E" w14:textId="77777777">
      <w:pPr>
        <w:rPr>
          <w:lang w:val="en-US" w:eastAsia="zh-CN"/>
        </w:rPr>
      </w:pPr>
      <w:r w:rsidRPr="00C53C0B">
        <w:rPr>
          <w:i/>
          <w:iCs/>
          <w:lang w:val="en-US" w:eastAsia="zh-CN"/>
        </w:rPr>
        <w:t>c)</w:t>
      </w:r>
      <w:r w:rsidRPr="00243405">
        <w:rPr>
          <w:lang w:val="en-US" w:eastAsia="zh-CN"/>
        </w:rPr>
        <w:tab/>
        <w:t>the growing importance of international cooperation in safeguarding critical digital infrastructure,</w:t>
      </w:r>
    </w:p>
    <w:p w:rsidRPr="00243405" w:rsidR="00243405" w:rsidP="00C53C0B" w:rsidRDefault="00243405" w14:paraId="4C40AC6F" w14:textId="77777777">
      <w:pPr>
        <w:pStyle w:val="Call"/>
        <w:rPr>
          <w:lang w:val="en-US" w:eastAsia="zh-CN"/>
        </w:rPr>
      </w:pPr>
      <w:r w:rsidRPr="00243405">
        <w:rPr>
          <w:lang w:val="en-US" w:eastAsia="zh-CN"/>
        </w:rPr>
        <w:t>resolves</w:t>
      </w:r>
    </w:p>
    <w:p w:rsidRPr="00243405" w:rsidR="00243405" w:rsidP="00C53C0B" w:rsidRDefault="00243405" w14:paraId="682404C0" w14:textId="77777777">
      <w:pPr>
        <w:rPr>
          <w:lang w:val="en-US" w:eastAsia="zh-CN"/>
        </w:rPr>
      </w:pPr>
      <w:r w:rsidRPr="00243405">
        <w:rPr>
          <w:lang w:val="en-US" w:eastAsia="zh-CN"/>
        </w:rPr>
        <w:t>1</w:t>
      </w:r>
      <w:r w:rsidRPr="00243405">
        <w:rPr>
          <w:lang w:val="en-US" w:eastAsia="zh-CN"/>
        </w:rPr>
        <w:tab/>
        <w:t>to affirm, as a principle of the Union, that civilian telecommunication/ICT infrastructure constitutes critical civilian infrastructure and is presumed to be a civilian object entitled to protection in situations of armed conflict, in accordance with applicable international law;</w:t>
      </w:r>
    </w:p>
    <w:p w:rsidRPr="00243405" w:rsidR="00243405" w:rsidP="00C53C0B" w:rsidRDefault="00243405" w14:paraId="48D71F34" w14:textId="77777777">
      <w:pPr>
        <w:rPr>
          <w:lang w:val="en-US" w:eastAsia="zh-CN"/>
        </w:rPr>
      </w:pPr>
      <w:r w:rsidRPr="00243405">
        <w:rPr>
          <w:lang w:val="en-US" w:eastAsia="zh-CN"/>
        </w:rPr>
        <w:t>2</w:t>
      </w:r>
      <w:r w:rsidRPr="00243405">
        <w:rPr>
          <w:lang w:val="en-US" w:eastAsia="zh-CN"/>
        </w:rPr>
        <w:tab/>
        <w:t>to express grave concern at deliberate attacks against civilian telecommunication/ICT infrastructure that disrupt essential services to civilian populations;</w:t>
      </w:r>
    </w:p>
    <w:p w:rsidRPr="00243405" w:rsidR="00243405" w:rsidP="00C53C0B" w:rsidRDefault="00243405" w14:paraId="7FD4E57A" w14:textId="77777777">
      <w:pPr>
        <w:rPr>
          <w:lang w:val="en-US" w:eastAsia="zh-CN"/>
        </w:rPr>
      </w:pPr>
      <w:r w:rsidRPr="00243405">
        <w:rPr>
          <w:lang w:val="en-US" w:eastAsia="zh-CN"/>
        </w:rPr>
        <w:t>3</w:t>
      </w:r>
      <w:r w:rsidRPr="00243405">
        <w:rPr>
          <w:lang w:val="en-US" w:eastAsia="zh-CN"/>
        </w:rPr>
        <w:tab/>
        <w:t>to encourage Member States to take all appropriate measures, consistent with applicable international law, to protect and preserve civilian telecommunication/ICT infrastructure and the essential civilian services it supports;</w:t>
      </w:r>
    </w:p>
    <w:p w:rsidRPr="00243405" w:rsidR="00243405" w:rsidP="00C53C0B" w:rsidRDefault="00243405" w14:paraId="2574867D" w14:textId="77777777">
      <w:pPr>
        <w:rPr>
          <w:lang w:val="en-US" w:eastAsia="zh-CN"/>
        </w:rPr>
      </w:pPr>
      <w:r w:rsidRPr="00243405">
        <w:rPr>
          <w:lang w:val="en-US" w:eastAsia="zh-CN"/>
        </w:rPr>
        <w:t>4</w:t>
      </w:r>
      <w:r w:rsidRPr="00243405">
        <w:rPr>
          <w:lang w:val="en-US" w:eastAsia="zh-CN"/>
        </w:rPr>
        <w:tab/>
        <w:t>to promote the resilience, restoration and rapid recovery of telecommunication infrastructure affected by conflict;</w:t>
      </w:r>
    </w:p>
    <w:p w:rsidRPr="00243405" w:rsidR="00243405" w:rsidP="00C53C0B" w:rsidRDefault="00243405" w14:paraId="025824FB" w14:textId="77777777">
      <w:pPr>
        <w:rPr>
          <w:lang w:val="en-US" w:eastAsia="zh-CN"/>
        </w:rPr>
      </w:pPr>
      <w:r w:rsidRPr="00243405">
        <w:rPr>
          <w:lang w:val="en-US" w:eastAsia="zh-CN"/>
        </w:rPr>
        <w:t>5</w:t>
      </w:r>
      <w:r w:rsidRPr="00243405">
        <w:rPr>
          <w:lang w:val="en-US" w:eastAsia="zh-CN"/>
        </w:rPr>
        <w:tab/>
        <w:t>to strengthen international cooperation on the protection and resilience of critical telecommunication infrastructure,</w:t>
      </w:r>
    </w:p>
    <w:p w:rsidRPr="00243405" w:rsidR="00243405" w:rsidP="00C53C0B" w:rsidRDefault="00243405" w14:paraId="0A8F742C" w14:textId="77777777">
      <w:pPr>
        <w:pStyle w:val="Call"/>
        <w:rPr>
          <w:lang w:val="en-US" w:eastAsia="zh-CN"/>
        </w:rPr>
      </w:pPr>
      <w:r w:rsidRPr="00243405">
        <w:rPr>
          <w:lang w:val="en-US" w:eastAsia="zh-CN"/>
        </w:rPr>
        <w:t>resolves further</w:t>
      </w:r>
    </w:p>
    <w:p w:rsidRPr="00243405" w:rsidR="00243405" w:rsidP="00C53C0B" w:rsidRDefault="00243405" w14:paraId="3C687E4C" w14:textId="77777777">
      <w:pPr>
        <w:rPr>
          <w:lang w:val="en-US" w:eastAsia="zh-CN"/>
        </w:rPr>
      </w:pPr>
      <w:r w:rsidRPr="00243405">
        <w:rPr>
          <w:lang w:val="en-US" w:eastAsia="zh-CN"/>
        </w:rPr>
        <w:t>1</w:t>
      </w:r>
      <w:r w:rsidRPr="00243405">
        <w:rPr>
          <w:lang w:val="en-US" w:eastAsia="zh-CN"/>
        </w:rPr>
        <w:tab/>
        <w:t xml:space="preserve">that nothing in this Resolution shall be construed as creating, modifying or interpreting the rights or obligations of Member States under international humanitarian law or other rules of </w:t>
      </w:r>
      <w:r w:rsidRPr="00243405">
        <w:rPr>
          <w:lang w:val="en-US" w:eastAsia="zh-CN"/>
        </w:rPr>
        <w:t>international law, including the conditions under which an object may lose the protection to which it would otherwise be entitled;</w:t>
      </w:r>
    </w:p>
    <w:p w:rsidRPr="00243405" w:rsidR="00243405" w:rsidP="00C53C0B" w:rsidRDefault="00243405" w14:paraId="0FC210EE" w14:textId="77777777">
      <w:pPr>
        <w:rPr>
          <w:lang w:val="en-US" w:eastAsia="zh-CN"/>
        </w:rPr>
      </w:pPr>
      <w:r w:rsidRPr="00243405">
        <w:rPr>
          <w:lang w:val="en-US" w:eastAsia="zh-CN"/>
        </w:rPr>
        <w:t>2</w:t>
      </w:r>
      <w:r w:rsidRPr="00243405">
        <w:rPr>
          <w:lang w:val="en-US" w:eastAsia="zh-CN"/>
        </w:rPr>
        <w:tab/>
        <w:t xml:space="preserve">that this Resolution shall not be understood to take any position on the facts or the lawfulness of the conduct of any Member State or party in any </w:t>
      </w:r>
      <w:proofErr w:type="gramStart"/>
      <w:r w:rsidRPr="00243405">
        <w:rPr>
          <w:lang w:val="en-US" w:eastAsia="zh-CN"/>
        </w:rPr>
        <w:t>particular situation</w:t>
      </w:r>
      <w:proofErr w:type="gramEnd"/>
      <w:r w:rsidRPr="00243405">
        <w:rPr>
          <w:lang w:val="en-US" w:eastAsia="zh-CN"/>
        </w:rPr>
        <w:t>,</w:t>
      </w:r>
    </w:p>
    <w:p w:rsidRPr="00243405" w:rsidR="00243405" w:rsidP="00C53C0B" w:rsidRDefault="00243405" w14:paraId="23103129" w14:textId="77777777">
      <w:pPr>
        <w:pStyle w:val="Call"/>
        <w:rPr>
          <w:lang w:val="en-US" w:eastAsia="zh-CN"/>
        </w:rPr>
      </w:pPr>
      <w:r w:rsidRPr="00243405">
        <w:rPr>
          <w:lang w:val="en-US" w:eastAsia="zh-CN"/>
        </w:rPr>
        <w:t>instructs the Secretary-General</w:t>
      </w:r>
    </w:p>
    <w:p w:rsidRPr="00243405" w:rsidR="00243405" w:rsidP="00110D09" w:rsidRDefault="00243405" w14:paraId="3F3ABC4C" w14:textId="77777777">
      <w:pPr>
        <w:rPr>
          <w:lang w:val="en-US" w:eastAsia="zh-CN"/>
        </w:rPr>
      </w:pPr>
      <w:r w:rsidRPr="00243405">
        <w:rPr>
          <w:lang w:val="en-US" w:eastAsia="zh-CN"/>
        </w:rPr>
        <w:t>1</w:t>
      </w:r>
      <w:r w:rsidRPr="00243405">
        <w:rPr>
          <w:lang w:val="en-US" w:eastAsia="zh-CN"/>
        </w:rPr>
        <w:tab/>
        <w:t>to coordinate activities across the three Sectors of the Union relating to the protection and resilience of civilian telecommunication infrastructure;</w:t>
      </w:r>
    </w:p>
    <w:p w:rsidRPr="00243405" w:rsidR="00243405" w:rsidP="00110D09" w:rsidRDefault="00243405" w14:paraId="4B56979C" w14:textId="77777777">
      <w:pPr>
        <w:rPr>
          <w:lang w:val="en-US" w:eastAsia="zh-CN"/>
        </w:rPr>
      </w:pPr>
      <w:r w:rsidRPr="00243405">
        <w:rPr>
          <w:lang w:val="en-US" w:eastAsia="zh-CN"/>
        </w:rPr>
        <w:t>2</w:t>
      </w:r>
      <w:r w:rsidRPr="00243405">
        <w:rPr>
          <w:lang w:val="en-US" w:eastAsia="zh-CN"/>
        </w:rPr>
        <w:tab/>
        <w:t xml:space="preserve">to prepare periodic reports </w:t>
      </w:r>
      <w:proofErr w:type="gramStart"/>
      <w:r w:rsidRPr="00243405">
        <w:rPr>
          <w:lang w:val="en-US" w:eastAsia="zh-CN"/>
        </w:rPr>
        <w:t>to</w:t>
      </w:r>
      <w:proofErr w:type="gramEnd"/>
      <w:r w:rsidRPr="00243405">
        <w:rPr>
          <w:lang w:val="en-US" w:eastAsia="zh-CN"/>
        </w:rPr>
        <w:t xml:space="preserve"> the Council on the impact of conflicts and hostile incidents on global telecommunication infrastructure and connectivity;</w:t>
      </w:r>
    </w:p>
    <w:p w:rsidRPr="00243405" w:rsidR="00243405" w:rsidP="00110D09" w:rsidRDefault="00243405" w14:paraId="54031A01" w14:textId="77777777">
      <w:pPr>
        <w:rPr>
          <w:lang w:val="en-US" w:eastAsia="zh-CN"/>
        </w:rPr>
      </w:pPr>
      <w:r w:rsidRPr="00243405">
        <w:rPr>
          <w:lang w:val="en-US" w:eastAsia="zh-CN"/>
        </w:rPr>
        <w:t>3</w:t>
      </w:r>
      <w:r w:rsidRPr="00243405">
        <w:rPr>
          <w:lang w:val="en-US" w:eastAsia="zh-CN"/>
        </w:rPr>
        <w:tab/>
        <w:t>to cooperate, as appropriate and within the mandate of the Union, with relevant international organizations and the entities of the United Nations system on the protection and restoration of critical communication infrastructure,</w:t>
      </w:r>
    </w:p>
    <w:p w:rsidRPr="00243405" w:rsidR="00243405" w:rsidP="00C53C0B" w:rsidRDefault="00243405" w14:paraId="16098C81" w14:textId="77777777">
      <w:pPr>
        <w:pStyle w:val="Call"/>
        <w:rPr>
          <w:lang w:val="en-US" w:eastAsia="zh-CN"/>
        </w:rPr>
      </w:pPr>
      <w:r w:rsidRPr="00243405">
        <w:rPr>
          <w:lang w:val="en-US" w:eastAsia="zh-CN"/>
        </w:rPr>
        <w:t>instructs the Directors of the Bureaux</w:t>
      </w:r>
    </w:p>
    <w:p w:rsidRPr="00243405" w:rsidR="00243405" w:rsidP="00110D09" w:rsidRDefault="00243405" w14:paraId="075FF92C" w14:textId="77777777">
      <w:pPr>
        <w:rPr>
          <w:lang w:val="en-US" w:eastAsia="zh-CN"/>
        </w:rPr>
      </w:pPr>
      <w:r w:rsidRPr="00243405">
        <w:rPr>
          <w:lang w:val="en-US" w:eastAsia="zh-CN"/>
        </w:rPr>
        <w:t>1</w:t>
      </w:r>
      <w:r w:rsidRPr="00243405">
        <w:rPr>
          <w:lang w:val="en-US" w:eastAsia="zh-CN"/>
        </w:rPr>
        <w:tab/>
        <w:t>to develop guidelines and best practices for the resilience, protection and restoration of telecommunication infrastructure affected by conflict;</w:t>
      </w:r>
    </w:p>
    <w:p w:rsidRPr="00243405" w:rsidR="00243405" w:rsidP="00110D09" w:rsidRDefault="00243405" w14:paraId="07E6CB54" w14:textId="77777777">
      <w:pPr>
        <w:rPr>
          <w:lang w:val="en-US" w:eastAsia="zh-CN"/>
        </w:rPr>
      </w:pPr>
      <w:r w:rsidRPr="00243405">
        <w:rPr>
          <w:lang w:val="en-US" w:eastAsia="zh-CN"/>
        </w:rPr>
        <w:t>2</w:t>
      </w:r>
      <w:r w:rsidRPr="00243405">
        <w:rPr>
          <w:lang w:val="en-US" w:eastAsia="zh-CN"/>
        </w:rPr>
        <w:tab/>
        <w:t>to assist affected Member States, upon request, in restoring communication services;</w:t>
      </w:r>
    </w:p>
    <w:p w:rsidRPr="00243405" w:rsidR="00243405" w:rsidP="00110D09" w:rsidRDefault="00243405" w14:paraId="3C130DCA" w14:textId="77777777">
      <w:pPr>
        <w:rPr>
          <w:lang w:val="en-US" w:eastAsia="zh-CN"/>
        </w:rPr>
      </w:pPr>
      <w:r w:rsidRPr="00243405">
        <w:rPr>
          <w:lang w:val="en-US" w:eastAsia="zh-CN"/>
        </w:rPr>
        <w:t>3</w:t>
      </w:r>
      <w:r w:rsidRPr="00243405">
        <w:rPr>
          <w:lang w:val="en-US" w:eastAsia="zh-CN"/>
        </w:rPr>
        <w:tab/>
        <w:t>to support capacity building on the resilience of telecommunication infrastructure and to encourage the sharing of information and lessons learned,</w:t>
      </w:r>
    </w:p>
    <w:p w:rsidRPr="00243405" w:rsidR="00243405" w:rsidP="00C53C0B" w:rsidRDefault="00243405" w14:paraId="4204C1AB" w14:textId="77777777">
      <w:pPr>
        <w:pStyle w:val="Call"/>
        <w:rPr>
          <w:lang w:val="en-US" w:eastAsia="zh-CN"/>
        </w:rPr>
      </w:pPr>
      <w:r w:rsidRPr="00243405">
        <w:rPr>
          <w:lang w:val="en-US" w:eastAsia="zh-CN"/>
        </w:rPr>
        <w:t>invites Member States</w:t>
      </w:r>
    </w:p>
    <w:p w:rsidRPr="00243405" w:rsidR="00243405" w:rsidP="00110D09" w:rsidRDefault="00243405" w14:paraId="4B869B4E" w14:textId="77777777">
      <w:pPr>
        <w:rPr>
          <w:lang w:val="en-US" w:eastAsia="zh-CN"/>
        </w:rPr>
      </w:pPr>
      <w:r w:rsidRPr="00243405">
        <w:rPr>
          <w:lang w:val="en-US" w:eastAsia="zh-CN"/>
        </w:rPr>
        <w:t>1</w:t>
      </w:r>
      <w:r w:rsidRPr="00243405">
        <w:rPr>
          <w:lang w:val="en-US" w:eastAsia="zh-CN"/>
        </w:rPr>
        <w:tab/>
        <w:t>to recognize civilian telecommunication/ICT infrastructure as critical civilian infrastructure in their national laws and policies;</w:t>
      </w:r>
    </w:p>
    <w:p w:rsidRPr="00243405" w:rsidR="00243405" w:rsidP="00110D09" w:rsidRDefault="00243405" w14:paraId="0600E58B" w14:textId="77777777">
      <w:pPr>
        <w:rPr>
          <w:lang w:val="en-US" w:eastAsia="zh-CN"/>
        </w:rPr>
      </w:pPr>
      <w:r w:rsidRPr="00243405">
        <w:rPr>
          <w:lang w:val="en-US" w:eastAsia="zh-CN"/>
        </w:rPr>
        <w:t>2</w:t>
      </w:r>
      <w:r w:rsidRPr="00243405">
        <w:rPr>
          <w:lang w:val="en-US" w:eastAsia="zh-CN"/>
        </w:rPr>
        <w:tab/>
        <w:t>to develop measures to improve the resilience of telecommunication infrastructure and to cooperate in protecting submarine cable systems and other critical digital infrastructure;</w:t>
      </w:r>
    </w:p>
    <w:p w:rsidRPr="00243405" w:rsidR="00243405" w:rsidP="00110D09" w:rsidRDefault="00243405" w14:paraId="6B72AFAE" w14:textId="77777777">
      <w:pPr>
        <w:rPr>
          <w:lang w:val="en-US" w:eastAsia="zh-CN"/>
        </w:rPr>
      </w:pPr>
      <w:r w:rsidRPr="00243405">
        <w:rPr>
          <w:lang w:val="en-US" w:eastAsia="zh-CN"/>
        </w:rPr>
        <w:t>3</w:t>
      </w:r>
      <w:r w:rsidRPr="00243405">
        <w:rPr>
          <w:lang w:val="en-US" w:eastAsia="zh-CN"/>
        </w:rPr>
        <w:tab/>
        <w:t>to facilitate, where appropriate, the restoration of communication services in affected areas;</w:t>
      </w:r>
    </w:p>
    <w:p w:rsidRPr="00243405" w:rsidR="00243405" w:rsidP="00110D09" w:rsidRDefault="00243405" w14:paraId="29CA8A2B" w14:textId="77777777">
      <w:pPr>
        <w:rPr>
          <w:lang w:val="en-US" w:eastAsia="zh-CN"/>
        </w:rPr>
      </w:pPr>
      <w:r w:rsidRPr="00243405">
        <w:rPr>
          <w:lang w:val="en-US" w:eastAsia="zh-CN"/>
        </w:rPr>
        <w:t>4</w:t>
      </w:r>
      <w:r w:rsidRPr="00243405">
        <w:rPr>
          <w:lang w:val="en-US" w:eastAsia="zh-CN"/>
        </w:rPr>
        <w:tab/>
        <w:t>to share best practices and national experiences with the Union,</w:t>
      </w:r>
    </w:p>
    <w:p w:rsidRPr="00243405" w:rsidR="00243405" w:rsidP="00110D09" w:rsidRDefault="00243405" w14:paraId="5A235316" w14:textId="77777777">
      <w:pPr>
        <w:pStyle w:val="Call"/>
        <w:rPr>
          <w:lang w:val="en-US" w:eastAsia="zh-CN"/>
        </w:rPr>
      </w:pPr>
      <w:r w:rsidRPr="00243405">
        <w:rPr>
          <w:lang w:val="en-US" w:eastAsia="zh-CN"/>
        </w:rPr>
        <w:t>invites Sector Members, Associates and Academia</w:t>
      </w:r>
    </w:p>
    <w:p w:rsidRPr="00243405" w:rsidR="00243405" w:rsidP="00110D09" w:rsidRDefault="00243405" w14:paraId="18374711" w14:textId="77777777">
      <w:pPr>
        <w:rPr>
          <w:lang w:val="en-US" w:eastAsia="zh-CN"/>
        </w:rPr>
      </w:pPr>
      <w:r w:rsidRPr="00243405">
        <w:rPr>
          <w:lang w:val="en-US" w:eastAsia="zh-CN"/>
        </w:rPr>
        <w:t>1</w:t>
      </w:r>
      <w:r w:rsidRPr="00243405">
        <w:rPr>
          <w:lang w:val="en-US" w:eastAsia="zh-CN"/>
        </w:rPr>
        <w:tab/>
        <w:t>to contribute technical expertise and best practices and to support research on the resilience of telecommunication infrastructure;</w:t>
      </w:r>
    </w:p>
    <w:p w:rsidRPr="00243405" w:rsidR="00243405" w:rsidP="00110D09" w:rsidRDefault="00243405" w14:paraId="54E9989E" w14:textId="1BAE0303">
      <w:pPr>
        <w:rPr>
          <w:lang w:val="en-US" w:eastAsia="zh-CN"/>
        </w:rPr>
      </w:pPr>
      <w:r w:rsidRPr="00243405">
        <w:rPr>
          <w:lang w:val="en-US" w:eastAsia="zh-CN"/>
        </w:rPr>
        <w:t>2</w:t>
      </w:r>
      <w:r w:rsidRPr="00243405">
        <w:rPr>
          <w:lang w:val="en-US" w:eastAsia="zh-CN"/>
        </w:rPr>
        <w:tab/>
        <w:t>to cooperate with Member States and the Union in enhancing the protection and resilience of critical communication infrastructure.</w:t>
      </w:r>
    </w:p>
    <w:sectPr>
      <w:pgSz w:w="11913" w:h="16834" w:orient="portrait" w:code="9"/>
      <w:pgMar w:top="1418" w:right="1134" w:bottom="1418" w:left="1134" w:header="720" w:footer="7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F0064" w14:textId="77777777" w:rsidR="00BF294A" w:rsidRDefault="00BF294A">
      <w:r>
        <w:separator/>
      </w:r>
    </w:p>
  </w:endnote>
  <w:endnote w:type="continuationSeparator" w:id="0">
    <w:p w14:paraId="3DE01F4C" w14:textId="77777777" w:rsidR="00BF294A" w:rsidRDefault="00BF2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panose1 w:val="02020803070505020304"/>
    <w:charset w:val="00"/>
    <w:family w:val="roman"/>
    <w:pitch w:val="variable"/>
    <w:sig w:usb0="00003A87" w:usb1="00000000" w:usb2="00000000" w:usb3="00000000" w:csb0="000000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37280" w14:textId="77777777" w:rsidR="00BF294A" w:rsidRDefault="00BF294A">
      <w:r>
        <w:t>____________________</w:t>
      </w:r>
    </w:p>
  </w:footnote>
  <w:footnote w:type="continuationSeparator" w:id="0">
    <w:p w14:paraId="7A9D4D7F" w14:textId="77777777" w:rsidR="00BF294A" w:rsidRDefault="00BF29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C7A"/>
    <w:rsid w:val="00000AF8"/>
    <w:rsid w:val="00001935"/>
    <w:rsid w:val="000048E4"/>
    <w:rsid w:val="00004F8B"/>
    <w:rsid w:val="00010B2A"/>
    <w:rsid w:val="00011208"/>
    <w:rsid w:val="000143FA"/>
    <w:rsid w:val="00014808"/>
    <w:rsid w:val="00015E97"/>
    <w:rsid w:val="000235EC"/>
    <w:rsid w:val="00041924"/>
    <w:rsid w:val="000507C1"/>
    <w:rsid w:val="00053B97"/>
    <w:rsid w:val="00082EB9"/>
    <w:rsid w:val="000842DF"/>
    <w:rsid w:val="0008540E"/>
    <w:rsid w:val="00094B4F"/>
    <w:rsid w:val="000A1015"/>
    <w:rsid w:val="000B03F9"/>
    <w:rsid w:val="000B0A77"/>
    <w:rsid w:val="000B0D6C"/>
    <w:rsid w:val="000B596F"/>
    <w:rsid w:val="000B5BB9"/>
    <w:rsid w:val="000B7152"/>
    <w:rsid w:val="000C4701"/>
    <w:rsid w:val="000E4C7A"/>
    <w:rsid w:val="000E5E15"/>
    <w:rsid w:val="000F5A9A"/>
    <w:rsid w:val="000F73D1"/>
    <w:rsid w:val="001001C5"/>
    <w:rsid w:val="00105EFE"/>
    <w:rsid w:val="00106777"/>
    <w:rsid w:val="00110D09"/>
    <w:rsid w:val="0011489E"/>
    <w:rsid w:val="00114BA3"/>
    <w:rsid w:val="00115DEC"/>
    <w:rsid w:val="0012014C"/>
    <w:rsid w:val="00123F09"/>
    <w:rsid w:val="00127FA6"/>
    <w:rsid w:val="00136175"/>
    <w:rsid w:val="00140FF0"/>
    <w:rsid w:val="00142F28"/>
    <w:rsid w:val="00146057"/>
    <w:rsid w:val="00161C12"/>
    <w:rsid w:val="00161CDA"/>
    <w:rsid w:val="0016633C"/>
    <w:rsid w:val="00171990"/>
    <w:rsid w:val="001755F4"/>
    <w:rsid w:val="00195B70"/>
    <w:rsid w:val="001A0EEB"/>
    <w:rsid w:val="001A16ED"/>
    <w:rsid w:val="001B18AB"/>
    <w:rsid w:val="001B70D1"/>
    <w:rsid w:val="001C2D51"/>
    <w:rsid w:val="001C3804"/>
    <w:rsid w:val="001D3322"/>
    <w:rsid w:val="001E01A5"/>
    <w:rsid w:val="001E18AB"/>
    <w:rsid w:val="001E1C8F"/>
    <w:rsid w:val="001F0B24"/>
    <w:rsid w:val="001F4060"/>
    <w:rsid w:val="002115E0"/>
    <w:rsid w:val="00215F12"/>
    <w:rsid w:val="00232B31"/>
    <w:rsid w:val="00235A3B"/>
    <w:rsid w:val="00243405"/>
    <w:rsid w:val="00243BE4"/>
    <w:rsid w:val="00257188"/>
    <w:rsid w:val="002578B4"/>
    <w:rsid w:val="002646C6"/>
    <w:rsid w:val="00267D12"/>
    <w:rsid w:val="00281792"/>
    <w:rsid w:val="0028799E"/>
    <w:rsid w:val="002962A8"/>
    <w:rsid w:val="002A56C0"/>
    <w:rsid w:val="002E77F4"/>
    <w:rsid w:val="002F36B9"/>
    <w:rsid w:val="002F5FA2"/>
    <w:rsid w:val="003126B0"/>
    <w:rsid w:val="00314127"/>
    <w:rsid w:val="00314C12"/>
    <w:rsid w:val="003261C3"/>
    <w:rsid w:val="00333236"/>
    <w:rsid w:val="003453DA"/>
    <w:rsid w:val="00357754"/>
    <w:rsid w:val="003578E4"/>
    <w:rsid w:val="00361097"/>
    <w:rsid w:val="00373A0D"/>
    <w:rsid w:val="003740BC"/>
    <w:rsid w:val="00375076"/>
    <w:rsid w:val="00375BBA"/>
    <w:rsid w:val="003826EA"/>
    <w:rsid w:val="00395CE4"/>
    <w:rsid w:val="003A32AD"/>
    <w:rsid w:val="003A33F1"/>
    <w:rsid w:val="003A3938"/>
    <w:rsid w:val="003A4E67"/>
    <w:rsid w:val="003A5FFB"/>
    <w:rsid w:val="003A7FB6"/>
    <w:rsid w:val="003B3751"/>
    <w:rsid w:val="003F0763"/>
    <w:rsid w:val="003F2121"/>
    <w:rsid w:val="003F2E54"/>
    <w:rsid w:val="003F5771"/>
    <w:rsid w:val="004014B0"/>
    <w:rsid w:val="004059B0"/>
    <w:rsid w:val="00426AC1"/>
    <w:rsid w:val="004321DC"/>
    <w:rsid w:val="00435AA4"/>
    <w:rsid w:val="00435EA8"/>
    <w:rsid w:val="004360BB"/>
    <w:rsid w:val="004529ED"/>
    <w:rsid w:val="0045533C"/>
    <w:rsid w:val="004606DA"/>
    <w:rsid w:val="00463092"/>
    <w:rsid w:val="004676C0"/>
    <w:rsid w:val="00474E00"/>
    <w:rsid w:val="004835DB"/>
    <w:rsid w:val="00491D2D"/>
    <w:rsid w:val="00494797"/>
    <w:rsid w:val="004B0C10"/>
    <w:rsid w:val="004B167B"/>
    <w:rsid w:val="004C19D7"/>
    <w:rsid w:val="004C297B"/>
    <w:rsid w:val="004C73C9"/>
    <w:rsid w:val="004E01FA"/>
    <w:rsid w:val="004E6764"/>
    <w:rsid w:val="004F041D"/>
    <w:rsid w:val="004F1C55"/>
    <w:rsid w:val="004F7925"/>
    <w:rsid w:val="00504FE5"/>
    <w:rsid w:val="00507348"/>
    <w:rsid w:val="00522C97"/>
    <w:rsid w:val="005254C4"/>
    <w:rsid w:val="005356FD"/>
    <w:rsid w:val="00547D75"/>
    <w:rsid w:val="00551C8B"/>
    <w:rsid w:val="00554E24"/>
    <w:rsid w:val="00555A0F"/>
    <w:rsid w:val="00567130"/>
    <w:rsid w:val="0057034B"/>
    <w:rsid w:val="00581E8F"/>
    <w:rsid w:val="00586A98"/>
    <w:rsid w:val="00591C15"/>
    <w:rsid w:val="005927A4"/>
    <w:rsid w:val="00596B48"/>
    <w:rsid w:val="005B10E8"/>
    <w:rsid w:val="005B5026"/>
    <w:rsid w:val="005B661F"/>
    <w:rsid w:val="005C3315"/>
    <w:rsid w:val="005E1CC3"/>
    <w:rsid w:val="005F05C8"/>
    <w:rsid w:val="00604079"/>
    <w:rsid w:val="00617BE4"/>
    <w:rsid w:val="00620233"/>
    <w:rsid w:val="00627DF4"/>
    <w:rsid w:val="006404B0"/>
    <w:rsid w:val="0066499C"/>
    <w:rsid w:val="00676E68"/>
    <w:rsid w:val="006A7108"/>
    <w:rsid w:val="006B2035"/>
    <w:rsid w:val="006B40DA"/>
    <w:rsid w:val="006C5D5D"/>
    <w:rsid w:val="006E215D"/>
    <w:rsid w:val="006E57C8"/>
    <w:rsid w:val="006E70E1"/>
    <w:rsid w:val="006F565E"/>
    <w:rsid w:val="006F794B"/>
    <w:rsid w:val="00701ABB"/>
    <w:rsid w:val="00711035"/>
    <w:rsid w:val="007130ED"/>
    <w:rsid w:val="007140CF"/>
    <w:rsid w:val="0071582A"/>
    <w:rsid w:val="00722595"/>
    <w:rsid w:val="0073319E"/>
    <w:rsid w:val="00733C8A"/>
    <w:rsid w:val="00737F2E"/>
    <w:rsid w:val="00745A37"/>
    <w:rsid w:val="00750829"/>
    <w:rsid w:val="007538C9"/>
    <w:rsid w:val="00753F63"/>
    <w:rsid w:val="007542C4"/>
    <w:rsid w:val="00754C0B"/>
    <w:rsid w:val="00755067"/>
    <w:rsid w:val="007561B6"/>
    <w:rsid w:val="007648ED"/>
    <w:rsid w:val="007649DA"/>
    <w:rsid w:val="00765553"/>
    <w:rsid w:val="00770320"/>
    <w:rsid w:val="00777B8B"/>
    <w:rsid w:val="00794795"/>
    <w:rsid w:val="007949EA"/>
    <w:rsid w:val="00796849"/>
    <w:rsid w:val="00796DAE"/>
    <w:rsid w:val="007A59C3"/>
    <w:rsid w:val="007B0E06"/>
    <w:rsid w:val="007B30FC"/>
    <w:rsid w:val="007C3643"/>
    <w:rsid w:val="007C617F"/>
    <w:rsid w:val="007D5061"/>
    <w:rsid w:val="007D7003"/>
    <w:rsid w:val="007E00D2"/>
    <w:rsid w:val="007E2AD4"/>
    <w:rsid w:val="007E3469"/>
    <w:rsid w:val="007E7B63"/>
    <w:rsid w:val="007F585D"/>
    <w:rsid w:val="00810AD6"/>
    <w:rsid w:val="0082780C"/>
    <w:rsid w:val="008333C7"/>
    <w:rsid w:val="00833E0F"/>
    <w:rsid w:val="008404FD"/>
    <w:rsid w:val="00841AB4"/>
    <w:rsid w:val="00846DBA"/>
    <w:rsid w:val="00850AEF"/>
    <w:rsid w:val="00855DAB"/>
    <w:rsid w:val="00860C6A"/>
    <w:rsid w:val="00862891"/>
    <w:rsid w:val="00875048"/>
    <w:rsid w:val="00875BE1"/>
    <w:rsid w:val="00877715"/>
    <w:rsid w:val="00895CE3"/>
    <w:rsid w:val="0089603F"/>
    <w:rsid w:val="00897970"/>
    <w:rsid w:val="008B5A71"/>
    <w:rsid w:val="008D3BE2"/>
    <w:rsid w:val="008D4D98"/>
    <w:rsid w:val="008E2A7B"/>
    <w:rsid w:val="008E6E9B"/>
    <w:rsid w:val="008F2C56"/>
    <w:rsid w:val="008F3C99"/>
    <w:rsid w:val="00900D5B"/>
    <w:rsid w:val="009236FE"/>
    <w:rsid w:val="00940E00"/>
    <w:rsid w:val="00945D4B"/>
    <w:rsid w:val="0094741F"/>
    <w:rsid w:val="00950E0F"/>
    <w:rsid w:val="0096150D"/>
    <w:rsid w:val="009630FA"/>
    <w:rsid w:val="00967103"/>
    <w:rsid w:val="00967670"/>
    <w:rsid w:val="00970996"/>
    <w:rsid w:val="009800CC"/>
    <w:rsid w:val="009A078E"/>
    <w:rsid w:val="009A2B30"/>
    <w:rsid w:val="009A4211"/>
    <w:rsid w:val="009A47A2"/>
    <w:rsid w:val="009C7675"/>
    <w:rsid w:val="009E425E"/>
    <w:rsid w:val="009E4322"/>
    <w:rsid w:val="009F4384"/>
    <w:rsid w:val="009F442D"/>
    <w:rsid w:val="009F50DA"/>
    <w:rsid w:val="00A06D56"/>
    <w:rsid w:val="00A314A2"/>
    <w:rsid w:val="00A516BB"/>
    <w:rsid w:val="00A619C5"/>
    <w:rsid w:val="00A808E1"/>
    <w:rsid w:val="00A8262F"/>
    <w:rsid w:val="00A84B32"/>
    <w:rsid w:val="00A84B3A"/>
    <w:rsid w:val="00A87124"/>
    <w:rsid w:val="00A93B71"/>
    <w:rsid w:val="00AB0B32"/>
    <w:rsid w:val="00AB190D"/>
    <w:rsid w:val="00AB2D04"/>
    <w:rsid w:val="00AB5C39"/>
    <w:rsid w:val="00AB75A9"/>
    <w:rsid w:val="00AD1C5C"/>
    <w:rsid w:val="00AD566F"/>
    <w:rsid w:val="00AF0849"/>
    <w:rsid w:val="00B156F9"/>
    <w:rsid w:val="00B1733E"/>
    <w:rsid w:val="00B25A86"/>
    <w:rsid w:val="00B304B9"/>
    <w:rsid w:val="00B55E1A"/>
    <w:rsid w:val="00B57988"/>
    <w:rsid w:val="00B62032"/>
    <w:rsid w:val="00B65F8C"/>
    <w:rsid w:val="00B7263B"/>
    <w:rsid w:val="00B73F47"/>
    <w:rsid w:val="00B7638A"/>
    <w:rsid w:val="00B80DF9"/>
    <w:rsid w:val="00B840D8"/>
    <w:rsid w:val="00B96467"/>
    <w:rsid w:val="00BA154E"/>
    <w:rsid w:val="00BA37CE"/>
    <w:rsid w:val="00BA4692"/>
    <w:rsid w:val="00BC6FDB"/>
    <w:rsid w:val="00BC7DE8"/>
    <w:rsid w:val="00BE0966"/>
    <w:rsid w:val="00BE4207"/>
    <w:rsid w:val="00BF294A"/>
    <w:rsid w:val="00BF43BA"/>
    <w:rsid w:val="00BF5722"/>
    <w:rsid w:val="00BF6268"/>
    <w:rsid w:val="00BF720B"/>
    <w:rsid w:val="00C04511"/>
    <w:rsid w:val="00C112A3"/>
    <w:rsid w:val="00C16846"/>
    <w:rsid w:val="00C34851"/>
    <w:rsid w:val="00C42A5B"/>
    <w:rsid w:val="00C53C0B"/>
    <w:rsid w:val="00C5419D"/>
    <w:rsid w:val="00C56038"/>
    <w:rsid w:val="00C6729F"/>
    <w:rsid w:val="00C70164"/>
    <w:rsid w:val="00C72664"/>
    <w:rsid w:val="00C86F24"/>
    <w:rsid w:val="00CA38C9"/>
    <w:rsid w:val="00CB4984"/>
    <w:rsid w:val="00CB5DD7"/>
    <w:rsid w:val="00CB7795"/>
    <w:rsid w:val="00CB77D5"/>
    <w:rsid w:val="00CC14F0"/>
    <w:rsid w:val="00CD3B17"/>
    <w:rsid w:val="00CE1B90"/>
    <w:rsid w:val="00CE3B0F"/>
    <w:rsid w:val="00CE40BB"/>
    <w:rsid w:val="00CF1C71"/>
    <w:rsid w:val="00CF510F"/>
    <w:rsid w:val="00D07696"/>
    <w:rsid w:val="00D11956"/>
    <w:rsid w:val="00D15A98"/>
    <w:rsid w:val="00D500DC"/>
    <w:rsid w:val="00D54B39"/>
    <w:rsid w:val="00D64FF3"/>
    <w:rsid w:val="00D657A2"/>
    <w:rsid w:val="00D75620"/>
    <w:rsid w:val="00D760C8"/>
    <w:rsid w:val="00D83FFD"/>
    <w:rsid w:val="00D8451F"/>
    <w:rsid w:val="00D8617D"/>
    <w:rsid w:val="00D92563"/>
    <w:rsid w:val="00DC7C10"/>
    <w:rsid w:val="00DD26B1"/>
    <w:rsid w:val="00DD5177"/>
    <w:rsid w:val="00DE16B8"/>
    <w:rsid w:val="00DE20DF"/>
    <w:rsid w:val="00DE4CC2"/>
    <w:rsid w:val="00DF23FC"/>
    <w:rsid w:val="00DF39CD"/>
    <w:rsid w:val="00DF3BBE"/>
    <w:rsid w:val="00E0094D"/>
    <w:rsid w:val="00E10A17"/>
    <w:rsid w:val="00E13427"/>
    <w:rsid w:val="00E1374D"/>
    <w:rsid w:val="00E20134"/>
    <w:rsid w:val="00E24CB2"/>
    <w:rsid w:val="00E31D1C"/>
    <w:rsid w:val="00E32981"/>
    <w:rsid w:val="00E34312"/>
    <w:rsid w:val="00E3536D"/>
    <w:rsid w:val="00E44456"/>
    <w:rsid w:val="00E553B9"/>
    <w:rsid w:val="00E56E57"/>
    <w:rsid w:val="00E62EC4"/>
    <w:rsid w:val="00E6599B"/>
    <w:rsid w:val="00E726DE"/>
    <w:rsid w:val="00E844D5"/>
    <w:rsid w:val="00E86536"/>
    <w:rsid w:val="00E871C2"/>
    <w:rsid w:val="00EA1BAA"/>
    <w:rsid w:val="00ED401C"/>
    <w:rsid w:val="00EE333B"/>
    <w:rsid w:val="00EF2642"/>
    <w:rsid w:val="00EF3681"/>
    <w:rsid w:val="00EF3B7A"/>
    <w:rsid w:val="00EF4AAB"/>
    <w:rsid w:val="00F10790"/>
    <w:rsid w:val="00F10E7C"/>
    <w:rsid w:val="00F13C1E"/>
    <w:rsid w:val="00F16F17"/>
    <w:rsid w:val="00F20BC2"/>
    <w:rsid w:val="00F342E4"/>
    <w:rsid w:val="00F35330"/>
    <w:rsid w:val="00F41C91"/>
    <w:rsid w:val="00F433A4"/>
    <w:rsid w:val="00F4421A"/>
    <w:rsid w:val="00F44B1A"/>
    <w:rsid w:val="00F47316"/>
    <w:rsid w:val="00F55DA5"/>
    <w:rsid w:val="00F94BC2"/>
    <w:rsid w:val="00F95ABE"/>
    <w:rsid w:val="00F9756D"/>
    <w:rsid w:val="00FB5F12"/>
    <w:rsid w:val="00FC5117"/>
    <w:rsid w:val="00FD417F"/>
    <w:rsid w:val="00FD7255"/>
    <w:rsid w:val="00FD7B1D"/>
    <w:rsid w:val="00FE1E22"/>
    <w:rsid w:val="00FE7C68"/>
    <w:rsid w:val="00FF04D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B96FF"/>
  <w15:docId w15:val="{7DD42A87-9B8E-4656-8EB8-90642EA36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8AB"/>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2F5FA2"/>
    <w:pPr>
      <w:keepNext/>
      <w:keepLines/>
      <w:spacing w:before="480"/>
      <w:ind w:left="567" w:hanging="567"/>
      <w:outlineLvl w:val="0"/>
    </w:pPr>
    <w:rPr>
      <w:b/>
      <w:sz w:val="28"/>
    </w:rPr>
  </w:style>
  <w:style w:type="paragraph" w:styleId="Heading2">
    <w:name w:val="heading 2"/>
    <w:basedOn w:val="Heading1"/>
    <w:next w:val="Normal"/>
    <w:qFormat/>
    <w:rsid w:val="00AD566F"/>
    <w:pPr>
      <w:spacing w:before="320"/>
      <w:outlineLvl w:val="1"/>
    </w:pPr>
    <w:rPr>
      <w:sz w:val="24"/>
    </w:rPr>
  </w:style>
  <w:style w:type="paragraph" w:styleId="Heading3">
    <w:name w:val="heading 3"/>
    <w:basedOn w:val="Heading1"/>
    <w:next w:val="Normal"/>
    <w:qFormat/>
    <w:rsid w:val="00257188"/>
    <w:pPr>
      <w:spacing w:before="200"/>
      <w:outlineLvl w:val="2"/>
    </w:pPr>
    <w:rPr>
      <w:sz w:val="24"/>
    </w:rPr>
  </w:style>
  <w:style w:type="paragraph" w:styleId="Heading4">
    <w:name w:val="heading 4"/>
    <w:basedOn w:val="Heading3"/>
    <w:next w:val="Normal"/>
    <w:qFormat/>
    <w:rsid w:val="00AD566F"/>
    <w:pPr>
      <w:ind w:left="1134" w:hanging="1134"/>
      <w:outlineLvl w:val="3"/>
    </w:pPr>
  </w:style>
  <w:style w:type="paragraph" w:styleId="Heading5">
    <w:name w:val="heading 5"/>
    <w:basedOn w:val="Heading4"/>
    <w:next w:val="Normal"/>
    <w:qFormat/>
    <w:rsid w:val="00AD566F"/>
    <w:pPr>
      <w:outlineLvl w:val="4"/>
    </w:pPr>
  </w:style>
  <w:style w:type="paragraph" w:styleId="Heading6">
    <w:name w:val="heading 6"/>
    <w:basedOn w:val="Heading4"/>
    <w:next w:val="Normal"/>
    <w:qFormat/>
    <w:rsid w:val="00AD566F"/>
    <w:pPr>
      <w:outlineLvl w:val="5"/>
    </w:pPr>
  </w:style>
  <w:style w:type="paragraph" w:styleId="Heading7">
    <w:name w:val="heading 7"/>
    <w:basedOn w:val="Heading4"/>
    <w:next w:val="Normal"/>
    <w:qFormat/>
    <w:rsid w:val="00AD566F"/>
    <w:pPr>
      <w:ind w:left="1701" w:hanging="1701"/>
      <w:outlineLvl w:val="6"/>
    </w:pPr>
  </w:style>
  <w:style w:type="paragraph" w:styleId="Heading8">
    <w:name w:val="heading 8"/>
    <w:basedOn w:val="Heading4"/>
    <w:next w:val="Normal"/>
    <w:qFormat/>
    <w:rsid w:val="00AD566F"/>
    <w:pPr>
      <w:ind w:left="1701" w:hanging="1701"/>
      <w:outlineLvl w:val="7"/>
    </w:pPr>
  </w:style>
  <w:style w:type="paragraph" w:styleId="Heading9">
    <w:name w:val="heading 9"/>
    <w:basedOn w:val="Heading4"/>
    <w:next w:val="Normal"/>
    <w:qFormat/>
    <w:rsid w:val="00AD566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AD566F"/>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AD566F"/>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AD566F"/>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Footer">
    <w:name w:val="footer"/>
    <w:basedOn w:val="Normal"/>
    <w:rsid w:val="00AD566F"/>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rsid w:val="00AD566F"/>
    <w:pPr>
      <w:tabs>
        <w:tab w:val="clear" w:pos="567"/>
        <w:tab w:val="clear" w:pos="1134"/>
        <w:tab w:val="clear" w:pos="1701"/>
        <w:tab w:val="clear" w:pos="2268"/>
        <w:tab w:val="clear" w:pos="2835"/>
      </w:tabs>
      <w:spacing w:before="0"/>
      <w:jc w:val="center"/>
    </w:pPr>
    <w:rPr>
      <w:sz w:val="18"/>
    </w:rPr>
  </w:style>
  <w:style w:type="character" w:styleId="FootnoteReference">
    <w:name w:val="footnote reference"/>
    <w:basedOn w:val="DefaultParagraphFont"/>
    <w:rsid w:val="002F5FA2"/>
    <w:rPr>
      <w:rFonts w:ascii="Calibri" w:hAnsi="Calibri"/>
      <w:position w:val="6"/>
      <w:sz w:val="16"/>
    </w:rPr>
  </w:style>
  <w:style w:type="paragraph" w:styleId="FootnoteText">
    <w:name w:val="footnote text"/>
    <w:basedOn w:val="Normal"/>
    <w:rsid w:val="00AD566F"/>
    <w:pPr>
      <w:keepLines/>
      <w:tabs>
        <w:tab w:val="left" w:pos="256"/>
      </w:tabs>
      <w:ind w:left="256" w:hanging="256"/>
    </w:pPr>
  </w:style>
  <w:style w:type="paragraph" w:styleId="NormalIndent">
    <w:name w:val="Normal Indent"/>
    <w:basedOn w:val="Normal"/>
    <w:rsid w:val="00AD566F"/>
    <w:pPr>
      <w:ind w:left="567"/>
    </w:pPr>
  </w:style>
  <w:style w:type="paragraph" w:customStyle="1" w:styleId="Tablelegend">
    <w:name w:val="Table_legend"/>
    <w:basedOn w:val="Tabletext"/>
    <w:rsid w:val="00AD566F"/>
    <w:pPr>
      <w:spacing w:before="120"/>
    </w:pPr>
  </w:style>
  <w:style w:type="paragraph" w:customStyle="1" w:styleId="Tabletext">
    <w:name w:val="Table_text"/>
    <w:basedOn w:val="Normal"/>
    <w:rsid w:val="00AD566F"/>
    <w:pPr>
      <w:tabs>
        <w:tab w:val="clear" w:pos="567"/>
        <w:tab w:val="clear" w:pos="1134"/>
        <w:tab w:val="clear" w:pos="1701"/>
        <w:tab w:val="clear" w:pos="2268"/>
        <w:tab w:val="clear" w:pos="2835"/>
      </w:tabs>
      <w:spacing w:before="60" w:after="60"/>
    </w:pPr>
    <w:rPr>
      <w:sz w:val="22"/>
    </w:rPr>
  </w:style>
  <w:style w:type="paragraph" w:customStyle="1" w:styleId="Tabletitle">
    <w:name w:val="Table_title"/>
    <w:basedOn w:val="TableNo"/>
    <w:next w:val="Tabletext"/>
    <w:rsid w:val="00AD566F"/>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AD566F"/>
    <w:pPr>
      <w:keepNext/>
      <w:spacing w:before="560" w:after="120"/>
      <w:jc w:val="center"/>
    </w:pPr>
    <w:rPr>
      <w:caps/>
    </w:rPr>
  </w:style>
  <w:style w:type="paragraph" w:customStyle="1" w:styleId="enumlev1">
    <w:name w:val="enumlev1"/>
    <w:basedOn w:val="Normal"/>
    <w:rsid w:val="00AD566F"/>
    <w:pPr>
      <w:spacing w:before="86"/>
      <w:ind w:left="567" w:hanging="567"/>
    </w:pPr>
  </w:style>
  <w:style w:type="paragraph" w:customStyle="1" w:styleId="enumlev2">
    <w:name w:val="enumlev2"/>
    <w:basedOn w:val="enumlev1"/>
    <w:rsid w:val="00AD566F"/>
    <w:pPr>
      <w:ind w:left="1134"/>
    </w:pPr>
  </w:style>
  <w:style w:type="paragraph" w:customStyle="1" w:styleId="enumlev3">
    <w:name w:val="enumlev3"/>
    <w:basedOn w:val="enumlev2"/>
    <w:rsid w:val="00AD566F"/>
    <w:pPr>
      <w:ind w:left="1701"/>
    </w:pPr>
  </w:style>
  <w:style w:type="paragraph" w:customStyle="1" w:styleId="Tablehead">
    <w:name w:val="Table_head"/>
    <w:basedOn w:val="Tabletext"/>
    <w:rsid w:val="00AD566F"/>
    <w:pPr>
      <w:spacing w:before="120" w:after="120"/>
      <w:jc w:val="center"/>
    </w:pPr>
    <w:rPr>
      <w:b/>
    </w:rPr>
  </w:style>
  <w:style w:type="paragraph" w:customStyle="1" w:styleId="Normalaftertitle">
    <w:name w:val="Normal after title"/>
    <w:basedOn w:val="Normal"/>
    <w:next w:val="Normal"/>
    <w:rsid w:val="00AD566F"/>
    <w:pPr>
      <w:spacing w:before="240"/>
    </w:pPr>
  </w:style>
  <w:style w:type="paragraph" w:customStyle="1" w:styleId="AnnexNo">
    <w:name w:val="Annex_No"/>
    <w:basedOn w:val="Normal"/>
    <w:next w:val="Annexref"/>
    <w:rsid w:val="00257188"/>
    <w:pPr>
      <w:spacing w:before="720"/>
      <w:jc w:val="center"/>
    </w:pPr>
    <w:rPr>
      <w:caps/>
      <w:sz w:val="28"/>
    </w:rPr>
  </w:style>
  <w:style w:type="paragraph" w:customStyle="1" w:styleId="Annexref">
    <w:name w:val="Annex_ref"/>
    <w:basedOn w:val="Normal"/>
    <w:next w:val="Annextitle"/>
    <w:rsid w:val="00AD566F"/>
    <w:pPr>
      <w:jc w:val="center"/>
    </w:pPr>
  </w:style>
  <w:style w:type="paragraph" w:customStyle="1" w:styleId="Annextitle">
    <w:name w:val="Annex_title"/>
    <w:basedOn w:val="Normal"/>
    <w:next w:val="Normal"/>
    <w:rsid w:val="00257188"/>
    <w:pPr>
      <w:spacing w:before="240" w:after="240"/>
      <w:jc w:val="center"/>
    </w:pPr>
    <w:rPr>
      <w:b/>
      <w:sz w:val="28"/>
    </w:rPr>
  </w:style>
  <w:style w:type="paragraph" w:customStyle="1" w:styleId="AppendixNo">
    <w:name w:val="Appendix_No"/>
    <w:basedOn w:val="AnnexNo"/>
    <w:next w:val="Appendixref"/>
    <w:rsid w:val="00AD566F"/>
  </w:style>
  <w:style w:type="paragraph" w:customStyle="1" w:styleId="Appendixref">
    <w:name w:val="Appendix_ref"/>
    <w:basedOn w:val="Annexref"/>
    <w:next w:val="Appendixtitle"/>
    <w:rsid w:val="00AD566F"/>
  </w:style>
  <w:style w:type="paragraph" w:customStyle="1" w:styleId="Appendixtitle">
    <w:name w:val="Appendix_title"/>
    <w:basedOn w:val="Annextitle"/>
    <w:next w:val="Normal"/>
    <w:rsid w:val="00AD566F"/>
  </w:style>
  <w:style w:type="paragraph" w:customStyle="1" w:styleId="Reftitle">
    <w:name w:val="Ref_title"/>
    <w:basedOn w:val="Normal"/>
    <w:next w:val="Reftext"/>
    <w:rsid w:val="00257188"/>
    <w:pPr>
      <w:spacing w:before="480"/>
      <w:jc w:val="center"/>
    </w:pPr>
    <w:rPr>
      <w:caps/>
      <w:sz w:val="28"/>
    </w:rPr>
  </w:style>
  <w:style w:type="paragraph" w:customStyle="1" w:styleId="Reftext">
    <w:name w:val="Ref_text"/>
    <w:basedOn w:val="Normal"/>
    <w:rsid w:val="00AD566F"/>
    <w:pPr>
      <w:ind w:left="567" w:hanging="567"/>
    </w:pPr>
  </w:style>
  <w:style w:type="paragraph" w:customStyle="1" w:styleId="Rectitle">
    <w:name w:val="Rec_title"/>
    <w:basedOn w:val="Normal"/>
    <w:next w:val="Heading1"/>
    <w:rsid w:val="002F5FA2"/>
    <w:pPr>
      <w:spacing w:before="240"/>
      <w:jc w:val="center"/>
    </w:pPr>
    <w:rPr>
      <w:b/>
      <w:sz w:val="28"/>
    </w:rPr>
  </w:style>
  <w:style w:type="paragraph" w:customStyle="1" w:styleId="Call">
    <w:name w:val="Call"/>
    <w:basedOn w:val="Normal"/>
    <w:next w:val="Normal"/>
    <w:rsid w:val="00AD566F"/>
    <w:pPr>
      <w:keepNext/>
      <w:keepLines/>
      <w:tabs>
        <w:tab w:val="clear" w:pos="1134"/>
        <w:tab w:val="clear" w:pos="1701"/>
        <w:tab w:val="clear" w:pos="2268"/>
        <w:tab w:val="clear" w:pos="2835"/>
      </w:tabs>
      <w:spacing w:before="160"/>
      <w:ind w:left="567"/>
    </w:pPr>
    <w:rPr>
      <w:i/>
    </w:rPr>
  </w:style>
  <w:style w:type="paragraph" w:customStyle="1" w:styleId="RecNo">
    <w:name w:val="Rec_No"/>
    <w:basedOn w:val="Normal"/>
    <w:next w:val="Rectitle"/>
    <w:rsid w:val="00257188"/>
    <w:pPr>
      <w:spacing w:before="720"/>
      <w:jc w:val="center"/>
    </w:pPr>
    <w:rPr>
      <w:caps/>
      <w:sz w:val="28"/>
    </w:rPr>
  </w:style>
  <w:style w:type="paragraph" w:customStyle="1" w:styleId="toc0">
    <w:name w:val="toc 0"/>
    <w:basedOn w:val="Normal"/>
    <w:next w:val="TOC1"/>
    <w:rsid w:val="00AD566F"/>
    <w:pPr>
      <w:tabs>
        <w:tab w:val="clear" w:pos="567"/>
        <w:tab w:val="clear" w:pos="1134"/>
        <w:tab w:val="clear" w:pos="1701"/>
        <w:tab w:val="clear" w:pos="2268"/>
        <w:tab w:val="clear" w:pos="2835"/>
        <w:tab w:val="right" w:pos="9781"/>
      </w:tabs>
    </w:pPr>
    <w:rPr>
      <w:b/>
    </w:rPr>
  </w:style>
  <w:style w:type="paragraph" w:customStyle="1" w:styleId="Part">
    <w:name w:val="Part"/>
    <w:basedOn w:val="Normal"/>
    <w:next w:val="Normal"/>
    <w:rsid w:val="00257188"/>
    <w:pPr>
      <w:tabs>
        <w:tab w:val="clear" w:pos="567"/>
        <w:tab w:val="clear" w:pos="1134"/>
        <w:tab w:val="clear" w:pos="1701"/>
        <w:tab w:val="clear" w:pos="2268"/>
        <w:tab w:val="clear" w:pos="2835"/>
      </w:tabs>
      <w:spacing w:before="600"/>
      <w:jc w:val="center"/>
    </w:pPr>
    <w:rPr>
      <w:caps/>
      <w:sz w:val="28"/>
    </w:rPr>
  </w:style>
  <w:style w:type="paragraph" w:customStyle="1" w:styleId="Note">
    <w:name w:val="Note"/>
    <w:basedOn w:val="Normal"/>
    <w:rsid w:val="00AD566F"/>
    <w:pPr>
      <w:tabs>
        <w:tab w:val="clear" w:pos="567"/>
        <w:tab w:val="left" w:pos="851"/>
      </w:tabs>
    </w:pPr>
  </w:style>
  <w:style w:type="paragraph" w:customStyle="1" w:styleId="MinusFootnote">
    <w:name w:val="MinusFootnote"/>
    <w:basedOn w:val="Normal"/>
    <w:rsid w:val="00AD566F"/>
    <w:pPr>
      <w:ind w:left="-1701" w:hanging="284"/>
    </w:pPr>
  </w:style>
  <w:style w:type="paragraph" w:customStyle="1" w:styleId="Title3">
    <w:name w:val="Title 3"/>
    <w:basedOn w:val="Title2"/>
    <w:next w:val="Normalaftertitle"/>
    <w:rsid w:val="00AD566F"/>
    <w:rPr>
      <w:caps w:val="0"/>
    </w:rPr>
  </w:style>
  <w:style w:type="paragraph" w:customStyle="1" w:styleId="Title2">
    <w:name w:val="Title 2"/>
    <w:basedOn w:val="Source"/>
    <w:next w:val="Title3"/>
    <w:rsid w:val="00AD566F"/>
    <w:pPr>
      <w:spacing w:before="240"/>
    </w:pPr>
    <w:rPr>
      <w:b w:val="0"/>
      <w:caps/>
    </w:rPr>
  </w:style>
  <w:style w:type="paragraph" w:customStyle="1" w:styleId="Source">
    <w:name w:val="Source"/>
    <w:basedOn w:val="Normal"/>
    <w:next w:val="Title1"/>
    <w:autoRedefine/>
    <w:rsid w:val="00E553B9"/>
    <w:pPr>
      <w:spacing w:before="840"/>
      <w:jc w:val="center"/>
    </w:pPr>
    <w:rPr>
      <w:b/>
      <w:sz w:val="28"/>
    </w:rPr>
  </w:style>
  <w:style w:type="paragraph" w:customStyle="1" w:styleId="Title1">
    <w:name w:val="Title 1"/>
    <w:basedOn w:val="Source"/>
    <w:next w:val="Title2"/>
    <w:rsid w:val="00AD566F"/>
    <w:pPr>
      <w:spacing w:before="240"/>
    </w:pPr>
    <w:rPr>
      <w:b w:val="0"/>
      <w:caps/>
    </w:rPr>
  </w:style>
  <w:style w:type="paragraph" w:customStyle="1" w:styleId="ArtNo">
    <w:name w:val="Art_No"/>
    <w:basedOn w:val="Normal"/>
    <w:next w:val="Arttitle"/>
    <w:rsid w:val="00257188"/>
    <w:pPr>
      <w:tabs>
        <w:tab w:val="clear" w:pos="567"/>
        <w:tab w:val="clear" w:pos="1134"/>
        <w:tab w:val="clear" w:pos="1701"/>
        <w:tab w:val="clear" w:pos="2268"/>
        <w:tab w:val="clear" w:pos="2835"/>
      </w:tabs>
      <w:spacing w:before="600"/>
      <w:jc w:val="center"/>
    </w:pPr>
    <w:rPr>
      <w:caps/>
      <w:sz w:val="28"/>
    </w:rPr>
  </w:style>
  <w:style w:type="paragraph" w:customStyle="1" w:styleId="Arttitle">
    <w:name w:val="Art_title"/>
    <w:basedOn w:val="Normal"/>
    <w:next w:val="Normal"/>
    <w:rsid w:val="00257188"/>
    <w:pPr>
      <w:tabs>
        <w:tab w:val="clear" w:pos="567"/>
        <w:tab w:val="clear" w:pos="1134"/>
        <w:tab w:val="clear" w:pos="1701"/>
        <w:tab w:val="clear" w:pos="2268"/>
        <w:tab w:val="clear" w:pos="2835"/>
      </w:tabs>
      <w:spacing w:before="240" w:after="240"/>
      <w:jc w:val="center"/>
    </w:pPr>
    <w:rPr>
      <w:b/>
      <w:sz w:val="28"/>
    </w:rPr>
  </w:style>
  <w:style w:type="paragraph" w:customStyle="1" w:styleId="ChapNo">
    <w:name w:val="Chap_No"/>
    <w:basedOn w:val="ArtNo"/>
    <w:next w:val="Chaptitle"/>
    <w:rsid w:val="00257188"/>
  </w:style>
  <w:style w:type="paragraph" w:customStyle="1" w:styleId="Chaptitle">
    <w:name w:val="Chap_title"/>
    <w:basedOn w:val="Arttitle"/>
    <w:next w:val="Normal"/>
    <w:rsid w:val="00AD566F"/>
  </w:style>
  <w:style w:type="paragraph" w:customStyle="1" w:styleId="Reasons">
    <w:name w:val="Reasons"/>
    <w:basedOn w:val="Normal"/>
    <w:rsid w:val="00AD566F"/>
  </w:style>
  <w:style w:type="paragraph" w:customStyle="1" w:styleId="ResNo">
    <w:name w:val="Res_No"/>
    <w:basedOn w:val="AnnexNo"/>
    <w:next w:val="Restitle"/>
    <w:rsid w:val="00AD566F"/>
  </w:style>
  <w:style w:type="paragraph" w:customStyle="1" w:styleId="Restitle">
    <w:name w:val="Res_title"/>
    <w:basedOn w:val="Annextitle"/>
    <w:next w:val="Normal"/>
    <w:rsid w:val="002F5FA2"/>
  </w:style>
  <w:style w:type="paragraph" w:customStyle="1" w:styleId="AnnexNoS2">
    <w:name w:val="Annex_No_S2"/>
    <w:basedOn w:val="AnnexNo"/>
    <w:next w:val="AnnexrefS2"/>
    <w:rsid w:val="00257188"/>
    <w:pPr>
      <w:tabs>
        <w:tab w:val="clear" w:pos="567"/>
        <w:tab w:val="clear" w:pos="1134"/>
        <w:tab w:val="clear" w:pos="1701"/>
        <w:tab w:val="clear" w:pos="2268"/>
        <w:tab w:val="clear" w:pos="2835"/>
        <w:tab w:val="left" w:pos="851"/>
      </w:tabs>
      <w:jc w:val="left"/>
    </w:pPr>
    <w:rPr>
      <w:b/>
      <w:sz w:val="24"/>
    </w:rPr>
  </w:style>
  <w:style w:type="paragraph" w:customStyle="1" w:styleId="Section1">
    <w:name w:val="Section 1"/>
    <w:basedOn w:val="ChapNo"/>
    <w:next w:val="Normal"/>
    <w:rsid w:val="00AD566F"/>
    <w:rPr>
      <w:caps w:val="0"/>
    </w:rPr>
  </w:style>
  <w:style w:type="paragraph" w:customStyle="1" w:styleId="AnnexrefS2">
    <w:name w:val="Annex_ref_S2"/>
    <w:basedOn w:val="Anne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Section2">
    <w:name w:val="Section 2"/>
    <w:basedOn w:val="Section1"/>
    <w:next w:val="Normal"/>
    <w:rsid w:val="00AD566F"/>
    <w:pPr>
      <w:spacing w:before="240"/>
    </w:pPr>
    <w:rPr>
      <w:b/>
      <w:i/>
    </w:rPr>
  </w:style>
  <w:style w:type="paragraph" w:customStyle="1" w:styleId="AnnextitleS2">
    <w:name w:val="Annex_title_S2"/>
    <w:basedOn w:val="Anne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ppendixNoS2">
    <w:name w:val="Appendix_No_S2"/>
    <w:basedOn w:val="AppendixNo"/>
    <w:next w:val="AppendixrefS2"/>
    <w:rsid w:val="00257188"/>
    <w:pPr>
      <w:tabs>
        <w:tab w:val="clear" w:pos="567"/>
        <w:tab w:val="clear" w:pos="1134"/>
        <w:tab w:val="clear" w:pos="1701"/>
        <w:tab w:val="clear" w:pos="2268"/>
        <w:tab w:val="clear" w:pos="2835"/>
        <w:tab w:val="left" w:pos="851"/>
      </w:tabs>
      <w:jc w:val="left"/>
    </w:pPr>
    <w:rPr>
      <w:b/>
      <w:sz w:val="24"/>
    </w:rPr>
  </w:style>
  <w:style w:type="paragraph" w:customStyle="1" w:styleId="AppendixrefS2">
    <w:name w:val="Appendix_ref_S2"/>
    <w:basedOn w:val="Appendixref"/>
    <w:next w:val="AnnextitleS2"/>
    <w:rsid w:val="00AD566F"/>
    <w:pPr>
      <w:tabs>
        <w:tab w:val="clear" w:pos="567"/>
        <w:tab w:val="clear" w:pos="1134"/>
        <w:tab w:val="clear" w:pos="1701"/>
        <w:tab w:val="clear" w:pos="2268"/>
        <w:tab w:val="clear" w:pos="2835"/>
        <w:tab w:val="left" w:pos="851"/>
      </w:tabs>
      <w:jc w:val="left"/>
    </w:pPr>
    <w:rPr>
      <w:b/>
    </w:rPr>
  </w:style>
  <w:style w:type="paragraph" w:customStyle="1" w:styleId="AppendixtitleS2">
    <w:name w:val="Appendix_title_S2"/>
    <w:basedOn w:val="Appendixtitle"/>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ArtNoS2">
    <w:name w:val="Art_No_S2"/>
    <w:basedOn w:val="ArtNo"/>
    <w:next w:val="ArttitleS2"/>
    <w:rsid w:val="00257188"/>
    <w:pPr>
      <w:tabs>
        <w:tab w:val="left" w:pos="851"/>
      </w:tabs>
      <w:jc w:val="left"/>
    </w:pPr>
    <w:rPr>
      <w:b/>
      <w:sz w:val="24"/>
    </w:rPr>
  </w:style>
  <w:style w:type="paragraph" w:customStyle="1" w:styleId="ArttitleS2">
    <w:name w:val="Art_title_S2"/>
    <w:basedOn w:val="Arttitle"/>
    <w:next w:val="NormalS2"/>
    <w:rsid w:val="00257188"/>
    <w:pPr>
      <w:tabs>
        <w:tab w:val="left" w:pos="851"/>
      </w:tabs>
      <w:jc w:val="left"/>
    </w:pPr>
    <w:rPr>
      <w:sz w:val="24"/>
    </w:rPr>
  </w:style>
  <w:style w:type="paragraph" w:customStyle="1" w:styleId="ChapNoS2">
    <w:name w:val="Chap_No_S2"/>
    <w:basedOn w:val="ChapNo"/>
    <w:next w:val="ChaptitleS2"/>
    <w:rsid w:val="002F5FA2"/>
    <w:pPr>
      <w:tabs>
        <w:tab w:val="left" w:pos="851"/>
      </w:tabs>
      <w:jc w:val="left"/>
    </w:pPr>
    <w:rPr>
      <w:b/>
      <w:sz w:val="24"/>
    </w:rPr>
  </w:style>
  <w:style w:type="paragraph" w:customStyle="1" w:styleId="ChaptitleS2">
    <w:name w:val="Chap_title_S2"/>
    <w:basedOn w:val="Chaptitle"/>
    <w:next w:val="NormalS2"/>
    <w:rsid w:val="00257188"/>
    <w:pPr>
      <w:tabs>
        <w:tab w:val="left" w:pos="851"/>
      </w:tabs>
      <w:jc w:val="left"/>
    </w:pPr>
    <w:rPr>
      <w:sz w:val="24"/>
    </w:rPr>
  </w:style>
  <w:style w:type="paragraph" w:customStyle="1" w:styleId="enumlev1S2">
    <w:name w:val="enumlev1_S2"/>
    <w:basedOn w:val="enumlev1"/>
    <w:rsid w:val="00AD566F"/>
    <w:pPr>
      <w:tabs>
        <w:tab w:val="clear" w:pos="567"/>
        <w:tab w:val="clear" w:pos="1134"/>
        <w:tab w:val="clear" w:pos="1701"/>
        <w:tab w:val="clear" w:pos="2268"/>
        <w:tab w:val="clear" w:pos="2835"/>
        <w:tab w:val="left" w:pos="851"/>
      </w:tabs>
      <w:ind w:left="0" w:firstLine="0"/>
    </w:pPr>
    <w:rPr>
      <w:b/>
    </w:rPr>
  </w:style>
  <w:style w:type="paragraph" w:customStyle="1" w:styleId="enumlev2S2">
    <w:name w:val="enumlev2_S2"/>
    <w:basedOn w:val="enumlev2"/>
    <w:rsid w:val="00AD566F"/>
    <w:pPr>
      <w:tabs>
        <w:tab w:val="clear" w:pos="567"/>
        <w:tab w:val="clear" w:pos="1134"/>
        <w:tab w:val="clear" w:pos="1701"/>
        <w:tab w:val="clear" w:pos="2268"/>
        <w:tab w:val="clear" w:pos="2835"/>
        <w:tab w:val="left" w:pos="851"/>
      </w:tabs>
      <w:ind w:left="0" w:firstLine="0"/>
    </w:pPr>
    <w:rPr>
      <w:b/>
    </w:rPr>
  </w:style>
  <w:style w:type="paragraph" w:customStyle="1" w:styleId="enumlev3S2">
    <w:name w:val="enumlev3_S2"/>
    <w:basedOn w:val="enumlev3"/>
    <w:rsid w:val="00AD566F"/>
    <w:pPr>
      <w:tabs>
        <w:tab w:val="clear" w:pos="567"/>
        <w:tab w:val="clear" w:pos="1134"/>
        <w:tab w:val="clear" w:pos="1701"/>
        <w:tab w:val="clear" w:pos="2268"/>
        <w:tab w:val="clear" w:pos="2835"/>
        <w:tab w:val="left" w:pos="851"/>
      </w:tabs>
      <w:ind w:left="0" w:firstLine="0"/>
    </w:pPr>
    <w:rPr>
      <w:b/>
    </w:rPr>
  </w:style>
  <w:style w:type="paragraph" w:customStyle="1" w:styleId="FootnoteTextS2">
    <w:name w:val="Footnote Text_S2"/>
    <w:basedOn w:val="FootnoteText"/>
    <w:rsid w:val="00AD566F"/>
    <w:pPr>
      <w:tabs>
        <w:tab w:val="clear" w:pos="256"/>
        <w:tab w:val="clear" w:pos="567"/>
        <w:tab w:val="clear" w:pos="1134"/>
        <w:tab w:val="clear" w:pos="1701"/>
        <w:tab w:val="clear" w:pos="2268"/>
        <w:tab w:val="clear" w:pos="2835"/>
        <w:tab w:val="left" w:pos="851"/>
      </w:tabs>
      <w:ind w:left="0" w:firstLine="0"/>
    </w:pPr>
    <w:rPr>
      <w:b/>
    </w:rPr>
  </w:style>
  <w:style w:type="paragraph" w:customStyle="1" w:styleId="Heading1S2">
    <w:name w:val="Heading 1_S2"/>
    <w:basedOn w:val="Heading1"/>
    <w:next w:val="NormalS2"/>
    <w:rsid w:val="00AD566F"/>
    <w:pPr>
      <w:tabs>
        <w:tab w:val="clear" w:pos="567"/>
        <w:tab w:val="clear" w:pos="1134"/>
        <w:tab w:val="clear" w:pos="1701"/>
        <w:tab w:val="clear" w:pos="2268"/>
        <w:tab w:val="clear" w:pos="2835"/>
        <w:tab w:val="left" w:pos="851"/>
      </w:tabs>
      <w:ind w:left="0" w:firstLine="0"/>
      <w:outlineLvl w:val="9"/>
    </w:pPr>
    <w:rPr>
      <w:sz w:val="24"/>
    </w:rPr>
  </w:style>
  <w:style w:type="paragraph" w:customStyle="1" w:styleId="Heading2S2">
    <w:name w:val="Heading 2_S2"/>
    <w:basedOn w:val="Heading2"/>
    <w:next w:val="NormalS2"/>
    <w:rsid w:val="00AD566F"/>
    <w:pPr>
      <w:tabs>
        <w:tab w:val="clear" w:pos="567"/>
        <w:tab w:val="clear" w:pos="1134"/>
        <w:tab w:val="clear" w:pos="1701"/>
        <w:tab w:val="clear" w:pos="2268"/>
        <w:tab w:val="clear" w:pos="2835"/>
        <w:tab w:val="left" w:pos="851"/>
      </w:tabs>
    </w:pPr>
  </w:style>
  <w:style w:type="paragraph" w:customStyle="1" w:styleId="Heading3S2">
    <w:name w:val="Heading 3_S2"/>
    <w:basedOn w:val="Heading3"/>
    <w:next w:val="NormalS2"/>
    <w:rsid w:val="00AD566F"/>
    <w:pPr>
      <w:tabs>
        <w:tab w:val="clear" w:pos="567"/>
        <w:tab w:val="clear" w:pos="1134"/>
        <w:tab w:val="clear" w:pos="1701"/>
        <w:tab w:val="clear" w:pos="2268"/>
        <w:tab w:val="clear" w:pos="2835"/>
        <w:tab w:val="left" w:pos="851"/>
      </w:tabs>
    </w:pPr>
  </w:style>
  <w:style w:type="paragraph" w:customStyle="1" w:styleId="Heading4S2">
    <w:name w:val="Heading 4_S2"/>
    <w:basedOn w:val="Heading4"/>
    <w:next w:val="NormalS2"/>
    <w:rsid w:val="00AD566F"/>
    <w:pPr>
      <w:tabs>
        <w:tab w:val="clear" w:pos="567"/>
        <w:tab w:val="clear" w:pos="1134"/>
        <w:tab w:val="clear" w:pos="1701"/>
        <w:tab w:val="clear" w:pos="2268"/>
        <w:tab w:val="clear" w:pos="2835"/>
        <w:tab w:val="left" w:pos="851"/>
      </w:tabs>
    </w:pPr>
  </w:style>
  <w:style w:type="paragraph" w:customStyle="1" w:styleId="Heading5S2">
    <w:name w:val="Heading 5_S2"/>
    <w:basedOn w:val="Heading5"/>
    <w:next w:val="NormalS2"/>
    <w:rsid w:val="00AD566F"/>
    <w:pPr>
      <w:tabs>
        <w:tab w:val="clear" w:pos="567"/>
        <w:tab w:val="clear" w:pos="1134"/>
        <w:tab w:val="clear" w:pos="1701"/>
        <w:tab w:val="clear" w:pos="2268"/>
        <w:tab w:val="clear" w:pos="2835"/>
        <w:tab w:val="left" w:pos="851"/>
      </w:tabs>
    </w:pPr>
  </w:style>
  <w:style w:type="paragraph" w:customStyle="1" w:styleId="Heading6S2">
    <w:name w:val="Heading 6_S2"/>
    <w:basedOn w:val="Heading6"/>
    <w:next w:val="NormalS2"/>
    <w:rsid w:val="00AD566F"/>
    <w:pPr>
      <w:tabs>
        <w:tab w:val="clear" w:pos="567"/>
        <w:tab w:val="clear" w:pos="1134"/>
        <w:tab w:val="clear" w:pos="1701"/>
        <w:tab w:val="clear" w:pos="2268"/>
        <w:tab w:val="clear" w:pos="2835"/>
        <w:tab w:val="left" w:pos="851"/>
      </w:tabs>
    </w:pPr>
  </w:style>
  <w:style w:type="paragraph" w:customStyle="1" w:styleId="Heading7S2">
    <w:name w:val="Heading 7_S2"/>
    <w:basedOn w:val="Heading7"/>
    <w:next w:val="NormalS2"/>
    <w:rsid w:val="00AD566F"/>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S2"/>
    <w:rsid w:val="00AD566F"/>
    <w:pPr>
      <w:tabs>
        <w:tab w:val="clear" w:pos="567"/>
        <w:tab w:val="clear" w:pos="1134"/>
        <w:tab w:val="clear" w:pos="1701"/>
        <w:tab w:val="clear" w:pos="2268"/>
        <w:tab w:val="clear" w:pos="2835"/>
        <w:tab w:val="left" w:pos="851"/>
      </w:tabs>
    </w:pPr>
  </w:style>
  <w:style w:type="paragraph" w:customStyle="1" w:styleId="Heading9S2">
    <w:name w:val="Heading 9_S2"/>
    <w:basedOn w:val="Heading9"/>
    <w:next w:val="NormalS2"/>
    <w:rsid w:val="00AD566F"/>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aftertitle"/>
    <w:next w:val="NormalS2"/>
    <w:rsid w:val="00AD566F"/>
    <w:pPr>
      <w:keepNext/>
      <w:keepLines/>
      <w:tabs>
        <w:tab w:val="clear" w:pos="567"/>
        <w:tab w:val="clear" w:pos="1134"/>
        <w:tab w:val="clear" w:pos="1701"/>
        <w:tab w:val="clear" w:pos="2268"/>
        <w:tab w:val="clear" w:pos="2835"/>
        <w:tab w:val="left" w:pos="851"/>
      </w:tabs>
    </w:pPr>
    <w:rPr>
      <w:b/>
    </w:rPr>
  </w:style>
  <w:style w:type="paragraph" w:customStyle="1" w:styleId="NormalIndentS2">
    <w:name w:val="Normal Indent_S2"/>
    <w:basedOn w:val="NormalIndent"/>
    <w:rsid w:val="00AD566F"/>
    <w:pPr>
      <w:tabs>
        <w:tab w:val="clear" w:pos="567"/>
        <w:tab w:val="clear" w:pos="1134"/>
        <w:tab w:val="clear" w:pos="1701"/>
        <w:tab w:val="clear" w:pos="2268"/>
        <w:tab w:val="clear" w:pos="2835"/>
        <w:tab w:val="left" w:pos="851"/>
      </w:tabs>
      <w:ind w:left="0"/>
    </w:pPr>
    <w:rPr>
      <w:b/>
    </w:rPr>
  </w:style>
  <w:style w:type="paragraph" w:customStyle="1" w:styleId="NormalS2">
    <w:name w:val="Normal_S2"/>
    <w:basedOn w:val="Normal"/>
    <w:rsid w:val="00AD566F"/>
    <w:pPr>
      <w:tabs>
        <w:tab w:val="clear" w:pos="567"/>
        <w:tab w:val="clear" w:pos="1134"/>
        <w:tab w:val="clear" w:pos="1701"/>
        <w:tab w:val="clear" w:pos="2268"/>
        <w:tab w:val="clear" w:pos="2835"/>
        <w:tab w:val="left" w:pos="851"/>
      </w:tabs>
    </w:pPr>
    <w:rPr>
      <w:b/>
    </w:rPr>
  </w:style>
  <w:style w:type="paragraph" w:customStyle="1" w:styleId="ReasonsS2">
    <w:name w:val="Reasons_S2"/>
    <w:basedOn w:val="Reasons"/>
    <w:rsid w:val="00AD566F"/>
    <w:pPr>
      <w:tabs>
        <w:tab w:val="clear" w:pos="567"/>
        <w:tab w:val="clear" w:pos="1134"/>
        <w:tab w:val="clear" w:pos="1701"/>
        <w:tab w:val="clear" w:pos="2268"/>
        <w:tab w:val="clear" w:pos="2835"/>
        <w:tab w:val="left" w:pos="851"/>
      </w:tabs>
    </w:pPr>
    <w:rPr>
      <w:b/>
    </w:rPr>
  </w:style>
  <w:style w:type="paragraph" w:customStyle="1" w:styleId="RecNoS2">
    <w:name w:val="Rec_No_S2"/>
    <w:basedOn w:val="RecNo"/>
    <w:next w:val="Rec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ctitleS2">
    <w:name w:val="Rec_title_S2"/>
    <w:basedOn w:val="Rectitle"/>
    <w:next w:val="Heading1S2"/>
    <w:rsid w:val="00AD566F"/>
    <w:pPr>
      <w:tabs>
        <w:tab w:val="clear" w:pos="567"/>
        <w:tab w:val="clear" w:pos="1134"/>
        <w:tab w:val="clear" w:pos="1701"/>
        <w:tab w:val="clear" w:pos="2268"/>
        <w:tab w:val="clear" w:pos="2835"/>
        <w:tab w:val="left" w:pos="851"/>
      </w:tabs>
      <w:jc w:val="left"/>
    </w:pPr>
    <w:rPr>
      <w:caps/>
    </w:rPr>
  </w:style>
  <w:style w:type="paragraph" w:customStyle="1" w:styleId="ReftextS2">
    <w:name w:val="Ref_text_S2"/>
    <w:basedOn w:val="Reftext"/>
    <w:rsid w:val="00AD566F"/>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257188"/>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ResNo"/>
    <w:next w:val="RestitleS2"/>
    <w:rsid w:val="00257188"/>
    <w:pPr>
      <w:tabs>
        <w:tab w:val="clear" w:pos="567"/>
        <w:tab w:val="clear" w:pos="1134"/>
        <w:tab w:val="clear" w:pos="1701"/>
        <w:tab w:val="clear" w:pos="2268"/>
        <w:tab w:val="clear" w:pos="2835"/>
        <w:tab w:val="left" w:pos="851"/>
      </w:tabs>
      <w:jc w:val="left"/>
    </w:pPr>
    <w:rPr>
      <w:b/>
      <w:sz w:val="24"/>
    </w:rPr>
  </w:style>
  <w:style w:type="paragraph" w:customStyle="1" w:styleId="RestitleS2">
    <w:name w:val="Res_title_S2"/>
    <w:basedOn w:val="Restitle"/>
    <w:next w:val="NormalS2"/>
    <w:rsid w:val="002F5FA2"/>
    <w:pPr>
      <w:tabs>
        <w:tab w:val="clear" w:pos="567"/>
        <w:tab w:val="clear" w:pos="1134"/>
        <w:tab w:val="clear" w:pos="1701"/>
        <w:tab w:val="clear" w:pos="2268"/>
        <w:tab w:val="clear" w:pos="2835"/>
        <w:tab w:val="left" w:pos="851"/>
      </w:tabs>
      <w:jc w:val="left"/>
    </w:pPr>
    <w:rPr>
      <w:sz w:val="24"/>
    </w:rPr>
  </w:style>
  <w:style w:type="paragraph" w:customStyle="1" w:styleId="Section1S2">
    <w:name w:val="Section 1_S2"/>
    <w:basedOn w:val="Section1"/>
    <w:next w:val="NormalS2"/>
    <w:rsid w:val="00257188"/>
    <w:pPr>
      <w:tabs>
        <w:tab w:val="left" w:pos="851"/>
      </w:tabs>
      <w:jc w:val="left"/>
    </w:pPr>
    <w:rPr>
      <w:caps/>
      <w:sz w:val="24"/>
    </w:rPr>
  </w:style>
  <w:style w:type="paragraph" w:customStyle="1" w:styleId="Section2S2">
    <w:name w:val="Section 2_S2"/>
    <w:basedOn w:val="Section2"/>
    <w:next w:val="NormalS2"/>
    <w:rsid w:val="002F5FA2"/>
    <w:pPr>
      <w:tabs>
        <w:tab w:val="left" w:pos="851"/>
      </w:tabs>
      <w:jc w:val="left"/>
    </w:pPr>
    <w:rPr>
      <w:sz w:val="24"/>
    </w:rPr>
  </w:style>
  <w:style w:type="paragraph" w:customStyle="1" w:styleId="TableNoS2">
    <w:name w:val="Table_No_S2"/>
    <w:basedOn w:val="TableNo"/>
    <w:next w:val="TabletitleS2"/>
    <w:rsid w:val="00AD566F"/>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D566F"/>
    <w:pPr>
      <w:tabs>
        <w:tab w:val="left" w:pos="851"/>
      </w:tabs>
      <w:spacing w:after="0"/>
    </w:pPr>
    <w:rPr>
      <w:b/>
    </w:rPr>
  </w:style>
  <w:style w:type="paragraph" w:customStyle="1" w:styleId="TabletextS2">
    <w:name w:val="Table_text_S2"/>
    <w:basedOn w:val="Tabletext"/>
    <w:rsid w:val="00AD566F"/>
    <w:pPr>
      <w:tabs>
        <w:tab w:val="left" w:pos="851"/>
      </w:tabs>
    </w:pPr>
    <w:rPr>
      <w:b/>
    </w:rPr>
  </w:style>
  <w:style w:type="paragraph" w:customStyle="1" w:styleId="TabletitleS2">
    <w:name w:val="Table_title_S2"/>
    <w:basedOn w:val="Tabletitle"/>
    <w:next w:val="TabletextS2"/>
    <w:rsid w:val="00AD566F"/>
    <w:pPr>
      <w:keepNext w:val="0"/>
      <w:tabs>
        <w:tab w:val="clear" w:pos="2948"/>
        <w:tab w:val="clear" w:pos="4082"/>
        <w:tab w:val="left" w:pos="851"/>
      </w:tabs>
      <w:jc w:val="left"/>
    </w:pPr>
  </w:style>
  <w:style w:type="paragraph" w:customStyle="1" w:styleId="FooterS2">
    <w:name w:val="Footer_S2"/>
    <w:basedOn w:val="Footer"/>
    <w:rsid w:val="00AD566F"/>
    <w:pPr>
      <w:tabs>
        <w:tab w:val="clear" w:pos="5954"/>
        <w:tab w:val="clear" w:pos="9639"/>
        <w:tab w:val="left" w:pos="3686"/>
        <w:tab w:val="right" w:pos="7655"/>
      </w:tabs>
      <w:ind w:left="-1985"/>
    </w:pPr>
  </w:style>
  <w:style w:type="paragraph" w:customStyle="1" w:styleId="HeaderS2">
    <w:name w:val="Header_S2"/>
    <w:basedOn w:val="Normal"/>
    <w:rsid w:val="00AD566F"/>
    <w:pPr>
      <w:tabs>
        <w:tab w:val="clear" w:pos="567"/>
        <w:tab w:val="clear" w:pos="1134"/>
        <w:tab w:val="clear" w:pos="1701"/>
        <w:tab w:val="clear" w:pos="2268"/>
        <w:tab w:val="clear" w:pos="2835"/>
      </w:tabs>
      <w:spacing w:before="0"/>
      <w:ind w:left="-1985"/>
      <w:jc w:val="center"/>
    </w:pPr>
    <w:rPr>
      <w:sz w:val="22"/>
    </w:rPr>
  </w:style>
  <w:style w:type="paragraph" w:customStyle="1" w:styleId="Artheading">
    <w:name w:val="Art_heading"/>
    <w:basedOn w:val="Normal"/>
    <w:next w:val="Normalaftertitle"/>
    <w:rsid w:val="00AD566F"/>
    <w:pPr>
      <w:tabs>
        <w:tab w:val="clear" w:pos="567"/>
        <w:tab w:val="clear" w:pos="1134"/>
        <w:tab w:val="clear" w:pos="1701"/>
        <w:tab w:val="clear" w:pos="2268"/>
        <w:tab w:val="clear" w:pos="2835"/>
      </w:tabs>
      <w:spacing w:before="480"/>
      <w:jc w:val="center"/>
    </w:pPr>
    <w:rPr>
      <w:b/>
    </w:rPr>
  </w:style>
  <w:style w:type="paragraph" w:customStyle="1" w:styleId="ArtheadingS2">
    <w:name w:val="Art_heading_S2"/>
    <w:basedOn w:val="Artheading"/>
    <w:next w:val="NormalaftertitleS2"/>
    <w:rsid w:val="00AD566F"/>
    <w:pPr>
      <w:tabs>
        <w:tab w:val="left" w:pos="851"/>
      </w:tabs>
      <w:jc w:val="left"/>
    </w:pPr>
  </w:style>
  <w:style w:type="paragraph" w:customStyle="1" w:styleId="NoteS2">
    <w:name w:val="Note_S2"/>
    <w:basedOn w:val="Note"/>
    <w:rsid w:val="00AD566F"/>
    <w:pPr>
      <w:tabs>
        <w:tab w:val="clear" w:pos="1134"/>
        <w:tab w:val="clear" w:pos="1701"/>
        <w:tab w:val="clear" w:pos="2268"/>
        <w:tab w:val="clear" w:pos="2835"/>
      </w:tabs>
    </w:pPr>
    <w:rPr>
      <w:b/>
    </w:rPr>
  </w:style>
  <w:style w:type="paragraph" w:customStyle="1" w:styleId="HeadingbS2">
    <w:name w:val="Headingb_S2"/>
    <w:basedOn w:val="Headingb"/>
    <w:next w:val="NormalS2"/>
    <w:rsid w:val="00AD566F"/>
    <w:pPr>
      <w:tabs>
        <w:tab w:val="clear" w:pos="567"/>
        <w:tab w:val="clear" w:pos="1134"/>
        <w:tab w:val="clear" w:pos="1701"/>
        <w:tab w:val="clear" w:pos="2268"/>
        <w:tab w:val="clear" w:pos="2835"/>
        <w:tab w:val="left" w:pos="851"/>
      </w:tabs>
    </w:pPr>
  </w:style>
  <w:style w:type="paragraph" w:customStyle="1" w:styleId="Headingb">
    <w:name w:val="Heading_b"/>
    <w:basedOn w:val="Heading3"/>
    <w:next w:val="Normal"/>
    <w:rsid w:val="00AD566F"/>
    <w:pPr>
      <w:spacing w:before="160"/>
      <w:outlineLvl w:val="0"/>
    </w:pPr>
  </w:style>
  <w:style w:type="paragraph" w:customStyle="1" w:styleId="HeadingiS2">
    <w:name w:val="Headingi_S2"/>
    <w:basedOn w:val="Headingi"/>
    <w:next w:val="NormalS2"/>
    <w:rsid w:val="00AD566F"/>
    <w:pPr>
      <w:tabs>
        <w:tab w:val="clear" w:pos="567"/>
        <w:tab w:val="clear" w:pos="1134"/>
        <w:tab w:val="clear" w:pos="1701"/>
        <w:tab w:val="clear" w:pos="2268"/>
        <w:tab w:val="clear" w:pos="2835"/>
        <w:tab w:val="left" w:pos="851"/>
      </w:tabs>
    </w:pPr>
    <w:rPr>
      <w:b/>
      <w:i w:val="0"/>
    </w:rPr>
  </w:style>
  <w:style w:type="paragraph" w:customStyle="1" w:styleId="Headingi">
    <w:name w:val="Heading_i"/>
    <w:basedOn w:val="Heading3"/>
    <w:next w:val="Normal"/>
    <w:rsid w:val="002F5FA2"/>
    <w:pPr>
      <w:spacing w:before="160"/>
      <w:outlineLvl w:val="0"/>
    </w:pPr>
    <w:rPr>
      <w:rFonts w:asciiTheme="minorHAnsi" w:hAnsiTheme="minorHAnsi"/>
      <w:b w:val="0"/>
      <w:i/>
    </w:rPr>
  </w:style>
  <w:style w:type="paragraph" w:customStyle="1" w:styleId="FirstFooter">
    <w:name w:val="FirstFooter"/>
    <w:basedOn w:val="Footer"/>
    <w:rsid w:val="00AD566F"/>
    <w:rPr>
      <w:caps w:val="0"/>
    </w:rPr>
  </w:style>
  <w:style w:type="character" w:styleId="PageNumber">
    <w:name w:val="page number"/>
    <w:basedOn w:val="DefaultParagraphFont"/>
    <w:rsid w:val="002F5FA2"/>
    <w:rPr>
      <w:rFonts w:ascii="Calibri" w:hAnsi="Calibri"/>
    </w:rPr>
  </w:style>
  <w:style w:type="character" w:styleId="Hyperlink">
    <w:name w:val="Hyperlink"/>
    <w:basedOn w:val="DefaultParagraphFont"/>
    <w:uiPriority w:val="99"/>
    <w:rsid w:val="00000AF8"/>
    <w:rPr>
      <w:rFonts w:ascii="Calibri" w:hAnsi="Calibri"/>
      <w:color w:val="0000FF"/>
      <w:u w:val="single"/>
    </w:rPr>
  </w:style>
  <w:style w:type="paragraph" w:styleId="Date">
    <w:name w:val="Date"/>
    <w:basedOn w:val="Normal"/>
    <w:rsid w:val="003A4E67"/>
    <w:pPr>
      <w:tabs>
        <w:tab w:val="clear" w:pos="2268"/>
        <w:tab w:val="left" w:pos="1843"/>
        <w:tab w:val="left" w:pos="2269"/>
        <w:tab w:val="left" w:pos="3544"/>
        <w:tab w:val="left" w:pos="3969"/>
      </w:tabs>
      <w:spacing w:before="192" w:line="240" w:lineRule="atLeast"/>
      <w:jc w:val="center"/>
    </w:pPr>
    <w:rPr>
      <w:sz w:val="20"/>
    </w:rPr>
  </w:style>
  <w:style w:type="character" w:styleId="FollowedHyperlink">
    <w:name w:val="FollowedHyperlink"/>
    <w:basedOn w:val="DefaultParagraphFont"/>
    <w:rsid w:val="00AD566F"/>
    <w:rPr>
      <w:color w:val="800080"/>
      <w:u w:val="single"/>
    </w:rPr>
  </w:style>
  <w:style w:type="paragraph" w:customStyle="1" w:styleId="Heading1c">
    <w:name w:val="Heading 1c"/>
    <w:basedOn w:val="Heading1"/>
    <w:next w:val="Normal"/>
    <w:rsid w:val="002F5FA2"/>
    <w:pPr>
      <w:ind w:left="0" w:firstLine="0"/>
      <w:jc w:val="center"/>
      <w:outlineLvl w:val="9"/>
    </w:pPr>
  </w:style>
  <w:style w:type="paragraph" w:customStyle="1" w:styleId="Heading1cS2">
    <w:name w:val="Heading 1c_S2"/>
    <w:basedOn w:val="Heading1c"/>
    <w:next w:val="NormalS2"/>
    <w:rsid w:val="00257188"/>
    <w:pPr>
      <w:tabs>
        <w:tab w:val="clear" w:pos="567"/>
        <w:tab w:val="clear" w:pos="1134"/>
        <w:tab w:val="clear" w:pos="1701"/>
        <w:tab w:val="clear" w:pos="2268"/>
        <w:tab w:val="clear" w:pos="2835"/>
        <w:tab w:val="left" w:pos="851"/>
      </w:tabs>
      <w:jc w:val="left"/>
    </w:pPr>
    <w:rPr>
      <w:sz w:val="24"/>
    </w:rPr>
  </w:style>
  <w:style w:type="paragraph" w:customStyle="1" w:styleId="Heading2i">
    <w:name w:val="Heading 2i"/>
    <w:basedOn w:val="Heading2"/>
    <w:next w:val="Normal"/>
    <w:rsid w:val="002F5FA2"/>
    <w:rPr>
      <w:b w:val="0"/>
      <w:i/>
    </w:rPr>
  </w:style>
  <w:style w:type="paragraph" w:customStyle="1" w:styleId="Heading2iS2">
    <w:name w:val="Heading 2i_S2"/>
    <w:basedOn w:val="Heading2i"/>
    <w:next w:val="NormalS2"/>
    <w:rsid w:val="00AD566F"/>
    <w:pPr>
      <w:tabs>
        <w:tab w:val="clear" w:pos="567"/>
        <w:tab w:val="clear" w:pos="1134"/>
        <w:tab w:val="clear" w:pos="1701"/>
        <w:tab w:val="clear" w:pos="2268"/>
        <w:tab w:val="clear" w:pos="2835"/>
        <w:tab w:val="left" w:pos="851"/>
      </w:tabs>
    </w:pPr>
    <w:rPr>
      <w:b/>
      <w:i w:val="0"/>
    </w:rPr>
  </w:style>
  <w:style w:type="paragraph" w:customStyle="1" w:styleId="firstfooter0">
    <w:name w:val="firstfooter"/>
    <w:basedOn w:val="Normal"/>
    <w:rsid w:val="00DE4CC2"/>
    <w:pPr>
      <w:tabs>
        <w:tab w:val="clear" w:pos="567"/>
        <w:tab w:val="clear" w:pos="1134"/>
        <w:tab w:val="clear" w:pos="1701"/>
        <w:tab w:val="clear" w:pos="2268"/>
        <w:tab w:val="clear" w:pos="2835"/>
      </w:tabs>
      <w:overflowPunct/>
      <w:autoSpaceDE/>
      <w:autoSpaceDN/>
      <w:adjustRightInd/>
      <w:spacing w:before="100" w:beforeAutospacing="1" w:after="100" w:afterAutospacing="1"/>
      <w:textAlignment w:val="auto"/>
    </w:pPr>
    <w:rPr>
      <w:rFonts w:eastAsia="SimSun"/>
      <w:szCs w:val="24"/>
      <w:lang w:val="en-US" w:eastAsia="zh-CN"/>
    </w:rPr>
  </w:style>
  <w:style w:type="paragraph" w:customStyle="1" w:styleId="Normalpv">
    <w:name w:val="Normal pv"/>
    <w:basedOn w:val="Normal"/>
    <w:rsid w:val="00AD566F"/>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Heading1pv">
    <w:name w:val="Heading 1pv"/>
    <w:basedOn w:val="Heading1"/>
    <w:next w:val="Normalpv"/>
    <w:rsid w:val="00AD566F"/>
    <w:pPr>
      <w:tabs>
        <w:tab w:val="clear" w:pos="567"/>
        <w:tab w:val="clear" w:pos="1134"/>
        <w:tab w:val="clear" w:pos="1701"/>
        <w:tab w:val="clear" w:pos="2268"/>
        <w:tab w:val="clear" w:pos="2835"/>
        <w:tab w:val="left" w:pos="794"/>
        <w:tab w:val="left" w:pos="1191"/>
        <w:tab w:val="left" w:pos="1588"/>
        <w:tab w:val="left" w:pos="1985"/>
      </w:tabs>
      <w:ind w:left="794" w:hanging="794"/>
    </w:pPr>
  </w:style>
  <w:style w:type="paragraph" w:customStyle="1" w:styleId="Heading2pv">
    <w:name w:val="Heading 2pv"/>
    <w:basedOn w:val="Heading1pv"/>
    <w:next w:val="Normalpv"/>
    <w:rsid w:val="00257188"/>
    <w:pPr>
      <w:spacing w:before="320"/>
      <w:outlineLvl w:val="1"/>
    </w:pPr>
    <w:rPr>
      <w:sz w:val="24"/>
    </w:rPr>
  </w:style>
  <w:style w:type="paragraph" w:customStyle="1" w:styleId="Heading3pv">
    <w:name w:val="Heading 3pv"/>
    <w:basedOn w:val="Heading1pv"/>
    <w:next w:val="Normalpv"/>
    <w:rsid w:val="00257188"/>
    <w:pPr>
      <w:spacing w:before="200"/>
      <w:outlineLvl w:val="2"/>
    </w:pPr>
    <w:rPr>
      <w:sz w:val="24"/>
    </w:rPr>
  </w:style>
  <w:style w:type="paragraph" w:customStyle="1" w:styleId="SpecialFooter">
    <w:name w:val="Special Footer"/>
    <w:basedOn w:val="Footer"/>
    <w:rsid w:val="007E2AD4"/>
    <w:pPr>
      <w:tabs>
        <w:tab w:val="left" w:pos="567"/>
        <w:tab w:val="left" w:pos="1134"/>
        <w:tab w:val="left" w:pos="1701"/>
        <w:tab w:val="left" w:pos="2268"/>
        <w:tab w:val="left" w:pos="2835"/>
      </w:tabs>
      <w:jc w:val="both"/>
    </w:pPr>
    <w:rPr>
      <w:rFonts w:ascii="Times New Roman" w:hAnsi="Times New Roman"/>
      <w:caps w:val="0"/>
      <w:noProof w:val="0"/>
    </w:rPr>
  </w:style>
  <w:style w:type="paragraph" w:customStyle="1" w:styleId="NormalendS2">
    <w:name w:val="Normal_end_S2"/>
    <w:basedOn w:val="Normal"/>
    <w:qFormat/>
    <w:rsid w:val="00235A3B"/>
  </w:style>
  <w:style w:type="paragraph" w:customStyle="1" w:styleId="Dectitle">
    <w:name w:val="Dec_title"/>
    <w:basedOn w:val="Restitle"/>
    <w:next w:val="Normalaftertitle"/>
    <w:qFormat/>
    <w:rsid w:val="00142F28"/>
  </w:style>
  <w:style w:type="paragraph" w:customStyle="1" w:styleId="DecNo">
    <w:name w:val="Dec_No"/>
    <w:basedOn w:val="ResNo"/>
    <w:next w:val="Dectitle"/>
    <w:qFormat/>
    <w:rsid w:val="00142F28"/>
  </w:style>
  <w:style w:type="paragraph" w:customStyle="1" w:styleId="DectitleS2">
    <w:name w:val="Dec_title_S2"/>
    <w:basedOn w:val="RestitleS2"/>
    <w:next w:val="Normal"/>
    <w:qFormat/>
    <w:rsid w:val="006F565E"/>
  </w:style>
  <w:style w:type="paragraph" w:customStyle="1" w:styleId="DecNoS2">
    <w:name w:val="Dec_No_S2"/>
    <w:basedOn w:val="ResNoS2"/>
    <w:next w:val="DectitleS2"/>
    <w:qFormat/>
    <w:rsid w:val="006F565E"/>
  </w:style>
  <w:style w:type="paragraph" w:customStyle="1" w:styleId="Sectiontitle">
    <w:name w:val="Section_title"/>
    <w:basedOn w:val="Arttitle"/>
    <w:next w:val="Normalaftertitle"/>
    <w:qFormat/>
    <w:rsid w:val="007140CF"/>
  </w:style>
  <w:style w:type="paragraph" w:customStyle="1" w:styleId="SectionNo">
    <w:name w:val="Section_No"/>
    <w:basedOn w:val="ArtNo"/>
    <w:next w:val="Sectiontitle"/>
    <w:qFormat/>
    <w:rsid w:val="007140CF"/>
  </w:style>
  <w:style w:type="paragraph" w:customStyle="1" w:styleId="SectiontitleS2">
    <w:name w:val="Section_title_S2"/>
    <w:basedOn w:val="ArttitleS2"/>
    <w:next w:val="Normal"/>
    <w:qFormat/>
    <w:rsid w:val="007140CF"/>
  </w:style>
  <w:style w:type="paragraph" w:customStyle="1" w:styleId="SectionNoS2">
    <w:name w:val="Section_No_S2"/>
    <w:basedOn w:val="ArtNoS2"/>
    <w:next w:val="SectiontitleS2"/>
    <w:qFormat/>
    <w:rsid w:val="007140CF"/>
  </w:style>
  <w:style w:type="paragraph" w:customStyle="1" w:styleId="Proposal">
    <w:name w:val="Proposal"/>
    <w:basedOn w:val="Normal"/>
    <w:next w:val="Normal"/>
    <w:rsid w:val="00CB7795"/>
    <w:pPr>
      <w:keepNext/>
      <w:tabs>
        <w:tab w:val="clear" w:pos="567"/>
        <w:tab w:val="clear" w:pos="1701"/>
        <w:tab w:val="clear" w:pos="2268"/>
        <w:tab w:val="clear" w:pos="2835"/>
      </w:tabs>
      <w:spacing w:before="240"/>
    </w:pPr>
    <w:rPr>
      <w:rFonts w:asciiTheme="minorHAnsi" w:hAnsi="Times New Roman Bold"/>
      <w:b/>
    </w:rPr>
  </w:style>
  <w:style w:type="paragraph" w:customStyle="1" w:styleId="Agendaitem">
    <w:name w:val="Agenda_item"/>
    <w:basedOn w:val="Normal"/>
    <w:next w:val="Normal"/>
    <w:qFormat/>
    <w:rsid w:val="001A16ED"/>
    <w:pPr>
      <w:tabs>
        <w:tab w:val="clear" w:pos="567"/>
        <w:tab w:val="clear" w:pos="1134"/>
        <w:tab w:val="clear" w:pos="1701"/>
        <w:tab w:val="clear" w:pos="2268"/>
        <w:tab w:val="clear" w:pos="2835"/>
      </w:tabs>
      <w:overflowPunct/>
      <w:autoSpaceDE/>
      <w:autoSpaceDN/>
      <w:adjustRightInd/>
      <w:spacing w:before="240" w:after="200" w:line="276" w:lineRule="auto"/>
      <w:jc w:val="center"/>
      <w:textAlignment w:val="auto"/>
    </w:pPr>
    <w:rPr>
      <w:rFonts w:asciiTheme="minorHAnsi" w:eastAsiaTheme="minorEastAsia" w:hAnsiTheme="minorHAnsi" w:cstheme="minorBidi"/>
      <w:sz w:val="28"/>
      <w:szCs w:val="22"/>
      <w:lang w:val="es-ES_tradnl" w:eastAsia="zh-CN"/>
    </w:rPr>
  </w:style>
  <w:style w:type="paragraph" w:customStyle="1" w:styleId="Committee">
    <w:name w:val="Committee"/>
    <w:basedOn w:val="Normal"/>
    <w:qFormat/>
    <w:rsid w:val="003A4E67"/>
    <w:pPr>
      <w:tabs>
        <w:tab w:val="clear" w:pos="567"/>
        <w:tab w:val="clear" w:pos="1134"/>
        <w:tab w:val="clear" w:pos="1701"/>
        <w:tab w:val="clear" w:pos="2268"/>
        <w:tab w:val="clear" w:pos="2835"/>
        <w:tab w:val="left" w:pos="851"/>
      </w:tabs>
      <w:overflowPunct/>
      <w:autoSpaceDE/>
      <w:autoSpaceDN/>
      <w:adjustRightInd/>
      <w:spacing w:before="0" w:after="200" w:line="240" w:lineRule="atLeast"/>
      <w:textAlignment w:val="auto"/>
    </w:pPr>
    <w:rPr>
      <w:rFonts w:asciiTheme="minorHAnsi" w:eastAsiaTheme="minorEastAsia" w:hAnsiTheme="minorHAnsi" w:cstheme="minorHAnsi"/>
      <w:b/>
      <w:szCs w:val="24"/>
      <w:lang w:val="en-US" w:eastAsia="zh-CN"/>
    </w:rPr>
  </w:style>
  <w:style w:type="character" w:customStyle="1" w:styleId="HeaderChar">
    <w:name w:val="Header Char"/>
    <w:basedOn w:val="DefaultParagraphFont"/>
    <w:link w:val="Header"/>
    <w:rsid w:val="001A16ED"/>
    <w:rPr>
      <w:rFonts w:ascii="Calibri" w:hAnsi="Calibri"/>
      <w:sz w:val="18"/>
      <w:lang w:val="en-GB" w:eastAsia="en-US"/>
    </w:rPr>
  </w:style>
  <w:style w:type="paragraph" w:styleId="BalloonText">
    <w:name w:val="Balloon Text"/>
    <w:basedOn w:val="Normal"/>
    <w:link w:val="BalloonTextChar"/>
    <w:semiHidden/>
    <w:unhideWhenUsed/>
    <w:rsid w:val="00A808E1"/>
    <w:pPr>
      <w:spacing w:before="0"/>
    </w:pPr>
    <w:rPr>
      <w:rFonts w:ascii="Tahoma" w:hAnsi="Tahoma" w:cs="Tahoma"/>
      <w:sz w:val="16"/>
      <w:szCs w:val="16"/>
    </w:rPr>
  </w:style>
  <w:style w:type="character" w:customStyle="1" w:styleId="BalloonTextChar">
    <w:name w:val="Balloon Text Char"/>
    <w:basedOn w:val="DefaultParagraphFont"/>
    <w:link w:val="BalloonText"/>
    <w:semiHidden/>
    <w:rsid w:val="00A808E1"/>
    <w:rPr>
      <w:rFonts w:ascii="Tahoma" w:hAnsi="Tahoma" w:cs="Tahoma"/>
      <w:sz w:val="16"/>
      <w:szCs w:val="16"/>
      <w:lang w:val="en-GB" w:eastAsia="en-US"/>
    </w:rPr>
  </w:style>
  <w:style w:type="paragraph" w:customStyle="1" w:styleId="VolumeTitle">
    <w:name w:val="VolumeTitle"/>
    <w:basedOn w:val="Normal"/>
    <w:next w:val="Normal"/>
    <w:rsid w:val="00B156F9"/>
    <w:pPr>
      <w:tabs>
        <w:tab w:val="clear" w:pos="567"/>
        <w:tab w:val="clear" w:pos="1134"/>
        <w:tab w:val="clear" w:pos="1701"/>
        <w:tab w:val="clear" w:pos="2268"/>
        <w:tab w:val="clear" w:pos="2835"/>
      </w:tabs>
      <w:overflowPunct/>
      <w:autoSpaceDE/>
      <w:autoSpaceDN/>
      <w:adjustRightInd/>
      <w:spacing w:before="240" w:after="240"/>
      <w:jc w:val="center"/>
      <w:textAlignment w:val="auto"/>
    </w:pPr>
    <w:rPr>
      <w:rFonts w:asciiTheme="minorHAnsi" w:eastAsiaTheme="minorEastAsia" w:hAnsiTheme="minorHAnsi" w:cstheme="minorBidi"/>
      <w:b/>
      <w:bCs/>
      <w:caps/>
      <w:sz w:val="32"/>
      <w:szCs w:val="32"/>
      <w:lang w:val="en-US" w:eastAsia="zh-CN"/>
    </w:rPr>
  </w:style>
  <w:style w:type="paragraph" w:customStyle="1" w:styleId="VolumeTitleS2">
    <w:name w:val="VolumeTitle_S2"/>
    <w:basedOn w:val="VolumeTitle"/>
    <w:next w:val="Normal"/>
    <w:qFormat/>
    <w:rsid w:val="00215F12"/>
  </w:style>
  <w:style w:type="paragraph" w:customStyle="1" w:styleId="OP">
    <w:name w:val="OP"/>
    <w:basedOn w:val="Normal"/>
    <w:next w:val="Normal"/>
    <w:qFormat/>
    <w:rsid w:val="00FF04D6"/>
    <w:pPr>
      <w:pageBreakBefore/>
      <w:tabs>
        <w:tab w:val="clear" w:pos="1134"/>
        <w:tab w:val="clear" w:pos="2268"/>
        <w:tab w:val="right" w:pos="567"/>
        <w:tab w:val="left" w:pos="794"/>
        <w:tab w:val="left" w:pos="1191"/>
        <w:tab w:val="left" w:pos="1588"/>
        <w:tab w:val="left" w:pos="1985"/>
      </w:tabs>
      <w:spacing w:before="240" w:after="240" w:line="480" w:lineRule="atLeast"/>
      <w:jc w:val="center"/>
    </w:pPr>
    <w:rPr>
      <w:b/>
      <w:sz w:val="32"/>
    </w:rPr>
  </w:style>
  <w:style w:type="paragraph" w:customStyle="1" w:styleId="OPtitle">
    <w:name w:val="OP_title"/>
    <w:basedOn w:val="Normal"/>
    <w:next w:val="Normalaftertitle"/>
    <w:qFormat/>
    <w:rsid w:val="00FF04D6"/>
    <w:pPr>
      <w:jc w:val="center"/>
    </w:pPr>
    <w:rPr>
      <w:b/>
      <w:bCs/>
    </w:rPr>
  </w:style>
  <w:style w:type="paragraph" w:customStyle="1" w:styleId="StyleCommitteeAfter0ptLinespacingsingle">
    <w:name w:val="Style Committee + After:  0 pt Line spacing:  single"/>
    <w:basedOn w:val="Committee"/>
    <w:rsid w:val="00841AB4"/>
    <w:pPr>
      <w:framePr w:wrap="around" w:hAnchor="text"/>
      <w:spacing w:after="0" w:line="240" w:lineRule="auto"/>
    </w:pPr>
    <w:rPr>
      <w:rFonts w:eastAsia="Times New Roman" w:cs="Times New Roman"/>
      <w:bCs/>
      <w:szCs w:val="20"/>
    </w:rPr>
  </w:style>
  <w:style w:type="character" w:styleId="UnresolvedMention">
    <w:name w:val="Unresolved Mention"/>
    <w:basedOn w:val="DefaultParagraphFont"/>
    <w:uiPriority w:val="99"/>
    <w:semiHidden/>
    <w:unhideWhenUsed/>
    <w:rsid w:val="00D75620"/>
    <w:rPr>
      <w:color w:val="605E5C"/>
      <w:shd w:val="clear" w:color="auto" w:fill="E1DFDD"/>
    </w:rPr>
  </w:style>
</w:styles>
</file>

<file path=word/_rels/document.xml.rels>&#65279;<?xml version="1.0" encoding="utf-8"?><Relationships xmlns="http://schemas.openxmlformats.org/package/2006/relationships"><Relationship Type="http://schemas.openxmlformats.org/officeDocument/2006/relationships/footnotes" Target="/word/footnotes.xml" Id="Rd9a1cf5bd6f64b51" /><Relationship Type="http://schemas.openxmlformats.org/officeDocument/2006/relationships/styles" Target="/word/styles.xml" Id="Rc7d4ac66cfb342de" /><Relationship Type="http://schemas.openxmlformats.org/officeDocument/2006/relationships/theme" Target="/word/theme/theme1.xml" Id="Reff45a66088a4be3" /><Relationship Type="http://schemas.openxmlformats.org/officeDocument/2006/relationships/fontTable" Target="/word/fontTable.xml" Id="R67578c9b55d94526" /><Relationship Type="http://schemas.openxmlformats.org/officeDocument/2006/relationships/endnotes" Target="/word/endnotes.xml" Id="Rc39773be8dad4e4d" /><Relationship Type="http://schemas.openxmlformats.org/officeDocument/2006/relationships/settings" Target="/word/settings.xml" Id="R31f2dcbdea57445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