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D6" w:rsidRPr="00226B91" w:rsidRDefault="000622D6" w:rsidP="000622D6">
      <w:pPr>
        <w:pStyle w:val="QuestionNo"/>
        <w:rPr>
          <w:lang w:val="ru-RU"/>
        </w:rPr>
      </w:pPr>
      <w:bookmarkStart w:id="0" w:name="_Toc393899660"/>
      <w:r w:rsidRPr="00226B91">
        <w:rPr>
          <w:lang w:val="ru-RU"/>
        </w:rPr>
        <w:t>Вопрос 6/1</w:t>
      </w:r>
      <w:bookmarkEnd w:id="0"/>
    </w:p>
    <w:p w:rsidR="000622D6" w:rsidRPr="00226B91" w:rsidRDefault="000622D6" w:rsidP="000622D6">
      <w:pPr>
        <w:pStyle w:val="Questiontitle"/>
        <w:rPr>
          <w:lang w:val="ru-RU"/>
        </w:rPr>
      </w:pPr>
      <w:r w:rsidRPr="00226B91">
        <w:rPr>
          <w:lang w:val="ru-RU"/>
        </w:rPr>
        <w:t>Информация для потребителей, их защита и права: законы, нормативные положения, экономические основы, сети потребителей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Изложение ситуации или проблемы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В ходе Всемирной конференции по развитию электросвязи (Дубай, 2014 г.) было учтено пожелание Государств-Членов и Членов Секторов изучить проблему защиты потребителей услуг электросвязи/ИКТ, и это исследование было включено в рамках конвергенции. В условиях стремительного развития технологий и появления на рынке все более совершенного оборудования потребители, которые не являются специалистами в области электросвязи/ИКТ, могут испытывать чувство растерянности. Таким образом, информация для потребителей и права потребителей стали приоритетом, и эта тема должна стать предметом отдельного исследования.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В ходе большинства собраний, организуемых ведущими участниками рынка электросвязи и ИКТ, вопрос о защите прав потребителей стал постоянной проблемой, хотя ни регуляторные органы, ни операторы, ни поставщики услуг, ни производители оборудования не определили и не разработали особую правовую основу для юридической защиты прав потребителей − то есть тот инструмент, который необходимо внедрить для обеспечения универсального доступа к качественным недорогим услугам электросвязи/ИКТ.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С учетом скорости изменений и времени, необходимого для введения и реализации нового законодательства и нормативных положений, органам, ответственным за защиту потребителей (регуляторным органам, общественным и частным учреждениям), следует периодически вносить поправки в нормативные базы на основе уравновешивания интересов операторов/поставщиков услуг и пользователей в таких областях, как абонентское соглашение, защита прав интеллектуальной собственности и управление цифровыми правами, не нанося при этом ущерба инновационным моделям электронного бизнеса (например, электронной коммерции и коммерции с использованием мобильных телефонов, которая открывает широкие возможности для трансграничной коммерции, обеспечивая доступ к определенным товарам и услугам сообществ, обслуживаемых ранее в недостаточной степени).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Одна из ключевых задач, стоящих перед регуляторными органами, заключается в формировании культуры безопасности, которая способствует достижению доверия к приложениям и услугам электросвязи/ИКТ и в которой обеспечивается эффективная защита конфиденциальности и потребителей.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Все потребители должны располагать всей информацией, которая необходима им для того, чтобы сделать осознанный выбор, и пользоваться надлежащими механизмами защиты и возмещения ущерба в случае возникновения проблем.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В большинстве развивающихся стран деятельность ассоциаций по защите потребителей в целом, и в секторе электросвязи/ИКТ в частности, особенно в том что касается опыта и профессионального уровня, сопряжена с трудностями, когда возникает необходимость управления защитой потребителей с участием государственных учреждений, регуляторных органов или поставщиков услуг/операторов.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lastRenderedPageBreak/>
        <w:t>Образование для потребителей и повышение их осведомленности, включая лиц с ограниченными возможностями, женщин и детей, должно быть задачей всех сторон, участвующих в защите потребителей (регуляторных органов, органов по защите потребителей и директивных органов).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С появлением услуг, обусловленных конвергенцией (пакетов услуг, услуг, получаемых с помощью мобильных средств, и других), развитие межотраслевой конкуренции придает еще большее значение расширению трансграничного сотрудничества и укреплению регуляторными органами полномочий и средств, предназначенных для защиты потребителей. Кроме того, потребуется изучить вопрос послепродажного обслуживания, которое является одним из критериев потребительского выбора.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 xml:space="preserve">Исследование, проведенное в течение последнего исследовательского цикла, основано на сделанных ранее выводах по основным вопросам защиты потребителей, в частности в конвергирующей среде, и обеспечения выполнения законов, включая соответствующее национальное законодательство, практику и процедуры, а также санкции, и включает такие выводы. 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В рамках данного исследования затрагивались задачи в области обеспечения выполнения законов, политики и нормативных положений в области защиты потребителей, в частности описывалась практика обеспечения выполнения законов в некоторых странах и охватывались также вопросы защиты в конвергирующей среде.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В исследовании был предложен ряд руководящих указаний, которые применимы в различных обстоятельствах и помогут Государствам-Членам и Членам Секторов в их усилиях по обеспечению выполнения национальных законов в области защиты потребителей услуг электросвязи/ИКТ;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 xml:space="preserve">Вместе с тем, эти исследования по защите потребителей в конвергирующей среде следует завершить и посвятить исследования новым проблемам. 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Государства-Члены и Члены Секторов могут воспользоваться отчетом, в котором указываются различные имеющиеся ресурсы, стратегии и инструменты, позволяющие усовершенствовать обеспечение выполнения их национальных и региональных законов, правил и нормативных положений, регулирующих вопросы информации для потребителей, их защиты и прав, с точки зрения законов, нормативных положений, экономических основ и сетей/организаций по защите потребителей.</w:t>
      </w:r>
    </w:p>
    <w:p w:rsidR="000622D6" w:rsidRPr="00226B91" w:rsidRDefault="000622D6" w:rsidP="000622D6">
      <w:pPr>
        <w:pStyle w:val="Heading1"/>
        <w:rPr>
          <w:szCs w:val="18"/>
          <w:lang w:val="ru-RU"/>
        </w:rPr>
      </w:pPr>
      <w:r w:rsidRPr="00226B91">
        <w:rPr>
          <w:szCs w:val="18"/>
          <w:lang w:val="ru-RU"/>
        </w:rPr>
        <w:t>2</w:t>
      </w:r>
      <w:r w:rsidRPr="00226B91">
        <w:rPr>
          <w:szCs w:val="18"/>
          <w:lang w:val="ru-RU"/>
        </w:rPr>
        <w:tab/>
      </w:r>
      <w:r w:rsidRPr="00226B91">
        <w:rPr>
          <w:lang w:val="ru-RU"/>
        </w:rPr>
        <w:t>Вопрос или предмет для исследования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Организационные методы и стратегии, разработанные общественными учреждениями по защите потребителей в отношении законодательства/нормативных положений и регуляторной деятельности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Механизмы/средства, введенные в действие регуляторными органами, операторами/поставщиками услуг и учреждениями по защите потребителей для информирования потребителей, в частности в различных рассматриваемых предметных областях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c)</w:t>
      </w:r>
      <w:r w:rsidRPr="00226B91">
        <w:rPr>
          <w:lang w:val="ru-RU"/>
        </w:rPr>
        <w:tab/>
        <w:t>Роль национальных, региональных и международных организаций по защите прав потребителей услуг электросвязи/ИКТ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Любые экономические и финансовые меры, принятые национальными органами в интересах потребителей услуг электросвязи/ИКТ, в частности особых категорий пользователей (лиц с ограниченными возможностями, женщин и детей)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lastRenderedPageBreak/>
        <w:t>e)</w:t>
      </w:r>
      <w:r w:rsidRPr="00226B91">
        <w:rPr>
          <w:lang w:val="ru-RU"/>
        </w:rPr>
        <w:tab/>
        <w:t>Проблемы, связанные с оказанием новых конвергированных услуг (прозрачность предложений услуг, подвижность рынков, качество и доступность услуг, дополнительные услуги, послепродажное обслуживание, процедуры рассмотрения жалоб потребителей или вызывающих их обеспокоенность вопросов и др.), которые касаются защиты потребителей, а также политику, нормативные положения и правила, устанавливаемые НРО для защиты потребителей от возможных злоупотреблений со стороны операторов/поставщиков этих конвергированных услуг.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>Ожидаемые результаты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Отчет Государствам-Членам и Членам Секторов, организациям по защите потребителей, операторам и поставщикам услуг, определяющий руководящие указания и примеры передового опыта, которые потребуется подготовить для оказания помощи этим участникам в нахождении инструментов, необходимых для повышения уровня культуры защиты потребителей, в том что касается информации, повышения осведомленности, учета основных прав потребителей в законах и национальных, региональных или международных регуляторных документах и защиты потребителей при оказании любых услуг электросвязи/ИКТ.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Организация региональных семинаров по защите потребителей на тему "Информация для потребителей, их защита и права: законы, экономические и финансовые основы, сети потребителей".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4</w:t>
      </w:r>
      <w:r w:rsidRPr="00226B91">
        <w:rPr>
          <w:lang w:val="ru-RU"/>
        </w:rPr>
        <w:tab/>
        <w:t>График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Промежуточный отчет будет представлен 1-й Исследовательской комиссии в 2015 году. Предлагается завершить это исследование в 2017 году, когда будет представлен заключительный отчет.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5</w:t>
      </w:r>
      <w:r w:rsidRPr="00226B91">
        <w:rPr>
          <w:lang w:val="ru-RU"/>
        </w:rPr>
        <w:tab/>
        <w:t>Авторы предложения/спонсоры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1-я Исследовательская комиссия МСЭ-D предложила продолжить изучение этого Вопроса с учетом содержащихся в настоящем документе изменений.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6</w:t>
      </w:r>
      <w:r w:rsidRPr="00226B91">
        <w:rPr>
          <w:lang w:val="ru-RU"/>
        </w:rPr>
        <w:tab/>
        <w:t>Источники используемых в работе материалов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а)</w:t>
      </w:r>
      <w:r w:rsidRPr="00226B91">
        <w:rPr>
          <w:lang w:val="ru-RU"/>
        </w:rPr>
        <w:tab/>
        <w:t>Вклады Государств-Членов, Членов Сектора и заинтересованных региональных и международных организаций, таких как Организация Объединенных Наций и ее специализированные учреждения, ОЭСР и признанные ассоциации потребителей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Обследования/опросы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c)</w:t>
      </w:r>
      <w:r w:rsidRPr="00226B91">
        <w:rPr>
          <w:lang w:val="ru-RU"/>
        </w:rPr>
        <w:tab/>
        <w:t>Информация регуляторного характера, предоставляемая через БРЭ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Веб-сайты национальных регуляторных органов электросвязи/ИКТ в различных странах мира, национальных и региональных правительственных органов, ответственных за защиту потребителей, и признанных ассоциаций потребителей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e)</w:t>
      </w:r>
      <w:r w:rsidRPr="00226B91">
        <w:rPr>
          <w:lang w:val="ru-RU"/>
        </w:rPr>
        <w:tab/>
        <w:t>Связанная с данной темой работа, проводимая в настоящее время в МСЭ-Т и МСЭ-R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 w:rsidRPr="00226B91">
        <w:rPr>
          <w:lang w:val="ru-RU"/>
        </w:rPr>
        <w:t>f)</w:t>
      </w:r>
      <w:r w:rsidRPr="00226B91">
        <w:rPr>
          <w:lang w:val="ru-RU"/>
        </w:rPr>
        <w:tab/>
        <w:t>Прочие соответствующие источники.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lastRenderedPageBreak/>
        <w:t>7</w:t>
      </w:r>
      <w:r w:rsidRPr="00226B91">
        <w:rPr>
          <w:lang w:val="ru-RU"/>
        </w:rPr>
        <w:tab/>
        <w:t>Целевая аудитория</w:t>
      </w:r>
    </w:p>
    <w:p w:rsidR="000622D6" w:rsidRPr="00226B91" w:rsidRDefault="000622D6" w:rsidP="000622D6">
      <w:pPr>
        <w:keepNext/>
        <w:keepLines/>
        <w:rPr>
          <w:lang w:val="ru-RU"/>
        </w:rPr>
      </w:pPr>
      <w:r w:rsidRPr="00226B91">
        <w:rPr>
          <w:lang w:val="ru-RU"/>
        </w:rPr>
        <w:t>Вся целевая аудитория, определенная ниже, при этом особое внимание уделяется потребностям развивающихся стран.</w:t>
      </w:r>
    </w:p>
    <w:p w:rsidR="000622D6" w:rsidRPr="00226B91" w:rsidRDefault="000622D6" w:rsidP="000622D6">
      <w:pPr>
        <w:keepNext/>
        <w:keepLines/>
        <w:spacing w:before="0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984"/>
        <w:gridCol w:w="2462"/>
      </w:tblGrid>
      <w:tr w:rsidR="000622D6" w:rsidRPr="00226B91" w:rsidTr="00C27F96">
        <w:trPr>
          <w:cantSplit/>
          <w:tblHeader/>
          <w:jc w:val="center"/>
        </w:trPr>
        <w:tc>
          <w:tcPr>
            <w:tcW w:w="3597" w:type="dxa"/>
            <w:vAlign w:val="center"/>
          </w:tcPr>
          <w:p w:rsidR="000622D6" w:rsidRPr="00226B91" w:rsidRDefault="000622D6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Целевая аудитория</w:t>
            </w:r>
          </w:p>
        </w:tc>
        <w:tc>
          <w:tcPr>
            <w:tcW w:w="1984" w:type="dxa"/>
            <w:vAlign w:val="bottom"/>
          </w:tcPr>
          <w:p w:rsidR="000622D6" w:rsidRPr="00226B91" w:rsidRDefault="000622D6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Развитые страны</w:t>
            </w:r>
          </w:p>
        </w:tc>
        <w:tc>
          <w:tcPr>
            <w:tcW w:w="2462" w:type="dxa"/>
            <w:vAlign w:val="bottom"/>
          </w:tcPr>
          <w:p w:rsidR="000622D6" w:rsidRPr="00226B91" w:rsidRDefault="000622D6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Развивающиеся страны</w:t>
            </w:r>
            <w:r w:rsidRPr="00226B91">
              <w:rPr>
                <w:rStyle w:val="FootnoteReference"/>
                <w:b w:val="0"/>
                <w:bCs/>
                <w:szCs w:val="14"/>
                <w:lang w:val="ru-RU"/>
              </w:rPr>
              <w:footnoteReference w:customMarkFollows="1" w:id="1"/>
              <w:t>1</w:t>
            </w:r>
          </w:p>
        </w:tc>
      </w:tr>
      <w:tr w:rsidR="000622D6" w:rsidRPr="00226B91" w:rsidTr="00C27F96">
        <w:trPr>
          <w:cantSplit/>
          <w:trHeight w:val="20"/>
          <w:jc w:val="center"/>
        </w:trPr>
        <w:tc>
          <w:tcPr>
            <w:tcW w:w="3597" w:type="dxa"/>
          </w:tcPr>
          <w:p w:rsidR="000622D6" w:rsidRPr="00226B91" w:rsidRDefault="000622D6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Органы, ответственные за выработку политики в области электросвязи</w:t>
            </w:r>
          </w:p>
        </w:tc>
        <w:tc>
          <w:tcPr>
            <w:tcW w:w="1984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  <w:tc>
          <w:tcPr>
            <w:tcW w:w="2462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</w:tr>
      <w:tr w:rsidR="000622D6" w:rsidRPr="00226B91" w:rsidTr="00C27F96">
        <w:trPr>
          <w:cantSplit/>
          <w:trHeight w:val="20"/>
          <w:jc w:val="center"/>
        </w:trPr>
        <w:tc>
          <w:tcPr>
            <w:tcW w:w="3597" w:type="dxa"/>
          </w:tcPr>
          <w:p w:rsidR="000622D6" w:rsidRPr="00226B91" w:rsidRDefault="000622D6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Регуляторные органы электросвязи/ИКТ</w:t>
            </w:r>
          </w:p>
        </w:tc>
        <w:tc>
          <w:tcPr>
            <w:tcW w:w="1984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  <w:tc>
          <w:tcPr>
            <w:tcW w:w="2462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</w:tr>
      <w:tr w:rsidR="000622D6" w:rsidRPr="00226B91" w:rsidTr="00C27F96">
        <w:trPr>
          <w:cantSplit/>
          <w:trHeight w:val="20"/>
          <w:jc w:val="center"/>
        </w:trPr>
        <w:tc>
          <w:tcPr>
            <w:tcW w:w="3597" w:type="dxa"/>
          </w:tcPr>
          <w:p w:rsidR="000622D6" w:rsidRPr="00226B91" w:rsidRDefault="000622D6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Организации по защите прав потребителей услуг электросвязи/ИКТ</w:t>
            </w:r>
          </w:p>
        </w:tc>
        <w:tc>
          <w:tcPr>
            <w:tcW w:w="1984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  <w:tc>
          <w:tcPr>
            <w:tcW w:w="2462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</w:tr>
      <w:tr w:rsidR="000622D6" w:rsidRPr="00226B91" w:rsidTr="00C27F96">
        <w:trPr>
          <w:cantSplit/>
          <w:trHeight w:val="20"/>
          <w:jc w:val="center"/>
        </w:trPr>
        <w:tc>
          <w:tcPr>
            <w:tcW w:w="3597" w:type="dxa"/>
          </w:tcPr>
          <w:p w:rsidR="000622D6" w:rsidRPr="00226B91" w:rsidRDefault="000622D6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Поставщики услуг/операторы</w:t>
            </w:r>
          </w:p>
        </w:tc>
        <w:tc>
          <w:tcPr>
            <w:tcW w:w="1984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  <w:tc>
          <w:tcPr>
            <w:tcW w:w="2462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</w:tr>
      <w:tr w:rsidR="000622D6" w:rsidRPr="00226B91" w:rsidTr="00C27F96">
        <w:trPr>
          <w:cantSplit/>
          <w:trHeight w:val="20"/>
          <w:jc w:val="center"/>
        </w:trPr>
        <w:tc>
          <w:tcPr>
            <w:tcW w:w="3597" w:type="dxa"/>
          </w:tcPr>
          <w:p w:rsidR="000622D6" w:rsidRPr="00226B91" w:rsidRDefault="000622D6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Производители</w:t>
            </w:r>
          </w:p>
        </w:tc>
        <w:tc>
          <w:tcPr>
            <w:tcW w:w="1984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  <w:tc>
          <w:tcPr>
            <w:tcW w:w="2462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</w:tr>
      <w:tr w:rsidR="000622D6" w:rsidRPr="00226B91" w:rsidTr="00C27F96">
        <w:trPr>
          <w:cantSplit/>
          <w:trHeight w:val="20"/>
          <w:jc w:val="center"/>
        </w:trPr>
        <w:tc>
          <w:tcPr>
            <w:tcW w:w="3597" w:type="dxa"/>
          </w:tcPr>
          <w:p w:rsidR="000622D6" w:rsidRPr="00226B91" w:rsidRDefault="000622D6" w:rsidP="00C27F96">
            <w:pPr>
              <w:pStyle w:val="Tabletext"/>
              <w:rPr>
                <w:lang w:val="ru-RU"/>
              </w:rPr>
            </w:pPr>
            <w:r w:rsidRPr="00226B91">
              <w:rPr>
                <w:lang w:val="ru-RU"/>
              </w:rPr>
              <w:t>Программа МСЭ-D</w:t>
            </w:r>
          </w:p>
        </w:tc>
        <w:tc>
          <w:tcPr>
            <w:tcW w:w="1984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  <w:tc>
          <w:tcPr>
            <w:tcW w:w="2462" w:type="dxa"/>
          </w:tcPr>
          <w:p w:rsidR="000622D6" w:rsidRPr="00160D6E" w:rsidRDefault="000622D6" w:rsidP="00C27F96">
            <w:pPr>
              <w:pStyle w:val="Tabletext"/>
              <w:jc w:val="center"/>
            </w:pPr>
            <w:proofErr w:type="spellStart"/>
            <w:r w:rsidRPr="00160D6E">
              <w:t>Да</w:t>
            </w:r>
            <w:proofErr w:type="spellEnd"/>
          </w:p>
        </w:tc>
      </w:tr>
    </w:tbl>
    <w:p w:rsidR="000622D6" w:rsidRPr="00226B91" w:rsidRDefault="000622D6" w:rsidP="000622D6">
      <w:pPr>
        <w:pStyle w:val="Headingb"/>
        <w:rPr>
          <w:lang w:val="ru-RU"/>
        </w:rPr>
      </w:pPr>
      <w:r w:rsidRPr="00226B91">
        <w:rPr>
          <w:lang w:val="ru-RU"/>
        </w:rPr>
        <w:t>а)</w:t>
      </w:r>
      <w:r w:rsidRPr="00226B91">
        <w:rPr>
          <w:lang w:val="ru-RU"/>
        </w:rPr>
        <w:tab/>
        <w:t>Целевая аудитория – кто конкретно будет использовать результаты работы</w:t>
      </w:r>
    </w:p>
    <w:p w:rsidR="000622D6" w:rsidRPr="00226B91" w:rsidRDefault="000622D6" w:rsidP="000622D6">
      <w:pPr>
        <w:rPr>
          <w:lang w:val="ru-RU" w:eastAsia="en-US"/>
        </w:rPr>
      </w:pPr>
      <w:r w:rsidRPr="00226B91">
        <w:rPr>
          <w:lang w:val="ru-RU" w:eastAsia="en-US"/>
        </w:rPr>
        <w:t xml:space="preserve">Национальные директивные </w:t>
      </w:r>
      <w:r w:rsidRPr="00226B91">
        <w:rPr>
          <w:lang w:val="ru-RU"/>
        </w:rPr>
        <w:t>органы в области электросвязи, регуляторные органы, поставщики услуг и операторы, а также признанные национальные, региональные и международные органы по защите потребителей услуг электросвязи/ИКТ.</w:t>
      </w:r>
    </w:p>
    <w:p w:rsidR="000622D6" w:rsidRPr="00226B91" w:rsidRDefault="000622D6" w:rsidP="000622D6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Предлагаемые методы распространения результатов</w:t>
      </w:r>
    </w:p>
    <w:p w:rsidR="000622D6" w:rsidRPr="00226B91" w:rsidRDefault="000622D6" w:rsidP="000622D6">
      <w:pPr>
        <w:pStyle w:val="enumlev1"/>
        <w:rPr>
          <w:lang w:val="ru-RU"/>
        </w:rPr>
      </w:pPr>
      <w:r>
        <w:rPr>
          <w:lang w:val="ru-RU"/>
        </w:rPr>
        <w:t>−</w:t>
      </w:r>
      <w:r w:rsidRPr="00226B91">
        <w:rPr>
          <w:lang w:val="ru-RU"/>
        </w:rPr>
        <w:tab/>
        <w:t>Распространение в электронной форме отчета и руководящих указаний среди всех Государств-Членов, Членов Сектора и их соответствующих НРО, а также региональных отделений МСЭ</w:t>
      </w:r>
      <w:r>
        <w:rPr>
          <w:lang w:val="ru-RU"/>
        </w:rPr>
        <w:t>.</w:t>
      </w:r>
    </w:p>
    <w:p w:rsidR="000622D6" w:rsidRPr="00226B91" w:rsidRDefault="000622D6" w:rsidP="000622D6">
      <w:pPr>
        <w:pStyle w:val="enumlev1"/>
        <w:rPr>
          <w:lang w:val="ru-RU"/>
        </w:rPr>
      </w:pPr>
      <w:r>
        <w:rPr>
          <w:lang w:val="ru-RU"/>
        </w:rPr>
        <w:t>−</w:t>
      </w:r>
      <w:r w:rsidRPr="00226B91">
        <w:rPr>
          <w:lang w:val="ru-RU"/>
        </w:rPr>
        <w:tab/>
        <w:t>Распространение отчета и руководящих указаний на Глобальном симпозиуме для регуляторных органов и соответствующих семинарах БРЭ, БР и БСЭ.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8</w:t>
      </w:r>
      <w:r w:rsidRPr="00226B91">
        <w:rPr>
          <w:lang w:val="ru-RU"/>
        </w:rPr>
        <w:tab/>
        <w:t>Предлагаемые методы рассмотрения данного Вопроса или предмета</w:t>
      </w:r>
    </w:p>
    <w:p w:rsidR="000622D6" w:rsidRPr="00226B91" w:rsidRDefault="000622D6" w:rsidP="000622D6">
      <w:pPr>
        <w:pStyle w:val="Headingb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Каким образом?</w:t>
      </w:r>
    </w:p>
    <w:p w:rsidR="000622D6" w:rsidRPr="00226B91" w:rsidRDefault="000622D6" w:rsidP="000622D6">
      <w:pPr>
        <w:pStyle w:val="enumlev1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1)</w:t>
      </w:r>
      <w:r w:rsidRPr="00226B91">
        <w:rPr>
          <w:lang w:val="ru-RU"/>
        </w:rPr>
        <w:tab/>
        <w:t>В исследовательской комиссии: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52"/>
      </w:r>
    </w:p>
    <w:p w:rsidR="000622D6" w:rsidRPr="00226B91" w:rsidRDefault="000622D6" w:rsidP="000622D6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Вопрос (в течение исследовательского периода продолжительностью</w:t>
      </w:r>
      <w:r w:rsidRPr="00226B91">
        <w:rPr>
          <w:lang w:val="ru-RU"/>
        </w:rPr>
        <w:br/>
        <w:t xml:space="preserve">в несколько лет) 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A3"/>
      </w:r>
    </w:p>
    <w:p w:rsidR="000622D6" w:rsidRPr="00226B91" w:rsidRDefault="000622D6" w:rsidP="000622D6">
      <w:pPr>
        <w:pStyle w:val="enumlev1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2)</w:t>
      </w:r>
      <w:r w:rsidRPr="00226B91">
        <w:rPr>
          <w:lang w:val="ru-RU"/>
        </w:rPr>
        <w:tab/>
        <w:t>В рамках регулярной деятельности БРЭ:</w:t>
      </w:r>
    </w:p>
    <w:p w:rsidR="000622D6" w:rsidRPr="00226B91" w:rsidRDefault="000622D6" w:rsidP="000622D6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Задача 2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52"/>
      </w:r>
    </w:p>
    <w:p w:rsidR="000622D6" w:rsidRPr="00226B91" w:rsidRDefault="000622D6" w:rsidP="000622D6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Проекты: региональные инициативы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A3"/>
      </w:r>
    </w:p>
    <w:p w:rsidR="000622D6" w:rsidRPr="00226B91" w:rsidRDefault="000622D6" w:rsidP="000622D6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Консультанты-эксперты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A3"/>
      </w:r>
    </w:p>
    <w:p w:rsidR="000622D6" w:rsidRPr="00226B91" w:rsidRDefault="000622D6" w:rsidP="000622D6">
      <w:pPr>
        <w:pStyle w:val="enumlev1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3)</w:t>
      </w:r>
      <w:r w:rsidRPr="00226B91">
        <w:rPr>
          <w:lang w:val="ru-RU"/>
        </w:rPr>
        <w:tab/>
      </w:r>
      <w:r w:rsidRPr="00226B91">
        <w:rPr>
          <w:szCs w:val="18"/>
          <w:lang w:val="ru-RU"/>
        </w:rPr>
        <w:t>Иными</w:t>
      </w:r>
      <w:r w:rsidRPr="00226B91">
        <w:rPr>
          <w:lang w:val="ru-RU"/>
        </w:rPr>
        <w:t xml:space="preserve"> способами – укажите (например, региональный подход, в рамках</w:t>
      </w:r>
      <w:r w:rsidRPr="00226B91">
        <w:rPr>
          <w:lang w:val="ru-RU"/>
        </w:rPr>
        <w:br/>
        <w:t xml:space="preserve">других организаций, совместно с другими организациями и т. д.) 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A3"/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lastRenderedPageBreak/>
        <w:t>Совместно с признанными национальными, региональными и международными органами по защите потребителей услуг электросвязи/ИКТ.</w:t>
      </w:r>
    </w:p>
    <w:p w:rsidR="000622D6" w:rsidRPr="00226B91" w:rsidRDefault="000622D6" w:rsidP="000622D6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Почему в исследовательской комиссии?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 xml:space="preserve">Исследовательская комиссия является самым эффективным средством для обеспечения наиболее широкого участия развивающихся стран как в работе по Вопросу, так и в составлении итогового документа </w:t>
      </w:r>
      <w:r w:rsidRPr="00226B91">
        <w:rPr>
          <w:lang w:val="ru-RU"/>
        </w:rPr>
        <w:sym w:font="Symbol" w:char="F02D"/>
      </w:r>
      <w:r w:rsidRPr="00226B91">
        <w:rPr>
          <w:lang w:val="ru-RU"/>
        </w:rPr>
        <w:t xml:space="preserve"> руководящих указаний на основе передового опыта. 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9</w:t>
      </w:r>
      <w:r w:rsidRPr="00226B91">
        <w:rPr>
          <w:lang w:val="ru-RU"/>
        </w:rPr>
        <w:tab/>
        <w:t>Координация и сотрудничество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Работу по этому Вопросу следует координировать с Задачей 2 МСЭ-D и Вопросами, касающимися лиц с ограниченными возможностями, лиц с особыми потребностями и услуг электросвязи/ИКТ, предлагаемыми для изучения в исследовательских комиссиях в течение исследовательского периода 2014–2018 годов.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10</w:t>
      </w:r>
      <w:r w:rsidRPr="00226B91">
        <w:rPr>
          <w:lang w:val="ru-RU"/>
        </w:rPr>
        <w:tab/>
        <w:t>Связь с Программой БРЭ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Задача 2 МСЭ-D.</w:t>
      </w:r>
    </w:p>
    <w:p w:rsidR="000622D6" w:rsidRPr="00226B91" w:rsidRDefault="000622D6" w:rsidP="000622D6">
      <w:pPr>
        <w:pStyle w:val="Heading1"/>
        <w:rPr>
          <w:lang w:val="ru-RU"/>
        </w:rPr>
      </w:pPr>
      <w:r w:rsidRPr="00226B91">
        <w:rPr>
          <w:lang w:val="ru-RU"/>
        </w:rPr>
        <w:t>11</w:t>
      </w:r>
      <w:r w:rsidRPr="00226B91">
        <w:rPr>
          <w:lang w:val="ru-RU"/>
        </w:rPr>
        <w:tab/>
        <w:t>Прочая относящаяся к теме информация</w:t>
      </w: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t>По мере возможного появления в период срока действия данного Вопроса.</w:t>
      </w:r>
    </w:p>
    <w:p w:rsidR="000622D6" w:rsidRPr="00226B91" w:rsidRDefault="000622D6" w:rsidP="000622D6">
      <w:pPr>
        <w:rPr>
          <w:lang w:val="ru-RU"/>
        </w:rPr>
      </w:pPr>
    </w:p>
    <w:p w:rsidR="000622D6" w:rsidRPr="00226B91" w:rsidRDefault="000622D6" w:rsidP="000622D6">
      <w:pPr>
        <w:rPr>
          <w:lang w:val="ru-RU"/>
        </w:rPr>
      </w:pPr>
      <w:r w:rsidRPr="00226B91">
        <w:rPr>
          <w:lang w:val="ru-RU"/>
        </w:rPr>
        <w:br w:type="page"/>
      </w:r>
    </w:p>
    <w:p w:rsidR="00C47824" w:rsidRPr="000622D6" w:rsidRDefault="00C47824">
      <w:pPr>
        <w:rPr>
          <w:lang w:val="ru-RU"/>
        </w:rPr>
      </w:pPr>
      <w:bookmarkStart w:id="1" w:name="_GoBack"/>
      <w:bookmarkEnd w:id="1"/>
    </w:p>
    <w:sectPr w:rsidR="00C47824" w:rsidRPr="00062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1C" w:rsidRDefault="00AA0F1C" w:rsidP="000622D6">
      <w:pPr>
        <w:spacing w:before="0"/>
      </w:pPr>
      <w:r>
        <w:separator/>
      </w:r>
    </w:p>
  </w:endnote>
  <w:endnote w:type="continuationSeparator" w:id="0">
    <w:p w:rsidR="00AA0F1C" w:rsidRDefault="00AA0F1C" w:rsidP="000622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1C" w:rsidRDefault="00AA0F1C" w:rsidP="000622D6">
      <w:pPr>
        <w:spacing w:before="0"/>
      </w:pPr>
      <w:r>
        <w:separator/>
      </w:r>
    </w:p>
  </w:footnote>
  <w:footnote w:type="continuationSeparator" w:id="0">
    <w:p w:rsidR="00AA0F1C" w:rsidRDefault="00AA0F1C" w:rsidP="000622D6">
      <w:pPr>
        <w:spacing w:before="0"/>
      </w:pPr>
      <w:r>
        <w:continuationSeparator/>
      </w:r>
    </w:p>
  </w:footnote>
  <w:footnote w:id="1">
    <w:p w:rsidR="000622D6" w:rsidRPr="00B91FDD" w:rsidRDefault="000622D6" w:rsidP="000622D6">
      <w:pPr>
        <w:pStyle w:val="FootnoteText"/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6"/>
    <w:rsid w:val="00011D19"/>
    <w:rsid w:val="000145E8"/>
    <w:rsid w:val="00050DB8"/>
    <w:rsid w:val="00056109"/>
    <w:rsid w:val="000622D6"/>
    <w:rsid w:val="000820F9"/>
    <w:rsid w:val="000A0C8B"/>
    <w:rsid w:val="000A548E"/>
    <w:rsid w:val="000F58E3"/>
    <w:rsid w:val="00111135"/>
    <w:rsid w:val="00135C60"/>
    <w:rsid w:val="001367CA"/>
    <w:rsid w:val="001976E8"/>
    <w:rsid w:val="001A636E"/>
    <w:rsid w:val="001B6C10"/>
    <w:rsid w:val="00200B77"/>
    <w:rsid w:val="00202B07"/>
    <w:rsid w:val="002752FB"/>
    <w:rsid w:val="002921BD"/>
    <w:rsid w:val="00295C83"/>
    <w:rsid w:val="002A3982"/>
    <w:rsid w:val="002A577C"/>
    <w:rsid w:val="002B105F"/>
    <w:rsid w:val="002B5516"/>
    <w:rsid w:val="002C1773"/>
    <w:rsid w:val="002D49C8"/>
    <w:rsid w:val="002E7AE4"/>
    <w:rsid w:val="003123F3"/>
    <w:rsid w:val="0033199B"/>
    <w:rsid w:val="003406CB"/>
    <w:rsid w:val="00357A3C"/>
    <w:rsid w:val="00367B76"/>
    <w:rsid w:val="00395D92"/>
    <w:rsid w:val="003B6C25"/>
    <w:rsid w:val="003C3CDC"/>
    <w:rsid w:val="003E4284"/>
    <w:rsid w:val="003F526C"/>
    <w:rsid w:val="00481256"/>
    <w:rsid w:val="004967DD"/>
    <w:rsid w:val="004B3517"/>
    <w:rsid w:val="004C2236"/>
    <w:rsid w:val="004C3165"/>
    <w:rsid w:val="004D29FC"/>
    <w:rsid w:val="004F7EC2"/>
    <w:rsid w:val="00502B05"/>
    <w:rsid w:val="00502B18"/>
    <w:rsid w:val="005108DD"/>
    <w:rsid w:val="00516704"/>
    <w:rsid w:val="005532A3"/>
    <w:rsid w:val="005618E1"/>
    <w:rsid w:val="00583400"/>
    <w:rsid w:val="005855C0"/>
    <w:rsid w:val="005D2515"/>
    <w:rsid w:val="005E09F6"/>
    <w:rsid w:val="00643EE8"/>
    <w:rsid w:val="006441EA"/>
    <w:rsid w:val="00656FD6"/>
    <w:rsid w:val="00660BF0"/>
    <w:rsid w:val="006629C6"/>
    <w:rsid w:val="0067629B"/>
    <w:rsid w:val="006B71B4"/>
    <w:rsid w:val="006F7E23"/>
    <w:rsid w:val="00721E17"/>
    <w:rsid w:val="00731F23"/>
    <w:rsid w:val="0073643D"/>
    <w:rsid w:val="00750E72"/>
    <w:rsid w:val="00757243"/>
    <w:rsid w:val="007618CD"/>
    <w:rsid w:val="007971F8"/>
    <w:rsid w:val="007B20C7"/>
    <w:rsid w:val="007B6ECC"/>
    <w:rsid w:val="007F341D"/>
    <w:rsid w:val="00803FCE"/>
    <w:rsid w:val="0083715B"/>
    <w:rsid w:val="00841DA8"/>
    <w:rsid w:val="008441B6"/>
    <w:rsid w:val="00862127"/>
    <w:rsid w:val="008650A2"/>
    <w:rsid w:val="00897375"/>
    <w:rsid w:val="008A540C"/>
    <w:rsid w:val="008B64E5"/>
    <w:rsid w:val="008D20E2"/>
    <w:rsid w:val="008D5334"/>
    <w:rsid w:val="008E7F19"/>
    <w:rsid w:val="008F6F54"/>
    <w:rsid w:val="0092370B"/>
    <w:rsid w:val="009317DA"/>
    <w:rsid w:val="009418B0"/>
    <w:rsid w:val="00951072"/>
    <w:rsid w:val="00953E98"/>
    <w:rsid w:val="00971C83"/>
    <w:rsid w:val="009B1748"/>
    <w:rsid w:val="009B4B74"/>
    <w:rsid w:val="009E0276"/>
    <w:rsid w:val="009F2F81"/>
    <w:rsid w:val="009F69F6"/>
    <w:rsid w:val="00A246FA"/>
    <w:rsid w:val="00A3770C"/>
    <w:rsid w:val="00A5408C"/>
    <w:rsid w:val="00A614F6"/>
    <w:rsid w:val="00AA0F1C"/>
    <w:rsid w:val="00AD24A6"/>
    <w:rsid w:val="00B04FF7"/>
    <w:rsid w:val="00B16E6F"/>
    <w:rsid w:val="00B3406E"/>
    <w:rsid w:val="00B61044"/>
    <w:rsid w:val="00B66088"/>
    <w:rsid w:val="00B709EF"/>
    <w:rsid w:val="00BE58AB"/>
    <w:rsid w:val="00C3667C"/>
    <w:rsid w:val="00C47824"/>
    <w:rsid w:val="00C52650"/>
    <w:rsid w:val="00C66ECB"/>
    <w:rsid w:val="00C67D80"/>
    <w:rsid w:val="00C81F8B"/>
    <w:rsid w:val="00C9415B"/>
    <w:rsid w:val="00CC5571"/>
    <w:rsid w:val="00CF178A"/>
    <w:rsid w:val="00CF2888"/>
    <w:rsid w:val="00D13C04"/>
    <w:rsid w:val="00D34377"/>
    <w:rsid w:val="00D405B0"/>
    <w:rsid w:val="00D44D2D"/>
    <w:rsid w:val="00D51495"/>
    <w:rsid w:val="00D927D7"/>
    <w:rsid w:val="00DA5542"/>
    <w:rsid w:val="00DE129C"/>
    <w:rsid w:val="00DF30D3"/>
    <w:rsid w:val="00E07072"/>
    <w:rsid w:val="00E107C5"/>
    <w:rsid w:val="00E22DD0"/>
    <w:rsid w:val="00E427B2"/>
    <w:rsid w:val="00E71153"/>
    <w:rsid w:val="00EA0973"/>
    <w:rsid w:val="00EB7F47"/>
    <w:rsid w:val="00EC01AC"/>
    <w:rsid w:val="00ED27C7"/>
    <w:rsid w:val="00F01683"/>
    <w:rsid w:val="00F117A6"/>
    <w:rsid w:val="00F1235D"/>
    <w:rsid w:val="00F124D2"/>
    <w:rsid w:val="00F53834"/>
    <w:rsid w:val="00F63223"/>
    <w:rsid w:val="00F81560"/>
    <w:rsid w:val="00F818A6"/>
    <w:rsid w:val="00F84982"/>
    <w:rsid w:val="00F94149"/>
    <w:rsid w:val="00F95879"/>
    <w:rsid w:val="00FC0CC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D6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622D6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2D6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0622D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622D6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622D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062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0622D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0622D6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622D6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0622D6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0622D6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0622D6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0622D6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0622D6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0622D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0622D6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D6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622D6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2D6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0622D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622D6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622D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062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0622D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0622D6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622D6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0622D6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0622D6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0622D6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0622D6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0622D6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0622D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0622D6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5117</Words>
  <Characters>5629</Characters>
  <Application>Microsoft Office Word</Application>
  <DocSecurity>0</DocSecurity>
  <Lines>268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Fahima</dc:creator>
  <cp:lastModifiedBy>Mohamed, Fahima </cp:lastModifiedBy>
  <cp:revision>1</cp:revision>
  <dcterms:created xsi:type="dcterms:W3CDTF">2014-08-19T09:10:00Z</dcterms:created>
  <dcterms:modified xsi:type="dcterms:W3CDTF">2014-08-19T09:10:00Z</dcterms:modified>
</cp:coreProperties>
</file>