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01E1" w:rsidRDefault="009A01E1" w:rsidP="009A01E1">
      <w:pPr>
        <w:rPr>
          <w:noProof/>
        </w:rPr>
      </w:pPr>
      <w:bookmarkStart w:id="0" w:name="_GoBack"/>
      <w:bookmarkEnd w:id="0"/>
      <w:r w:rsidRPr="00FF1B5A">
        <w:rPr>
          <w:noProof/>
        </w:rPr>
        <w:drawing>
          <wp:anchor distT="0" distB="0" distL="114300" distR="114300" simplePos="0" relativeHeight="251659264" behindDoc="0" locked="0" layoutInCell="1" allowOverlap="1" wp14:anchorId="5107F591" wp14:editId="39649DE8">
            <wp:simplePos x="0" y="0"/>
            <wp:positionH relativeFrom="column">
              <wp:posOffset>1626870</wp:posOffset>
            </wp:positionH>
            <wp:positionV relativeFrom="paragraph">
              <wp:posOffset>-382905</wp:posOffset>
            </wp:positionV>
            <wp:extent cx="3343275" cy="817880"/>
            <wp:effectExtent l="0" t="0" r="9525" b="1270"/>
            <wp:wrapNone/>
            <wp:docPr id="3" name="Picture 3" descr="C:\Users\kioy\AppData\Local\Microsoft\Windows\Temporary Internet Files\Content.Outlook\5MTYUVZY\10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343275" cy="817880"/>
                    </a:xfrm>
                    <a:prstGeom prst="rect">
                      <a:avLst/>
                    </a:prstGeom>
                    <a:noFill/>
                    <a:ln>
                      <a:noFill/>
                    </a:ln>
                  </pic:spPr>
                </pic:pic>
              </a:graphicData>
            </a:graphic>
          </wp:anchor>
        </w:drawing>
      </w:r>
    </w:p>
    <w:p w:rsidR="009A01E1" w:rsidRPr="009A01E1" w:rsidRDefault="009A01E1">
      <w:pPr>
        <w:rPr>
          <w:rFonts w:asciiTheme="majorHAnsi" w:hAnsiTheme="majorHAnsi"/>
          <w:noProof/>
          <w:sz w:val="24"/>
          <w:szCs w:val="24"/>
        </w:rPr>
      </w:pPr>
    </w:p>
    <w:p w:rsidR="009A01E1" w:rsidRPr="00EC3D18" w:rsidRDefault="009A01E1" w:rsidP="00EC3D18">
      <w:pPr>
        <w:pBdr>
          <w:top w:val="single" w:sz="4" w:space="1" w:color="auto"/>
          <w:left w:val="single" w:sz="4" w:space="4" w:color="auto"/>
          <w:bottom w:val="single" w:sz="4" w:space="1" w:color="auto"/>
          <w:right w:val="single" w:sz="4" w:space="4" w:color="auto"/>
        </w:pBdr>
        <w:shd w:val="clear" w:color="auto" w:fill="9900FF"/>
        <w:jc w:val="center"/>
        <w:rPr>
          <w:rFonts w:asciiTheme="majorHAnsi" w:hAnsiTheme="majorHAnsi"/>
          <w:b/>
          <w:bCs/>
          <w:noProof/>
          <w:color w:val="FFFFFF" w:themeColor="background1"/>
          <w:sz w:val="24"/>
          <w:szCs w:val="24"/>
        </w:rPr>
      </w:pPr>
      <w:r w:rsidRPr="00EC3D18">
        <w:rPr>
          <w:rFonts w:asciiTheme="majorHAnsi" w:hAnsiTheme="majorHAnsi"/>
          <w:b/>
          <w:bCs/>
          <w:noProof/>
          <w:color w:val="FFFFFF" w:themeColor="background1"/>
          <w:sz w:val="24"/>
          <w:szCs w:val="24"/>
        </w:rPr>
        <w:t>Document Number :</w:t>
      </w:r>
      <w:r w:rsidR="007B6010" w:rsidRPr="00EC3D18">
        <w:rPr>
          <w:rFonts w:asciiTheme="majorHAnsi" w:hAnsiTheme="majorHAnsi"/>
          <w:b/>
          <w:bCs/>
          <w:noProof/>
          <w:color w:val="FFFFFF" w:themeColor="background1"/>
          <w:sz w:val="24"/>
          <w:szCs w:val="24"/>
        </w:rPr>
        <w:t xml:space="preserve"> WSIS+10/3/1</w:t>
      </w:r>
    </w:p>
    <w:p w:rsidR="009A01E1" w:rsidRPr="00EC3D18" w:rsidRDefault="009A01E1" w:rsidP="00EC3D18">
      <w:pPr>
        <w:pBdr>
          <w:top w:val="single" w:sz="4" w:space="1" w:color="auto"/>
          <w:left w:val="single" w:sz="4" w:space="4" w:color="auto"/>
          <w:bottom w:val="single" w:sz="4" w:space="1" w:color="auto"/>
          <w:right w:val="single" w:sz="4" w:space="4" w:color="auto"/>
        </w:pBdr>
        <w:shd w:val="clear" w:color="auto" w:fill="9900FF"/>
        <w:jc w:val="center"/>
        <w:rPr>
          <w:rFonts w:asciiTheme="majorHAnsi" w:hAnsiTheme="majorHAnsi"/>
          <w:b/>
          <w:bCs/>
          <w:noProof/>
          <w:color w:val="FFFFFF" w:themeColor="background1"/>
          <w:sz w:val="24"/>
          <w:szCs w:val="24"/>
        </w:rPr>
      </w:pPr>
      <w:r w:rsidRPr="00EC3D18">
        <w:rPr>
          <w:rFonts w:asciiTheme="majorHAnsi" w:hAnsiTheme="majorHAnsi"/>
          <w:b/>
          <w:bCs/>
          <w:noProof/>
          <w:color w:val="FFFFFF" w:themeColor="background1"/>
          <w:sz w:val="24"/>
          <w:szCs w:val="24"/>
        </w:rPr>
        <w:t>Submission by:</w:t>
      </w:r>
      <w:r w:rsidRPr="00EC3D18">
        <w:rPr>
          <w:rFonts w:asciiTheme="majorHAnsi" w:hAnsiTheme="majorHAnsi"/>
          <w:b/>
          <w:bCs/>
          <w:color w:val="FFFFFF" w:themeColor="background1"/>
          <w:sz w:val="24"/>
          <w:szCs w:val="24"/>
        </w:rPr>
        <w:t xml:space="preserve"> Association for Proper Internet Governance</w:t>
      </w:r>
      <w:r w:rsidR="00307787">
        <w:rPr>
          <w:rFonts w:asciiTheme="majorHAnsi" w:hAnsiTheme="majorHAnsi"/>
          <w:b/>
          <w:bCs/>
          <w:color w:val="FFFFFF" w:themeColor="background1"/>
          <w:sz w:val="24"/>
          <w:szCs w:val="24"/>
        </w:rPr>
        <w:t>, Civil Society</w:t>
      </w:r>
    </w:p>
    <w:p w:rsidR="009A01E1" w:rsidRPr="00EC3D18" w:rsidRDefault="009A01E1" w:rsidP="00EC3D18">
      <w:pPr>
        <w:pBdr>
          <w:top w:val="single" w:sz="4" w:space="1" w:color="auto"/>
          <w:left w:val="single" w:sz="4" w:space="4" w:color="auto"/>
          <w:bottom w:val="single" w:sz="4" w:space="1" w:color="auto"/>
          <w:right w:val="single" w:sz="4" w:space="4" w:color="auto"/>
        </w:pBdr>
        <w:shd w:val="clear" w:color="auto" w:fill="9900FF"/>
        <w:rPr>
          <w:rFonts w:asciiTheme="majorHAnsi" w:hAnsiTheme="majorHAnsi"/>
          <w:b/>
          <w:bCs/>
          <w:i/>
          <w:iCs/>
          <w:noProof/>
          <w:color w:val="FFFFFF" w:themeColor="background1"/>
          <w:sz w:val="24"/>
          <w:szCs w:val="24"/>
        </w:rPr>
      </w:pPr>
      <w:r w:rsidRPr="00EC3D18">
        <w:rPr>
          <w:rFonts w:asciiTheme="majorHAnsi" w:hAnsiTheme="majorHAnsi"/>
          <w:b/>
          <w:bCs/>
          <w:i/>
          <w:iCs/>
          <w:noProof/>
          <w:color w:val="FFFFFF" w:themeColor="background1"/>
          <w:sz w:val="24"/>
          <w:szCs w:val="24"/>
        </w:rPr>
        <w:t>Please note that this is a submission for the Third Physical meeting of the WSIS +10 MPP to be held on the 17</w:t>
      </w:r>
      <w:r w:rsidRPr="00EC3D18">
        <w:rPr>
          <w:rFonts w:asciiTheme="majorHAnsi" w:hAnsiTheme="majorHAnsi"/>
          <w:b/>
          <w:bCs/>
          <w:i/>
          <w:iCs/>
          <w:noProof/>
          <w:color w:val="FFFFFF" w:themeColor="background1"/>
          <w:sz w:val="24"/>
          <w:szCs w:val="24"/>
          <w:vertAlign w:val="superscript"/>
        </w:rPr>
        <w:t>th</w:t>
      </w:r>
      <w:r w:rsidRPr="00EC3D18">
        <w:rPr>
          <w:rFonts w:asciiTheme="majorHAnsi" w:hAnsiTheme="majorHAnsi"/>
          <w:b/>
          <w:bCs/>
          <w:i/>
          <w:iCs/>
          <w:noProof/>
          <w:color w:val="FFFFFF" w:themeColor="background1"/>
          <w:sz w:val="24"/>
          <w:szCs w:val="24"/>
        </w:rPr>
        <w:t xml:space="preserve"> and 18</w:t>
      </w:r>
      <w:r w:rsidRPr="00EC3D18">
        <w:rPr>
          <w:rFonts w:asciiTheme="majorHAnsi" w:hAnsiTheme="majorHAnsi"/>
          <w:b/>
          <w:bCs/>
          <w:i/>
          <w:iCs/>
          <w:noProof/>
          <w:color w:val="FFFFFF" w:themeColor="background1"/>
          <w:sz w:val="24"/>
          <w:szCs w:val="24"/>
          <w:vertAlign w:val="superscript"/>
        </w:rPr>
        <w:t>th</w:t>
      </w:r>
      <w:r w:rsidRPr="00EC3D18">
        <w:rPr>
          <w:rFonts w:asciiTheme="majorHAnsi" w:hAnsiTheme="majorHAnsi"/>
          <w:b/>
          <w:bCs/>
          <w:i/>
          <w:iCs/>
          <w:noProof/>
          <w:color w:val="FFFFFF" w:themeColor="background1"/>
          <w:sz w:val="24"/>
          <w:szCs w:val="24"/>
        </w:rPr>
        <w:t xml:space="preserve"> of February.</w:t>
      </w:r>
    </w:p>
    <w:p w:rsidR="009A01E1" w:rsidRPr="009A01E1" w:rsidRDefault="009A01E1">
      <w:pPr>
        <w:rPr>
          <w:rFonts w:asciiTheme="majorHAnsi" w:hAnsiTheme="majorHAnsi"/>
          <w:noProof/>
          <w:sz w:val="24"/>
          <w:szCs w:val="24"/>
        </w:rPr>
      </w:pPr>
    </w:p>
    <w:p w:rsidR="009A01E1" w:rsidRPr="009A01E1" w:rsidRDefault="009A01E1" w:rsidP="009A01E1">
      <w:pPr>
        <w:pStyle w:val="Default"/>
        <w:spacing w:before="120"/>
        <w:jc w:val="center"/>
        <w:rPr>
          <w:rFonts w:asciiTheme="majorHAnsi" w:hAnsiTheme="majorHAnsi"/>
        </w:rPr>
      </w:pPr>
      <w:r w:rsidRPr="009A01E1">
        <w:rPr>
          <w:rFonts w:asciiTheme="majorHAnsi" w:hAnsiTheme="majorHAnsi"/>
          <w:b/>
          <w:bCs/>
        </w:rPr>
        <w:t>Proposed changes to the WSIS+10 outcome documents</w:t>
      </w:r>
      <w:r w:rsidRPr="009A01E1">
        <w:rPr>
          <w:rFonts w:asciiTheme="majorHAnsi" w:hAnsiTheme="majorHAnsi"/>
          <w:b/>
          <w:bCs/>
        </w:rPr>
        <w:br/>
        <w:t>Association for Proper Internet Governance</w:t>
      </w:r>
      <w:r w:rsidRPr="009A01E1">
        <w:rPr>
          <w:rFonts w:asciiTheme="majorHAnsi" w:hAnsiTheme="majorHAnsi"/>
          <w:b/>
          <w:bCs/>
        </w:rPr>
        <w:br/>
      </w:r>
      <w:r w:rsidRPr="009A01E1">
        <w:rPr>
          <w:rFonts w:asciiTheme="majorHAnsi" w:hAnsiTheme="majorHAnsi"/>
        </w:rPr>
        <w:t>9 January 2014</w:t>
      </w:r>
    </w:p>
    <w:p w:rsidR="009A01E1" w:rsidRPr="009A01E1" w:rsidRDefault="009A01E1" w:rsidP="009A01E1">
      <w:pPr>
        <w:pStyle w:val="Default"/>
        <w:spacing w:before="120"/>
        <w:rPr>
          <w:rFonts w:asciiTheme="majorHAnsi" w:hAnsiTheme="majorHAnsi"/>
          <w:b/>
          <w:bCs/>
        </w:rPr>
      </w:pPr>
      <w:r w:rsidRPr="009A01E1">
        <w:rPr>
          <w:rFonts w:asciiTheme="majorHAnsi" w:hAnsiTheme="majorHAnsi"/>
          <w:b/>
          <w:bCs/>
        </w:rPr>
        <w:t>References to human rights</w:t>
      </w:r>
    </w:p>
    <w:p w:rsidR="009A01E1" w:rsidRPr="009A01E1" w:rsidRDefault="009A01E1" w:rsidP="009A01E1">
      <w:pPr>
        <w:pStyle w:val="Default"/>
        <w:spacing w:before="120"/>
        <w:rPr>
          <w:rFonts w:asciiTheme="majorHAnsi" w:hAnsiTheme="majorHAnsi"/>
        </w:rPr>
      </w:pPr>
      <w:r w:rsidRPr="009A01E1">
        <w:rPr>
          <w:rFonts w:asciiTheme="majorHAnsi" w:hAnsiTheme="majorHAnsi"/>
          <w:color w:val="auto"/>
          <w:lang w:val="en"/>
        </w:rPr>
        <w:t>At the 7-8 October 2013 WSIS+10 Open Consultation meeting, it was suggested that the WSIS+10 output document</w:t>
      </w:r>
      <w:r w:rsidRPr="009A01E1">
        <w:rPr>
          <w:rFonts w:asciiTheme="majorHAnsi" w:hAnsiTheme="majorHAnsi"/>
        </w:rPr>
        <w:t xml:space="preserve"> should include a reaffirmation of human rights, and that this could best be done by reaffirming paragraphs 3, 4, and 5 of the Geneva Declaration and by reaffirming Resolution 20/8 of the UN Human Rights Council to the effect that offline rights apply online also.</w:t>
      </w:r>
    </w:p>
    <w:p w:rsidR="009A01E1" w:rsidRPr="009A01E1" w:rsidRDefault="009A01E1" w:rsidP="009A01E1">
      <w:pPr>
        <w:pStyle w:val="Default"/>
        <w:spacing w:before="120"/>
        <w:rPr>
          <w:rFonts w:asciiTheme="majorHAnsi" w:hAnsiTheme="majorHAnsi"/>
        </w:rPr>
      </w:pPr>
      <w:r w:rsidRPr="009A01E1">
        <w:rPr>
          <w:rFonts w:asciiTheme="majorHAnsi" w:hAnsiTheme="majorHAnsi"/>
        </w:rPr>
        <w:t>This approach was agreed at the 16-18 December 2013 Open Consultation Meeting and the following specific text was discussed, but not fully agreed, as an addition to the Preambles of both the Statement and the Vision:</w:t>
      </w:r>
    </w:p>
    <w:p w:rsidR="009A01E1" w:rsidRPr="009A01E1" w:rsidRDefault="009A01E1" w:rsidP="009A01E1">
      <w:pPr>
        <w:pStyle w:val="BodyTextIndent"/>
        <w:spacing w:before="120"/>
        <w:rPr>
          <w:rFonts w:asciiTheme="majorHAnsi" w:hAnsiTheme="majorHAnsi" w:cs="Times New Roman"/>
          <w:sz w:val="24"/>
          <w:szCs w:val="24"/>
        </w:rPr>
      </w:pPr>
      <w:r w:rsidRPr="009A01E1">
        <w:rPr>
          <w:rFonts w:asciiTheme="majorHAnsi" w:hAnsiTheme="majorHAnsi" w:cs="Times New Roman"/>
          <w:sz w:val="24"/>
          <w:szCs w:val="24"/>
        </w:rPr>
        <w:t>We recognize the rights set forth in the UN Universal Declaration of Human Rights and in the Covenant on Civil and Political Rights [and in the Covenant on Economic, Social, and Cultural Rights] and reaffirmed in paragraphs 3, 4, and 5 of the Geneva Declaration and Resolution 20/8 of the Human Rights Council on The promotion, protection and enjoyment of human rights on the Internet.</w:t>
      </w:r>
    </w:p>
    <w:p w:rsidR="009A01E1" w:rsidRPr="009A01E1" w:rsidRDefault="009A01E1" w:rsidP="009A01E1">
      <w:pPr>
        <w:pStyle w:val="Default"/>
        <w:spacing w:before="120"/>
        <w:rPr>
          <w:rFonts w:asciiTheme="majorHAnsi" w:hAnsiTheme="majorHAnsi"/>
        </w:rPr>
      </w:pPr>
      <w:r w:rsidRPr="009A01E1">
        <w:rPr>
          <w:rFonts w:asciiTheme="majorHAnsi" w:hAnsiTheme="majorHAnsi"/>
        </w:rPr>
        <w:t xml:space="preserve">On 18 December 2013, the UN General Assembly adopted Resolution A/RES/68/167, </w:t>
      </w:r>
      <w:proofErr w:type="gramStart"/>
      <w:r w:rsidRPr="009A01E1">
        <w:rPr>
          <w:rFonts w:asciiTheme="majorHAnsi" w:hAnsiTheme="majorHAnsi"/>
        </w:rPr>
        <w:t>The</w:t>
      </w:r>
      <w:proofErr w:type="gramEnd"/>
      <w:r w:rsidRPr="009A01E1">
        <w:rPr>
          <w:rFonts w:asciiTheme="majorHAnsi" w:hAnsiTheme="majorHAnsi"/>
        </w:rPr>
        <w:t xml:space="preserve"> right to privacy in the digital age, which includes the following text:</w:t>
      </w:r>
    </w:p>
    <w:p w:rsidR="009A01E1" w:rsidRPr="009A01E1" w:rsidRDefault="009A01E1" w:rsidP="009A01E1">
      <w:pPr>
        <w:autoSpaceDE w:val="0"/>
        <w:autoSpaceDN w:val="0"/>
        <w:adjustRightInd w:val="0"/>
        <w:spacing w:before="120"/>
        <w:ind w:left="720"/>
        <w:rPr>
          <w:rFonts w:asciiTheme="majorHAnsi" w:hAnsiTheme="majorHAnsi"/>
          <w:sz w:val="24"/>
          <w:szCs w:val="24"/>
          <w:highlight w:val="yellow"/>
        </w:rPr>
      </w:pPr>
      <w:r w:rsidRPr="009A01E1">
        <w:rPr>
          <w:rFonts w:asciiTheme="majorHAnsi" w:hAnsiTheme="majorHAnsi"/>
          <w:i/>
          <w:iCs/>
          <w:sz w:val="24"/>
          <w:szCs w:val="24"/>
        </w:rPr>
        <w:t xml:space="preserve">Reaffirming also </w:t>
      </w:r>
      <w:r w:rsidRPr="009A01E1">
        <w:rPr>
          <w:rFonts w:asciiTheme="majorHAnsi" w:hAnsiTheme="majorHAnsi"/>
          <w:sz w:val="24"/>
          <w:szCs w:val="24"/>
        </w:rPr>
        <w:t>the human rights and fundamental freedoms enshrined in the Universal Declaration of Human Rights and relevant international human rights treaties, including the International Covenant on Civil and Political Rights and the International Covenant on Economic, Social and Cultural Rights,</w:t>
      </w:r>
    </w:p>
    <w:p w:rsidR="009A01E1" w:rsidRPr="009A01E1" w:rsidRDefault="009A01E1" w:rsidP="009A01E1">
      <w:pPr>
        <w:pStyle w:val="Default"/>
        <w:spacing w:before="120"/>
        <w:rPr>
          <w:rFonts w:asciiTheme="majorHAnsi" w:hAnsiTheme="majorHAnsi"/>
        </w:rPr>
      </w:pPr>
      <w:r w:rsidRPr="009A01E1">
        <w:rPr>
          <w:rFonts w:asciiTheme="majorHAnsi" w:hAnsiTheme="majorHAnsi"/>
        </w:rPr>
        <w:t>In light of that new Resolution, it is suggested that the following text be added to the Preamble of the Statement (document S1.1-A), as its first paragraph:</w:t>
      </w:r>
    </w:p>
    <w:p w:rsidR="009A01E1" w:rsidRPr="009A01E1" w:rsidRDefault="009A01E1" w:rsidP="009A01E1">
      <w:pPr>
        <w:pStyle w:val="Default"/>
        <w:spacing w:before="120"/>
        <w:ind w:left="720"/>
        <w:rPr>
          <w:rFonts w:asciiTheme="majorHAnsi" w:hAnsiTheme="majorHAnsi"/>
        </w:rPr>
      </w:pPr>
      <w:r w:rsidRPr="009A01E1">
        <w:rPr>
          <w:rFonts w:asciiTheme="majorHAnsi" w:hAnsiTheme="majorHAnsi"/>
        </w:rPr>
        <w:t>We reaffirm</w:t>
      </w:r>
      <w:r w:rsidRPr="009A01E1">
        <w:rPr>
          <w:rFonts w:asciiTheme="majorHAnsi" w:hAnsiTheme="majorHAnsi"/>
          <w:i/>
          <w:iCs/>
        </w:rPr>
        <w:t xml:space="preserve"> </w:t>
      </w:r>
      <w:r w:rsidRPr="009A01E1">
        <w:rPr>
          <w:rFonts w:asciiTheme="majorHAnsi" w:hAnsiTheme="majorHAnsi"/>
        </w:rPr>
        <w:t xml:space="preserve">the human rights and fundamental freedoms enshrined in the Universal Declaration of Human Rights and relevant international human rights treaties, including the International Covenant on Civil and Political Rights; the International Covenant on Economic, Social and Cultural Rights; paragraphs 3, 5, and 5 of the </w:t>
      </w:r>
      <w:r w:rsidRPr="009A01E1">
        <w:rPr>
          <w:rFonts w:asciiTheme="majorHAnsi" w:hAnsiTheme="majorHAnsi"/>
        </w:rPr>
        <w:lastRenderedPageBreak/>
        <w:t>Geneva Declaration; Resolution 20/8 of the Human Rights Council on The promotion, protection and enjoyment of human rights on the Internet; and Resolution A/RES/68/167 of the UN General Assembly on The right to privacy in the digital age.</w:t>
      </w:r>
    </w:p>
    <w:p w:rsidR="009A01E1" w:rsidRPr="009A01E1" w:rsidRDefault="009A01E1" w:rsidP="009A01E1">
      <w:pPr>
        <w:pStyle w:val="Default"/>
        <w:spacing w:before="120"/>
        <w:rPr>
          <w:rFonts w:asciiTheme="majorHAnsi" w:hAnsiTheme="majorHAnsi"/>
        </w:rPr>
      </w:pPr>
      <w:r w:rsidRPr="009A01E1">
        <w:rPr>
          <w:rFonts w:asciiTheme="majorHAnsi" w:hAnsiTheme="majorHAnsi"/>
        </w:rPr>
        <w:t>And it is suggested that the same text be added to the Preamble of the Vision (document V1.1-A), as its first paragraph:</w:t>
      </w:r>
    </w:p>
    <w:p w:rsidR="009A01E1" w:rsidRPr="009A01E1" w:rsidRDefault="009A01E1" w:rsidP="009A01E1">
      <w:pPr>
        <w:pStyle w:val="Default"/>
        <w:spacing w:before="120"/>
        <w:ind w:left="720"/>
        <w:rPr>
          <w:rFonts w:asciiTheme="majorHAnsi" w:hAnsiTheme="majorHAnsi"/>
        </w:rPr>
      </w:pPr>
      <w:r w:rsidRPr="009A01E1">
        <w:rPr>
          <w:rFonts w:asciiTheme="majorHAnsi" w:hAnsiTheme="majorHAnsi"/>
        </w:rPr>
        <w:t>We reaffirm</w:t>
      </w:r>
      <w:r w:rsidRPr="009A01E1">
        <w:rPr>
          <w:rFonts w:asciiTheme="majorHAnsi" w:hAnsiTheme="majorHAnsi"/>
          <w:i/>
          <w:iCs/>
        </w:rPr>
        <w:t xml:space="preserve"> </w:t>
      </w:r>
      <w:r w:rsidRPr="009A01E1">
        <w:rPr>
          <w:rFonts w:asciiTheme="majorHAnsi" w:hAnsiTheme="majorHAnsi"/>
        </w:rPr>
        <w:t>the human rights and fundamental freedoms enshrined in the Universal Declaration of Human Rights and relevant international human rights treaties, including the International Covenant on Civil and Political Rights; the International Covenant on Economic, Social and Cultural Rights; paragraphs 3, 5, and 5 of the Geneva Declaration; Resolution 20/8 of the Human Rights Council on The promotion, protection and enjoyment of human rights on the Internet; and Resolution A/RES/68/167 of the UN General Assembly on The right to privacy in the digital age.</w:t>
      </w:r>
    </w:p>
    <w:p w:rsidR="009A01E1" w:rsidRPr="009A01E1" w:rsidRDefault="009A01E1" w:rsidP="009A01E1">
      <w:pPr>
        <w:pStyle w:val="Default"/>
        <w:keepNext/>
        <w:spacing w:before="120"/>
        <w:rPr>
          <w:rFonts w:asciiTheme="majorHAnsi" w:hAnsiTheme="majorHAnsi"/>
          <w:b/>
          <w:bCs/>
        </w:rPr>
      </w:pPr>
      <w:r w:rsidRPr="009A01E1">
        <w:rPr>
          <w:rFonts w:asciiTheme="majorHAnsi" w:hAnsiTheme="majorHAnsi"/>
          <w:b/>
          <w:bCs/>
        </w:rPr>
        <w:t>Measures to address the digital divide</w:t>
      </w:r>
    </w:p>
    <w:p w:rsidR="009A01E1" w:rsidRPr="009A01E1" w:rsidRDefault="009A01E1" w:rsidP="009A01E1">
      <w:pPr>
        <w:pStyle w:val="Default"/>
        <w:spacing w:before="120"/>
        <w:rPr>
          <w:rFonts w:asciiTheme="majorHAnsi" w:hAnsiTheme="majorHAnsi"/>
        </w:rPr>
      </w:pPr>
      <w:r w:rsidRPr="009A01E1">
        <w:rPr>
          <w:rFonts w:asciiTheme="majorHAnsi" w:hAnsiTheme="majorHAnsi"/>
        </w:rPr>
        <w:t>Paragraph 8 of the Challenges (document S2/C Rev. 1) contains, in square brackets, a reference to one specific measure that can help to address the digital divide, namely Internet Exchange Points (IXPs).  While IXPs are indeed a useful measure, they are by no means the only measure, see for example the measures outlined in Supplement 2 of Recommendation ITU-T D.50.  Therefore, it is proposed that the text in square brackets in paragraph 8 be deleted.</w:t>
      </w:r>
    </w:p>
    <w:p w:rsidR="009A01E1" w:rsidRPr="009A01E1" w:rsidRDefault="009A01E1" w:rsidP="009A01E1">
      <w:pPr>
        <w:pStyle w:val="Default"/>
        <w:keepNext/>
        <w:spacing w:before="120"/>
        <w:rPr>
          <w:rFonts w:asciiTheme="majorHAnsi" w:hAnsiTheme="majorHAnsi"/>
        </w:rPr>
      </w:pPr>
      <w:r w:rsidRPr="009A01E1">
        <w:rPr>
          <w:rFonts w:asciiTheme="majorHAnsi" w:hAnsiTheme="majorHAnsi"/>
        </w:rPr>
        <w:t>Alternatively, it could be balanced as follows:</w:t>
      </w:r>
    </w:p>
    <w:p w:rsidR="009A01E1" w:rsidRPr="009A01E1" w:rsidRDefault="009A01E1" w:rsidP="009A01E1">
      <w:pPr>
        <w:pStyle w:val="Default"/>
        <w:spacing w:before="120"/>
        <w:ind w:left="720"/>
        <w:rPr>
          <w:rFonts w:asciiTheme="majorHAnsi" w:hAnsiTheme="majorHAnsi"/>
        </w:rPr>
      </w:pPr>
      <w:proofErr w:type="gramStart"/>
      <w:r w:rsidRPr="009A01E1">
        <w:rPr>
          <w:rFonts w:asciiTheme="majorHAnsi" w:hAnsiTheme="majorHAnsi"/>
        </w:rPr>
        <w:t>including</w:t>
      </w:r>
      <w:proofErr w:type="gramEnd"/>
      <w:r w:rsidRPr="009A01E1">
        <w:rPr>
          <w:rFonts w:asciiTheme="majorHAnsi" w:hAnsiTheme="majorHAnsi"/>
        </w:rPr>
        <w:t xml:space="preserve"> establishment of IXPs and the other measures called for in Recommendation ITU-T D.50 and its Supplements</w:t>
      </w:r>
    </w:p>
    <w:p w:rsidR="009A01E1" w:rsidRPr="009A01E1" w:rsidRDefault="009A01E1" w:rsidP="009A01E1">
      <w:pPr>
        <w:pStyle w:val="Default"/>
        <w:spacing w:before="120"/>
        <w:rPr>
          <w:rFonts w:asciiTheme="majorHAnsi" w:hAnsiTheme="majorHAnsi"/>
        </w:rPr>
      </w:pPr>
      <w:proofErr w:type="gramStart"/>
      <w:r w:rsidRPr="009A01E1">
        <w:rPr>
          <w:rFonts w:asciiTheme="majorHAnsi" w:hAnsiTheme="majorHAnsi"/>
        </w:rPr>
        <w:t>or</w:t>
      </w:r>
      <w:proofErr w:type="gramEnd"/>
    </w:p>
    <w:p w:rsidR="009A01E1" w:rsidRPr="009A01E1" w:rsidRDefault="009A01E1" w:rsidP="009A01E1">
      <w:pPr>
        <w:pStyle w:val="Default"/>
        <w:spacing w:before="120"/>
        <w:ind w:left="720"/>
        <w:rPr>
          <w:rFonts w:asciiTheme="majorHAnsi" w:hAnsiTheme="majorHAnsi"/>
        </w:rPr>
      </w:pPr>
      <w:r w:rsidRPr="009A01E1">
        <w:rPr>
          <w:rFonts w:asciiTheme="majorHAnsi" w:hAnsiTheme="majorHAnsi"/>
        </w:rPr>
        <w:t xml:space="preserve">including measures such as establishment of IXPs; development of local services including local hosting and local applications; access to landing points for submarine cables and related issues; mirror sites and caches; additional infrastructure; submarine cable build out; implementation of elements of Recommendation ITU-T D.50, in particular mechanisms for sharing the cost of international Internet bandwidth; agreements enabling direct international Internet connections that take into account the possible need for compensation between them for the value of elements such as traffic flow, number of routes, geographical coverage and cost of international transmission, and the possible application of network externalities, amongst others </w:t>
      </w:r>
    </w:p>
    <w:p w:rsidR="009A01E1" w:rsidRPr="009A01E1" w:rsidRDefault="009A01E1" w:rsidP="009A01E1">
      <w:pPr>
        <w:pStyle w:val="Default"/>
        <w:keepNext/>
        <w:spacing w:before="120"/>
        <w:rPr>
          <w:rFonts w:asciiTheme="majorHAnsi" w:hAnsiTheme="majorHAnsi"/>
          <w:b/>
          <w:bCs/>
        </w:rPr>
      </w:pPr>
      <w:r w:rsidRPr="009A01E1">
        <w:rPr>
          <w:rFonts w:asciiTheme="majorHAnsi" w:hAnsiTheme="majorHAnsi"/>
          <w:b/>
          <w:bCs/>
        </w:rPr>
        <w:t>Globalization of the ICANN and IANA functions</w:t>
      </w:r>
    </w:p>
    <w:p w:rsidR="009A01E1" w:rsidRPr="009A01E1" w:rsidRDefault="009A01E1" w:rsidP="009A01E1">
      <w:pPr>
        <w:pStyle w:val="Default"/>
        <w:spacing w:before="120"/>
        <w:rPr>
          <w:rFonts w:asciiTheme="majorHAnsi" w:hAnsiTheme="majorHAnsi"/>
          <w:color w:val="auto"/>
          <w:lang w:val="en"/>
        </w:rPr>
      </w:pPr>
      <w:r w:rsidRPr="009A01E1">
        <w:rPr>
          <w:rFonts w:asciiTheme="majorHAnsi" w:hAnsiTheme="majorHAnsi"/>
        </w:rPr>
        <w:t xml:space="preserve">On 7 October 2013, </w:t>
      </w:r>
      <w:r w:rsidRPr="009A01E1">
        <w:rPr>
          <w:rFonts w:asciiTheme="majorHAnsi" w:hAnsiTheme="majorHAnsi"/>
          <w:color w:val="auto"/>
          <w:lang w:val="en"/>
        </w:rPr>
        <w:t xml:space="preserve">the leaders of organizations that consider themselves responsible for coordination of the Internet technical infrastructure globally “called for accelerating the </w:t>
      </w:r>
      <w:r w:rsidRPr="009A01E1">
        <w:rPr>
          <w:rFonts w:asciiTheme="majorHAnsi" w:hAnsiTheme="majorHAnsi"/>
          <w:color w:val="auto"/>
          <w:lang w:val="en"/>
        </w:rPr>
        <w:lastRenderedPageBreak/>
        <w:t>globalization of ICANN and IANA functions, towards an environment in which all stakeholders, including all governments, participate on an equal footing”.</w:t>
      </w:r>
      <w:r w:rsidRPr="009A01E1">
        <w:rPr>
          <w:rStyle w:val="FootnoteReference"/>
          <w:rFonts w:asciiTheme="majorHAnsi" w:hAnsiTheme="majorHAnsi"/>
          <w:color w:val="auto"/>
          <w:lang w:val="en"/>
        </w:rPr>
        <w:footnoteReference w:id="1"/>
      </w:r>
    </w:p>
    <w:p w:rsidR="009A01E1" w:rsidRPr="009A01E1" w:rsidRDefault="009A01E1" w:rsidP="009A01E1">
      <w:pPr>
        <w:pStyle w:val="Default"/>
        <w:spacing w:before="120"/>
        <w:rPr>
          <w:rFonts w:asciiTheme="majorHAnsi" w:hAnsiTheme="majorHAnsi"/>
          <w:color w:val="auto"/>
          <w:lang w:val="en"/>
        </w:rPr>
      </w:pPr>
      <w:r w:rsidRPr="009A01E1">
        <w:rPr>
          <w:rFonts w:asciiTheme="majorHAnsi" w:hAnsiTheme="majorHAnsi"/>
          <w:color w:val="auto"/>
          <w:lang w:val="en"/>
        </w:rPr>
        <w:t xml:space="preserve">Indeed the Tunis Agenda calls for all </w:t>
      </w:r>
      <w:proofErr w:type="spellStart"/>
      <w:r w:rsidRPr="009A01E1">
        <w:rPr>
          <w:rFonts w:asciiTheme="majorHAnsi" w:hAnsiTheme="majorHAnsi"/>
          <w:color w:val="auto"/>
          <w:lang w:val="en"/>
        </w:rPr>
        <w:t>goverments</w:t>
      </w:r>
      <w:proofErr w:type="spellEnd"/>
      <w:r w:rsidRPr="009A01E1">
        <w:rPr>
          <w:rFonts w:asciiTheme="majorHAnsi" w:hAnsiTheme="majorHAnsi"/>
          <w:color w:val="auto"/>
          <w:lang w:val="en"/>
        </w:rPr>
        <w:t xml:space="preserve"> to participate, on an equal footing and within the multi-stakeholder model, in Internet governance matters.</w:t>
      </w:r>
    </w:p>
    <w:p w:rsidR="009A01E1" w:rsidRPr="009A01E1" w:rsidRDefault="009A01E1" w:rsidP="009A01E1">
      <w:pPr>
        <w:pStyle w:val="Default"/>
        <w:spacing w:before="120"/>
        <w:rPr>
          <w:rFonts w:asciiTheme="majorHAnsi" w:hAnsiTheme="majorHAnsi"/>
          <w:color w:val="auto"/>
          <w:lang w:val="en"/>
        </w:rPr>
      </w:pPr>
      <w:r w:rsidRPr="009A01E1">
        <w:rPr>
          <w:rFonts w:asciiTheme="majorHAnsi" w:hAnsiTheme="majorHAnsi"/>
          <w:color w:val="auto"/>
          <w:lang w:val="en"/>
        </w:rPr>
        <w:t>It would thus appear appropriate to reiterate these principles in the WSIS+10 outputs and to call for specific actions consistent with those principles.</w:t>
      </w:r>
    </w:p>
    <w:p w:rsidR="009A01E1" w:rsidRPr="009A01E1" w:rsidRDefault="009A01E1" w:rsidP="009A01E1">
      <w:pPr>
        <w:pStyle w:val="Default"/>
        <w:spacing w:before="120"/>
        <w:rPr>
          <w:rFonts w:asciiTheme="majorHAnsi" w:hAnsiTheme="majorHAnsi"/>
          <w:color w:val="auto"/>
          <w:lang w:val="en"/>
        </w:rPr>
      </w:pPr>
      <w:r w:rsidRPr="009A01E1">
        <w:rPr>
          <w:rFonts w:asciiTheme="majorHAnsi" w:hAnsiTheme="majorHAnsi"/>
          <w:color w:val="auto"/>
          <w:lang w:val="en"/>
        </w:rPr>
        <w:t>Thus the following are proposed.</w:t>
      </w:r>
    </w:p>
    <w:p w:rsidR="009A01E1" w:rsidRPr="009A01E1" w:rsidRDefault="009A01E1" w:rsidP="009A01E1">
      <w:pPr>
        <w:pStyle w:val="Default"/>
        <w:spacing w:before="120"/>
        <w:rPr>
          <w:rFonts w:asciiTheme="majorHAnsi" w:hAnsiTheme="majorHAnsi"/>
        </w:rPr>
      </w:pPr>
      <w:r w:rsidRPr="009A01E1">
        <w:rPr>
          <w:rFonts w:asciiTheme="majorHAnsi" w:hAnsiTheme="majorHAnsi"/>
        </w:rPr>
        <w:t>B Priority areas (document V1.1-B</w:t>
      </w:r>
      <w:proofErr w:type="gramStart"/>
      <w:r w:rsidRPr="009A01E1">
        <w:rPr>
          <w:rFonts w:asciiTheme="majorHAnsi" w:hAnsiTheme="majorHAnsi"/>
        </w:rPr>
        <w:t>)</w:t>
      </w:r>
      <w:proofErr w:type="gramEnd"/>
      <w:r w:rsidRPr="009A01E1">
        <w:rPr>
          <w:rFonts w:asciiTheme="majorHAnsi" w:hAnsiTheme="majorHAnsi"/>
        </w:rPr>
        <w:br/>
        <w:t xml:space="preserve">ADD no. 37 (conveniently blank) </w:t>
      </w:r>
    </w:p>
    <w:p w:rsidR="009A01E1" w:rsidRPr="009A01E1" w:rsidRDefault="009A01E1" w:rsidP="009A01E1">
      <w:pPr>
        <w:pStyle w:val="Default"/>
        <w:spacing w:before="120"/>
        <w:ind w:left="720"/>
        <w:rPr>
          <w:rFonts w:asciiTheme="majorHAnsi" w:hAnsiTheme="majorHAnsi"/>
          <w:color w:val="auto"/>
        </w:rPr>
      </w:pPr>
      <w:r w:rsidRPr="009A01E1">
        <w:rPr>
          <w:rFonts w:asciiTheme="majorHAnsi" w:hAnsiTheme="majorHAnsi"/>
        </w:rPr>
        <w:t xml:space="preserve">37) </w:t>
      </w:r>
      <w:r w:rsidRPr="009A01E1">
        <w:rPr>
          <w:rFonts w:asciiTheme="majorHAnsi" w:hAnsiTheme="majorHAnsi"/>
          <w:color w:val="auto"/>
          <w:lang w:val="en"/>
        </w:rPr>
        <w:t>Accelerating the globalization of ICANN and IANA functions</w:t>
      </w:r>
    </w:p>
    <w:p w:rsidR="009A01E1" w:rsidRPr="009A01E1" w:rsidRDefault="009A01E1" w:rsidP="009A01E1">
      <w:pPr>
        <w:pStyle w:val="Default"/>
        <w:spacing w:before="120"/>
        <w:rPr>
          <w:rFonts w:asciiTheme="majorHAnsi" w:hAnsiTheme="majorHAnsi"/>
        </w:rPr>
      </w:pPr>
      <w:r w:rsidRPr="009A01E1">
        <w:rPr>
          <w:rFonts w:asciiTheme="majorHAnsi" w:hAnsiTheme="majorHAnsi"/>
        </w:rPr>
        <w:t>Action Line C1 (document V1.1-C-ALC1</w:t>
      </w:r>
      <w:proofErr w:type="gramStart"/>
      <w:r w:rsidRPr="009A01E1">
        <w:rPr>
          <w:rFonts w:asciiTheme="majorHAnsi" w:hAnsiTheme="majorHAnsi"/>
        </w:rPr>
        <w:t>)</w:t>
      </w:r>
      <w:proofErr w:type="gramEnd"/>
      <w:r w:rsidRPr="009A01E1">
        <w:rPr>
          <w:rFonts w:asciiTheme="majorHAnsi" w:hAnsiTheme="majorHAnsi"/>
        </w:rPr>
        <w:br/>
        <w:t>ADD 2(g)</w:t>
      </w:r>
    </w:p>
    <w:p w:rsidR="009A01E1" w:rsidRPr="009A01E1" w:rsidRDefault="009A01E1" w:rsidP="009A01E1">
      <w:pPr>
        <w:pStyle w:val="Default"/>
        <w:spacing w:before="120"/>
        <w:ind w:left="720"/>
        <w:rPr>
          <w:rFonts w:asciiTheme="majorHAnsi" w:hAnsiTheme="majorHAnsi"/>
        </w:rPr>
      </w:pPr>
      <w:r w:rsidRPr="009A01E1">
        <w:rPr>
          <w:rFonts w:asciiTheme="majorHAnsi" w:hAnsiTheme="majorHAnsi"/>
        </w:rPr>
        <w:t xml:space="preserve">2(g) </w:t>
      </w:r>
      <w:proofErr w:type="gramStart"/>
      <w:r w:rsidRPr="009A01E1">
        <w:rPr>
          <w:rFonts w:asciiTheme="majorHAnsi" w:hAnsiTheme="majorHAnsi"/>
        </w:rPr>
        <w:t>Agree</w:t>
      </w:r>
      <w:proofErr w:type="gramEnd"/>
      <w:r w:rsidRPr="009A01E1">
        <w:rPr>
          <w:rFonts w:asciiTheme="majorHAnsi" w:hAnsiTheme="majorHAnsi"/>
        </w:rPr>
        <w:t xml:space="preserve"> a formal framework that provides for all governments to participate, on an equal footing, in the governance and supervision of the ICANN and IANA functions, and that provides for effective supervision and accountability of these functions in accordance with paragraphs 29, 35, 36, 61 and 69 of the Tunis Agenda.</w:t>
      </w:r>
    </w:p>
    <w:p w:rsidR="009A01E1" w:rsidRPr="009A01E1" w:rsidRDefault="009A01E1" w:rsidP="009A01E1">
      <w:pPr>
        <w:pStyle w:val="Default"/>
        <w:keepNext/>
        <w:spacing w:before="120"/>
        <w:rPr>
          <w:rFonts w:asciiTheme="majorHAnsi" w:hAnsiTheme="majorHAnsi"/>
          <w:b/>
          <w:bCs/>
        </w:rPr>
      </w:pPr>
      <w:r w:rsidRPr="009A01E1">
        <w:rPr>
          <w:rFonts w:asciiTheme="majorHAnsi" w:hAnsiTheme="majorHAnsi"/>
          <w:b/>
          <w:bCs/>
        </w:rPr>
        <w:t>Addressing the tax challenges of the digital economy</w:t>
      </w:r>
    </w:p>
    <w:p w:rsidR="009A01E1" w:rsidRPr="009A01E1" w:rsidRDefault="009A01E1" w:rsidP="009A01E1">
      <w:pPr>
        <w:pStyle w:val="Default"/>
        <w:spacing w:before="120"/>
        <w:rPr>
          <w:rFonts w:asciiTheme="majorHAnsi" w:hAnsiTheme="majorHAnsi"/>
          <w:lang w:val="en-GB"/>
        </w:rPr>
      </w:pPr>
      <w:r w:rsidRPr="009A01E1">
        <w:rPr>
          <w:rFonts w:asciiTheme="majorHAnsi" w:hAnsiTheme="majorHAnsi"/>
          <w:bCs/>
        </w:rPr>
        <w:t>The G20 leaders have stated that “</w:t>
      </w:r>
      <w:proofErr w:type="spellStart"/>
      <w:r w:rsidRPr="009A01E1">
        <w:rPr>
          <w:rFonts w:asciiTheme="majorHAnsi" w:hAnsiTheme="majorHAnsi"/>
          <w:bCs/>
        </w:rPr>
        <w:t>i</w:t>
      </w:r>
      <w:r w:rsidRPr="009A01E1">
        <w:rPr>
          <w:rFonts w:asciiTheme="majorHAnsi" w:hAnsiTheme="majorHAnsi"/>
          <w:bCs/>
          <w:lang w:val="en-GB"/>
        </w:rPr>
        <w:t>nternational</w:t>
      </w:r>
      <w:proofErr w:type="spellEnd"/>
      <w:r w:rsidRPr="009A01E1">
        <w:rPr>
          <w:rFonts w:asciiTheme="majorHAnsi" w:hAnsiTheme="majorHAnsi"/>
          <w:bCs/>
          <w:lang w:val="en-GB"/>
        </w:rPr>
        <w:t xml:space="preserve"> tax rules, which date back to the 1920’s, have not kept pace with the changing business environment, including the growing importance of intangibles and the digital economy”.</w:t>
      </w:r>
      <w:r w:rsidRPr="009A01E1">
        <w:rPr>
          <w:rStyle w:val="FootnoteReference"/>
          <w:rFonts w:asciiTheme="majorHAnsi" w:hAnsiTheme="majorHAnsi"/>
          <w:bCs/>
        </w:rPr>
        <w:footnoteReference w:id="2"/>
      </w:r>
      <w:r w:rsidRPr="009A01E1">
        <w:rPr>
          <w:rFonts w:asciiTheme="majorHAnsi" w:hAnsiTheme="majorHAnsi"/>
          <w:bCs/>
          <w:lang w:val="en-GB"/>
        </w:rPr>
        <w:t xml:space="preserve">  There is a need to </w:t>
      </w:r>
      <w:r w:rsidRPr="009A01E1">
        <w:rPr>
          <w:rFonts w:asciiTheme="majorHAnsi" w:hAnsiTheme="majorHAnsi"/>
          <w:lang w:val="en-GB"/>
        </w:rPr>
        <w:t xml:space="preserve">ensure that international and domestic tax rules do not allow or encourage multinational enterprises to reduce overall taxes paid by artificially shifting profits to low-tax jurisdictions.  </w:t>
      </w:r>
      <w:r w:rsidRPr="009A01E1">
        <w:rPr>
          <w:rFonts w:asciiTheme="majorHAnsi" w:hAnsiTheme="majorHAnsi"/>
          <w:bCs/>
          <w:lang w:val="en-GB"/>
        </w:rPr>
        <w:t>Developing countries must reap the benefits of the G20 tax agenda. E</w:t>
      </w:r>
      <w:r w:rsidRPr="009A01E1">
        <w:rPr>
          <w:rFonts w:asciiTheme="majorHAnsi" w:hAnsiTheme="majorHAnsi"/>
          <w:lang w:val="en-GB"/>
        </w:rPr>
        <w:t>fforts should help developing countries secure the corporate tax revenue they need to foster long-term development.</w:t>
      </w:r>
    </w:p>
    <w:p w:rsidR="009A01E1" w:rsidRPr="009A01E1" w:rsidRDefault="009A01E1" w:rsidP="009A01E1">
      <w:pPr>
        <w:pStyle w:val="Default"/>
        <w:spacing w:before="120"/>
        <w:rPr>
          <w:rFonts w:asciiTheme="majorHAnsi" w:hAnsiTheme="majorHAnsi"/>
          <w:lang w:val="en-GB"/>
        </w:rPr>
      </w:pPr>
      <w:r w:rsidRPr="009A01E1">
        <w:rPr>
          <w:rFonts w:asciiTheme="majorHAnsi" w:hAnsiTheme="majorHAnsi"/>
          <w:lang w:val="en-GB"/>
        </w:rPr>
        <w:t xml:space="preserve">Further, according to the G20 leaders, there is a need to </w:t>
      </w:r>
      <w:r w:rsidRPr="009A01E1">
        <w:rPr>
          <w:rFonts w:asciiTheme="majorHAnsi" w:hAnsiTheme="majorHAnsi"/>
          <w:lang w:val="en-GB" w:eastAsia="zh-CN"/>
        </w:rPr>
        <w:t xml:space="preserve">identify the main difficulties that the digital economy poses for the application of existing international tax rules and </w:t>
      </w:r>
      <w:r w:rsidRPr="009A01E1">
        <w:rPr>
          <w:rFonts w:asciiTheme="majorHAnsi" w:hAnsiTheme="majorHAnsi"/>
          <w:lang w:eastAsia="zh-CN"/>
        </w:rPr>
        <w:t>develop detailed options to address these difficulties</w:t>
      </w:r>
      <w:r w:rsidRPr="009A01E1">
        <w:rPr>
          <w:rFonts w:asciiTheme="majorHAnsi" w:hAnsiTheme="majorHAnsi"/>
          <w:lang w:val="en-GB" w:eastAsia="zh-CN"/>
        </w:rPr>
        <w:t>, taking a holistic approach and considering both direct and indirect taxation. Issues to be examined include, but are not limited to, the ability of a company to have a significant digital presence in the economy of another country without being liable to taxation due to the lack of nexus under current international rules, the attribution of value created from the generation of marketable location-relevant data through the use of digital products and services, the characterisation of income derived from new business models, the application of related source rules, and how to ensure the effective collection of VAT/GST with respect to the cross-border supply of digital goods and services.  Such work will require a thorough analysis of the various business models in this sector.</w:t>
      </w:r>
    </w:p>
    <w:p w:rsidR="009A01E1" w:rsidRPr="009A01E1" w:rsidRDefault="009A01E1" w:rsidP="009A01E1">
      <w:pPr>
        <w:pStyle w:val="Default"/>
        <w:spacing w:before="120"/>
        <w:rPr>
          <w:rFonts w:asciiTheme="majorHAnsi" w:hAnsiTheme="majorHAnsi"/>
          <w:lang w:val="en-GB"/>
        </w:rPr>
      </w:pPr>
      <w:r w:rsidRPr="009A01E1">
        <w:rPr>
          <w:rFonts w:asciiTheme="majorHAnsi" w:hAnsiTheme="majorHAnsi"/>
          <w:lang w:val="en-GB"/>
        </w:rPr>
        <w:t>Thus it seems appropriate to propose the following.</w:t>
      </w:r>
    </w:p>
    <w:p w:rsidR="009A01E1" w:rsidRPr="009A01E1" w:rsidRDefault="009A01E1" w:rsidP="009A01E1">
      <w:pPr>
        <w:pStyle w:val="Default"/>
        <w:spacing w:before="120"/>
        <w:rPr>
          <w:rFonts w:asciiTheme="majorHAnsi" w:hAnsiTheme="majorHAnsi"/>
        </w:rPr>
      </w:pPr>
      <w:r w:rsidRPr="009A01E1">
        <w:rPr>
          <w:rFonts w:asciiTheme="majorHAnsi" w:hAnsiTheme="majorHAnsi"/>
        </w:rPr>
        <w:lastRenderedPageBreak/>
        <w:t>B Priority areas (document V1.1-B</w:t>
      </w:r>
      <w:proofErr w:type="gramStart"/>
      <w:r w:rsidRPr="009A01E1">
        <w:rPr>
          <w:rFonts w:asciiTheme="majorHAnsi" w:hAnsiTheme="majorHAnsi"/>
        </w:rPr>
        <w:t>)</w:t>
      </w:r>
      <w:proofErr w:type="gramEnd"/>
      <w:r w:rsidRPr="009A01E1">
        <w:rPr>
          <w:rFonts w:asciiTheme="majorHAnsi" w:hAnsiTheme="majorHAnsi"/>
        </w:rPr>
        <w:br/>
        <w:t>Agree item 30</w:t>
      </w:r>
    </w:p>
    <w:p w:rsidR="009A01E1" w:rsidRPr="009A01E1" w:rsidRDefault="009A01E1" w:rsidP="009A01E1">
      <w:pPr>
        <w:pStyle w:val="Default"/>
        <w:spacing w:before="120"/>
        <w:ind w:left="720"/>
        <w:rPr>
          <w:rFonts w:asciiTheme="majorHAnsi" w:hAnsiTheme="majorHAnsi"/>
        </w:rPr>
      </w:pPr>
      <w:r w:rsidRPr="009A01E1">
        <w:rPr>
          <w:rFonts w:asciiTheme="majorHAnsi" w:hAnsiTheme="majorHAnsi"/>
        </w:rPr>
        <w:t>30) Addressing the tax challenges of the digital economy</w:t>
      </w:r>
    </w:p>
    <w:p w:rsidR="009A01E1" w:rsidRPr="009A01E1" w:rsidRDefault="009A01E1" w:rsidP="009A01E1">
      <w:pPr>
        <w:pStyle w:val="Default"/>
        <w:keepNext/>
        <w:spacing w:before="120"/>
        <w:rPr>
          <w:rFonts w:asciiTheme="majorHAnsi" w:hAnsiTheme="majorHAnsi"/>
        </w:rPr>
      </w:pPr>
      <w:r w:rsidRPr="009A01E1">
        <w:rPr>
          <w:rFonts w:asciiTheme="majorHAnsi" w:hAnsiTheme="majorHAnsi"/>
        </w:rPr>
        <w:t>Action Line C2 (document V2-C-ALC2</w:t>
      </w:r>
      <w:proofErr w:type="gramStart"/>
      <w:r w:rsidRPr="009A01E1">
        <w:rPr>
          <w:rFonts w:asciiTheme="majorHAnsi" w:hAnsiTheme="majorHAnsi"/>
        </w:rPr>
        <w:t>)</w:t>
      </w:r>
      <w:proofErr w:type="gramEnd"/>
      <w:r w:rsidRPr="009A01E1">
        <w:rPr>
          <w:rFonts w:asciiTheme="majorHAnsi" w:hAnsiTheme="majorHAnsi"/>
        </w:rPr>
        <w:br/>
      </w:r>
      <w:r w:rsidRPr="009A01E1">
        <w:rPr>
          <w:rFonts w:asciiTheme="majorHAnsi" w:hAnsiTheme="majorHAnsi"/>
          <w:lang w:val="en-GB"/>
        </w:rPr>
        <w:t xml:space="preserve">Agree </w:t>
      </w:r>
      <w:r w:rsidRPr="009A01E1">
        <w:rPr>
          <w:rFonts w:asciiTheme="majorHAnsi" w:hAnsiTheme="majorHAnsi"/>
        </w:rPr>
        <w:t>2(j)</w:t>
      </w:r>
    </w:p>
    <w:p w:rsidR="009A01E1" w:rsidRPr="009A01E1" w:rsidRDefault="009A01E1" w:rsidP="009A01E1">
      <w:pPr>
        <w:pStyle w:val="Default"/>
        <w:spacing w:before="120"/>
        <w:ind w:left="720"/>
        <w:rPr>
          <w:rFonts w:asciiTheme="majorHAnsi" w:hAnsiTheme="majorHAnsi"/>
        </w:rPr>
      </w:pPr>
      <w:r w:rsidRPr="009A01E1">
        <w:rPr>
          <w:rFonts w:asciiTheme="majorHAnsi" w:hAnsiTheme="majorHAnsi"/>
        </w:rPr>
        <w:t xml:space="preserve">2(j) </w:t>
      </w:r>
      <w:proofErr w:type="gramStart"/>
      <w:r w:rsidRPr="009A01E1">
        <w:rPr>
          <w:rFonts w:asciiTheme="majorHAnsi" w:hAnsiTheme="majorHAnsi"/>
          <w:lang w:val="en-GB" w:eastAsia="zh-CN"/>
        </w:rPr>
        <w:t>Identify</w:t>
      </w:r>
      <w:proofErr w:type="gramEnd"/>
      <w:r w:rsidRPr="009A01E1">
        <w:rPr>
          <w:rFonts w:asciiTheme="majorHAnsi" w:hAnsiTheme="majorHAnsi"/>
          <w:lang w:val="en-GB" w:eastAsia="zh-CN"/>
        </w:rPr>
        <w:t xml:space="preserve"> the main difficulties that the digital economy poses for the application of existing international tax rules and </w:t>
      </w:r>
      <w:r w:rsidRPr="009A01E1">
        <w:rPr>
          <w:rFonts w:asciiTheme="majorHAnsi" w:hAnsiTheme="majorHAnsi"/>
          <w:lang w:eastAsia="zh-CN"/>
        </w:rPr>
        <w:t>develop detailed options to address these difficulties.</w:t>
      </w:r>
    </w:p>
    <w:p w:rsidR="009A01E1" w:rsidRPr="009A01E1" w:rsidRDefault="009A01E1" w:rsidP="009A01E1">
      <w:pPr>
        <w:pStyle w:val="Default"/>
        <w:keepNext/>
        <w:spacing w:before="120"/>
        <w:rPr>
          <w:rFonts w:asciiTheme="majorHAnsi" w:hAnsiTheme="majorHAnsi"/>
          <w:b/>
          <w:bCs/>
        </w:rPr>
      </w:pPr>
      <w:r w:rsidRPr="009A01E1">
        <w:rPr>
          <w:rFonts w:asciiTheme="majorHAnsi" w:hAnsiTheme="majorHAnsi"/>
          <w:b/>
          <w:bCs/>
        </w:rPr>
        <w:t>Affordable access</w:t>
      </w:r>
    </w:p>
    <w:p w:rsidR="009A01E1" w:rsidRPr="009A01E1" w:rsidRDefault="009A01E1" w:rsidP="009A01E1">
      <w:pPr>
        <w:pStyle w:val="Default"/>
        <w:spacing w:before="120"/>
        <w:rPr>
          <w:rFonts w:asciiTheme="majorHAnsi" w:hAnsiTheme="majorHAnsi"/>
        </w:rPr>
      </w:pPr>
      <w:r w:rsidRPr="009A01E1">
        <w:rPr>
          <w:rFonts w:asciiTheme="majorHAnsi" w:hAnsiTheme="majorHAnsi"/>
        </w:rPr>
        <w:t>It is not disputed that the price of connecting to the Internet for users in developing countries is, in relative terms, much higher than the price for users in developed countries</w:t>
      </w:r>
      <w:r w:rsidRPr="009A01E1">
        <w:rPr>
          <w:rStyle w:val="FootnoteReference"/>
          <w:rFonts w:asciiTheme="majorHAnsi" w:hAnsiTheme="majorHAnsi"/>
        </w:rPr>
        <w:footnoteReference w:id="3"/>
      </w:r>
      <w:r w:rsidRPr="009A01E1">
        <w:rPr>
          <w:rFonts w:asciiTheme="majorHAnsi" w:hAnsiTheme="majorHAnsi"/>
        </w:rPr>
        <w:t>, whereas that is generally not the case for mobile telephony.  It is not disputed that the relatively higher prices for Internet access are undesirable in terms of promoting access to Internet and should be addressed</w:t>
      </w:r>
      <w:r w:rsidRPr="009A01E1">
        <w:rPr>
          <w:rStyle w:val="FootnoteReference"/>
          <w:rFonts w:asciiTheme="majorHAnsi" w:hAnsiTheme="majorHAnsi"/>
        </w:rPr>
        <w:footnoteReference w:id="4"/>
      </w:r>
      <w:r w:rsidRPr="009A01E1">
        <w:rPr>
          <w:rFonts w:asciiTheme="majorHAnsi" w:hAnsiTheme="majorHAnsi"/>
        </w:rPr>
        <w:t xml:space="preserve"> even if there is no agreement on how best to address the issue (but see Supplement 2 of Recommendation ITU-T D.50).</w:t>
      </w:r>
    </w:p>
    <w:p w:rsidR="009A01E1" w:rsidRPr="009A01E1" w:rsidRDefault="009A01E1" w:rsidP="009A01E1">
      <w:pPr>
        <w:pStyle w:val="Default"/>
        <w:spacing w:before="120"/>
        <w:rPr>
          <w:rFonts w:asciiTheme="majorHAnsi" w:hAnsiTheme="majorHAnsi"/>
        </w:rPr>
      </w:pPr>
      <w:r w:rsidRPr="009A01E1">
        <w:rPr>
          <w:rFonts w:asciiTheme="majorHAnsi" w:hAnsiTheme="majorHAnsi"/>
        </w:rPr>
        <w:t>Thus it appears appropriate to clarify that the expression “affordable access” must be understood as affordable in relative terms, that is, with respect to a user’s purchasing power.</w:t>
      </w:r>
    </w:p>
    <w:p w:rsidR="009A01E1" w:rsidRPr="009A01E1" w:rsidRDefault="009A01E1" w:rsidP="009A01E1">
      <w:pPr>
        <w:pStyle w:val="Default"/>
        <w:spacing w:before="120"/>
        <w:rPr>
          <w:rFonts w:asciiTheme="majorHAnsi" w:hAnsiTheme="majorHAnsi"/>
        </w:rPr>
      </w:pPr>
      <w:r w:rsidRPr="009A01E1">
        <w:rPr>
          <w:rFonts w:asciiTheme="majorHAnsi" w:hAnsiTheme="majorHAnsi"/>
        </w:rPr>
        <w:t>Therefore, the following is proposed.</w:t>
      </w:r>
    </w:p>
    <w:p w:rsidR="009A01E1" w:rsidRPr="009A01E1" w:rsidRDefault="009A01E1" w:rsidP="009A01E1">
      <w:pPr>
        <w:pStyle w:val="Default"/>
        <w:keepNext/>
        <w:spacing w:before="120"/>
        <w:rPr>
          <w:rFonts w:asciiTheme="majorHAnsi" w:hAnsiTheme="majorHAnsi"/>
        </w:rPr>
      </w:pPr>
      <w:r w:rsidRPr="009A01E1">
        <w:rPr>
          <w:rFonts w:asciiTheme="majorHAnsi" w:hAnsiTheme="majorHAnsi"/>
          <w:lang w:val="en-GB"/>
        </w:rPr>
        <w:t>Action Line C2 (document V2-C-ALC2</w:t>
      </w:r>
      <w:proofErr w:type="gramStart"/>
      <w:r w:rsidRPr="009A01E1">
        <w:rPr>
          <w:rFonts w:asciiTheme="majorHAnsi" w:hAnsiTheme="majorHAnsi"/>
          <w:lang w:val="en-GB"/>
        </w:rPr>
        <w:t>)</w:t>
      </w:r>
      <w:proofErr w:type="gramEnd"/>
      <w:r w:rsidRPr="009A01E1">
        <w:rPr>
          <w:rFonts w:asciiTheme="majorHAnsi" w:hAnsiTheme="majorHAnsi"/>
          <w:lang w:val="en-GB"/>
        </w:rPr>
        <w:br/>
        <w:t xml:space="preserve">Agree last sentence of </w:t>
      </w:r>
      <w:r w:rsidRPr="009A01E1">
        <w:rPr>
          <w:rFonts w:asciiTheme="majorHAnsi" w:hAnsiTheme="majorHAnsi"/>
        </w:rPr>
        <w:t>2(h)</w:t>
      </w:r>
    </w:p>
    <w:p w:rsidR="009A01E1" w:rsidRPr="009A01E1" w:rsidRDefault="009A01E1" w:rsidP="009A01E1">
      <w:pPr>
        <w:pStyle w:val="Default"/>
        <w:spacing w:before="120"/>
        <w:ind w:left="720"/>
        <w:rPr>
          <w:rFonts w:asciiTheme="majorHAnsi" w:hAnsiTheme="majorHAnsi"/>
        </w:rPr>
      </w:pPr>
      <w:r w:rsidRPr="009A01E1">
        <w:rPr>
          <w:rFonts w:asciiTheme="majorHAnsi" w:hAnsiTheme="majorHAnsi"/>
        </w:rPr>
        <w:t>2(h) … Affordable should be understood in relation to the user’s disposable income</w:t>
      </w:r>
      <w:r w:rsidRPr="009A01E1">
        <w:rPr>
          <w:rFonts w:asciiTheme="majorHAnsi" w:hAnsiTheme="majorHAnsi"/>
          <w:lang w:eastAsia="zh-CN"/>
        </w:rPr>
        <w:t>.</w:t>
      </w:r>
    </w:p>
    <w:p w:rsidR="009A01E1" w:rsidRPr="009A01E1" w:rsidRDefault="009A01E1" w:rsidP="009A01E1">
      <w:pPr>
        <w:pStyle w:val="Default"/>
        <w:keepNext/>
        <w:spacing w:before="120"/>
        <w:rPr>
          <w:rFonts w:asciiTheme="majorHAnsi" w:hAnsiTheme="majorHAnsi"/>
          <w:b/>
          <w:bCs/>
        </w:rPr>
      </w:pPr>
      <w:r w:rsidRPr="009A01E1">
        <w:rPr>
          <w:rFonts w:asciiTheme="majorHAnsi" w:hAnsiTheme="majorHAnsi"/>
          <w:b/>
          <w:bCs/>
        </w:rPr>
        <w:t>Enabling competition</w:t>
      </w:r>
    </w:p>
    <w:p w:rsidR="009A01E1" w:rsidRPr="009A01E1" w:rsidRDefault="009A01E1" w:rsidP="009A01E1">
      <w:pPr>
        <w:pStyle w:val="Default"/>
        <w:spacing w:before="120"/>
        <w:rPr>
          <w:rFonts w:asciiTheme="majorHAnsi" w:hAnsiTheme="majorHAnsi"/>
          <w:color w:val="auto"/>
          <w:lang w:val="en"/>
        </w:rPr>
      </w:pPr>
      <w:r w:rsidRPr="009A01E1">
        <w:rPr>
          <w:rFonts w:asciiTheme="majorHAnsi" w:hAnsiTheme="majorHAnsi"/>
          <w:color w:val="auto"/>
          <w:lang w:val="en"/>
        </w:rPr>
        <w:t>It is generally agreed that competition is the best way to ensure delivery of innovative, fairly-priced products and services to consumers.  However, some take the view that liberalization may not result in competition in certain markets, because they are natural monopolies or because of externalities.</w:t>
      </w:r>
      <w:r w:rsidRPr="009A01E1">
        <w:rPr>
          <w:rStyle w:val="FootnoteReference"/>
          <w:rFonts w:asciiTheme="majorHAnsi" w:hAnsiTheme="majorHAnsi"/>
          <w:color w:val="auto"/>
          <w:lang w:val="en"/>
        </w:rPr>
        <w:footnoteReference w:id="5"/>
      </w:r>
      <w:r w:rsidRPr="009A01E1">
        <w:rPr>
          <w:rFonts w:asciiTheme="majorHAnsi" w:hAnsiTheme="majorHAnsi"/>
          <w:color w:val="auto"/>
          <w:lang w:val="en"/>
        </w:rPr>
        <w:t xml:space="preserve">  Thus, the language in the WSIS+10 outputs must reflect a balanced view and not be such that it could be understood to be prescribing a fully hands-off approach.</w:t>
      </w:r>
    </w:p>
    <w:p w:rsidR="009A01E1" w:rsidRPr="009A01E1" w:rsidRDefault="009A01E1" w:rsidP="009A01E1">
      <w:pPr>
        <w:pStyle w:val="Default"/>
        <w:keepNext/>
        <w:spacing w:before="120"/>
        <w:rPr>
          <w:rFonts w:asciiTheme="majorHAnsi" w:hAnsiTheme="majorHAnsi"/>
          <w:color w:val="auto"/>
          <w:lang w:val="en"/>
        </w:rPr>
      </w:pPr>
      <w:r w:rsidRPr="009A01E1">
        <w:rPr>
          <w:rFonts w:asciiTheme="majorHAnsi" w:hAnsiTheme="majorHAnsi"/>
          <w:color w:val="auto"/>
          <w:lang w:val="en"/>
        </w:rPr>
        <w:lastRenderedPageBreak/>
        <w:t>Therefore, the following is proposed.</w:t>
      </w:r>
    </w:p>
    <w:p w:rsidR="009A01E1" w:rsidRPr="009A01E1" w:rsidRDefault="009A01E1" w:rsidP="009A01E1">
      <w:pPr>
        <w:pStyle w:val="Default"/>
        <w:keepNext/>
        <w:spacing w:before="120"/>
        <w:rPr>
          <w:rFonts w:asciiTheme="majorHAnsi" w:hAnsiTheme="majorHAnsi"/>
          <w:color w:val="auto"/>
          <w:lang w:val="en"/>
        </w:rPr>
      </w:pPr>
      <w:r w:rsidRPr="009A01E1">
        <w:rPr>
          <w:rFonts w:asciiTheme="majorHAnsi" w:hAnsiTheme="majorHAnsi"/>
          <w:color w:val="auto"/>
          <w:lang w:val="en"/>
        </w:rPr>
        <w:t>Action Line C6 (document V2-C-ALC6</w:t>
      </w:r>
      <w:proofErr w:type="gramStart"/>
      <w:r w:rsidRPr="009A01E1">
        <w:rPr>
          <w:rFonts w:asciiTheme="majorHAnsi" w:hAnsiTheme="majorHAnsi"/>
          <w:color w:val="auto"/>
          <w:lang w:val="en"/>
        </w:rPr>
        <w:t>)</w:t>
      </w:r>
      <w:proofErr w:type="gramEnd"/>
      <w:r w:rsidRPr="009A01E1">
        <w:rPr>
          <w:rFonts w:asciiTheme="majorHAnsi" w:hAnsiTheme="majorHAnsi"/>
          <w:color w:val="auto"/>
          <w:lang w:val="en"/>
        </w:rPr>
        <w:br/>
        <w:t>Agree the following for 2(g)</w:t>
      </w:r>
    </w:p>
    <w:p w:rsidR="009A01E1" w:rsidRPr="009A01E1" w:rsidRDefault="009A01E1" w:rsidP="009A01E1">
      <w:pPr>
        <w:pStyle w:val="Default"/>
        <w:spacing w:before="120"/>
        <w:ind w:left="720"/>
        <w:rPr>
          <w:rFonts w:asciiTheme="majorHAnsi" w:hAnsiTheme="majorHAnsi"/>
        </w:rPr>
      </w:pPr>
      <w:r w:rsidRPr="009A01E1">
        <w:rPr>
          <w:rFonts w:asciiTheme="majorHAnsi" w:hAnsiTheme="majorHAnsi"/>
        </w:rPr>
        <w:t xml:space="preserve">2 (g) Strive to </w:t>
      </w:r>
      <w:r w:rsidRPr="009A01E1">
        <w:rPr>
          <w:rFonts w:asciiTheme="majorHAnsi" w:hAnsiTheme="majorHAnsi"/>
          <w:color w:val="auto"/>
          <w:lang w:val="en"/>
        </w:rPr>
        <w:t xml:space="preserve">ensure effective and fair competition, which may require appropriate regulation to promote innovation and entrepreneurship, in particular to </w:t>
      </w:r>
      <w:r w:rsidRPr="009A01E1">
        <w:rPr>
          <w:rFonts w:asciiTheme="majorHAnsi" w:hAnsiTheme="majorHAnsi"/>
        </w:rPr>
        <w:t xml:space="preserve">facilitate entry in broadband markets and enable open access to essential facilities. </w:t>
      </w:r>
    </w:p>
    <w:p w:rsidR="009A01E1" w:rsidRPr="009A01E1" w:rsidRDefault="009A01E1" w:rsidP="009A01E1">
      <w:pPr>
        <w:pStyle w:val="Default"/>
        <w:keepNext/>
        <w:spacing w:before="120"/>
        <w:rPr>
          <w:rFonts w:asciiTheme="majorHAnsi" w:hAnsiTheme="majorHAnsi"/>
          <w:b/>
          <w:bCs/>
        </w:rPr>
      </w:pPr>
      <w:r w:rsidRPr="009A01E1">
        <w:rPr>
          <w:rFonts w:asciiTheme="majorHAnsi" w:hAnsiTheme="majorHAnsi"/>
          <w:b/>
          <w:bCs/>
        </w:rPr>
        <w:t>International cooperation on security matters</w:t>
      </w:r>
    </w:p>
    <w:p w:rsidR="009A01E1" w:rsidRPr="009A01E1" w:rsidRDefault="009A01E1" w:rsidP="009A01E1">
      <w:pPr>
        <w:pStyle w:val="Default"/>
        <w:spacing w:before="120"/>
        <w:rPr>
          <w:rFonts w:asciiTheme="majorHAnsi" w:hAnsiTheme="majorHAnsi"/>
          <w:color w:val="auto"/>
          <w:lang w:val="en"/>
        </w:rPr>
      </w:pPr>
      <w:r w:rsidRPr="009A01E1">
        <w:rPr>
          <w:rFonts w:asciiTheme="majorHAnsi" w:hAnsiTheme="majorHAnsi"/>
        </w:rPr>
        <w:t xml:space="preserve">On 7 October 2013, </w:t>
      </w:r>
      <w:r w:rsidRPr="009A01E1">
        <w:rPr>
          <w:rFonts w:asciiTheme="majorHAnsi" w:hAnsiTheme="majorHAnsi"/>
          <w:color w:val="auto"/>
          <w:lang w:val="en"/>
        </w:rPr>
        <w:t>the leaders of organizations that consider themselves responsible for coordination of the Internet technical infrastructure globally “expressed strong concern over the undermining of the trust and confidence of Internet users globally due to recent revelations of pervasive monitoring and surveillance”.</w:t>
      </w:r>
      <w:r w:rsidRPr="009A01E1">
        <w:rPr>
          <w:rStyle w:val="FootnoteReference"/>
          <w:rFonts w:asciiTheme="majorHAnsi" w:hAnsiTheme="majorHAnsi"/>
          <w:color w:val="auto"/>
          <w:lang w:val="en"/>
        </w:rPr>
        <w:footnoteReference w:id="6"/>
      </w:r>
    </w:p>
    <w:p w:rsidR="009A01E1" w:rsidRPr="009A01E1" w:rsidRDefault="009A01E1" w:rsidP="009A01E1">
      <w:pPr>
        <w:pStyle w:val="Default"/>
        <w:spacing w:before="120"/>
        <w:rPr>
          <w:rFonts w:asciiTheme="majorHAnsi" w:hAnsiTheme="majorHAnsi"/>
        </w:rPr>
      </w:pPr>
      <w:r w:rsidRPr="009A01E1">
        <w:rPr>
          <w:rFonts w:asciiTheme="majorHAnsi" w:hAnsiTheme="majorHAnsi"/>
          <w:color w:val="auto"/>
          <w:lang w:val="en"/>
        </w:rPr>
        <w:t>Indeed concerns regarding such pervasive monitoring and surveillance have been raised by various parties in various forums.</w:t>
      </w:r>
      <w:r w:rsidRPr="009A01E1">
        <w:rPr>
          <w:rStyle w:val="FootnoteReference"/>
          <w:rFonts w:asciiTheme="majorHAnsi" w:hAnsiTheme="majorHAnsi"/>
          <w:color w:val="auto"/>
          <w:lang w:val="en"/>
        </w:rPr>
        <w:footnoteReference w:id="7"/>
      </w:r>
      <w:r w:rsidRPr="009A01E1">
        <w:rPr>
          <w:rFonts w:asciiTheme="majorHAnsi" w:hAnsiTheme="majorHAnsi"/>
          <w:color w:val="auto"/>
          <w:lang w:val="en"/>
        </w:rPr>
        <w:t xml:space="preserve">  It is generally agreed that there should be cooperation to improve the security of telecommunications networks in general and the Internet in particular.  </w:t>
      </w:r>
      <w:r w:rsidRPr="009A01E1">
        <w:rPr>
          <w:rFonts w:asciiTheme="majorHAnsi" w:hAnsiTheme="majorHAnsi"/>
        </w:rPr>
        <w:t xml:space="preserve">Indeed, WTSA Resolution 50 on cybersecurity, which was agreed by consensus, states in its </w:t>
      </w:r>
      <w:r w:rsidRPr="009A01E1">
        <w:rPr>
          <w:rFonts w:asciiTheme="majorHAnsi" w:hAnsiTheme="majorHAnsi"/>
          <w:i/>
          <w:iCs/>
        </w:rPr>
        <w:t>noting</w:t>
      </w:r>
      <w:r w:rsidRPr="009A01E1">
        <w:rPr>
          <w:rFonts w:asciiTheme="majorHAnsi" w:hAnsiTheme="majorHAnsi"/>
        </w:rPr>
        <w:t xml:space="preserve"> (b) “that there is a need for national, regional and international strategies and initiatives to be harmonized to the extent possible, in order to avoid duplication and to optimize the use of resources”; and, in its operative part, it invites Member States “to cooperate and participate actively in the implementation of this resolution and the associated actions.”  </w:t>
      </w:r>
    </w:p>
    <w:p w:rsidR="009A01E1" w:rsidRPr="009A01E1" w:rsidRDefault="009A01E1" w:rsidP="009A01E1">
      <w:pPr>
        <w:pStyle w:val="Default"/>
        <w:spacing w:before="120"/>
        <w:rPr>
          <w:rFonts w:asciiTheme="majorHAnsi" w:hAnsiTheme="majorHAnsi"/>
        </w:rPr>
      </w:pPr>
      <w:r w:rsidRPr="009A01E1">
        <w:rPr>
          <w:rFonts w:asciiTheme="majorHAnsi" w:hAnsiTheme="majorHAnsi"/>
        </w:rPr>
        <w:t>Further, the Results of the Seoul Conference on Cyberspace 2013 also stress the need for international cooperation regarding security matters.</w:t>
      </w:r>
      <w:r w:rsidRPr="009A01E1">
        <w:rPr>
          <w:rStyle w:val="FootnoteReference"/>
          <w:rFonts w:asciiTheme="majorHAnsi" w:hAnsiTheme="majorHAnsi"/>
        </w:rPr>
        <w:footnoteReference w:id="8"/>
      </w:r>
      <w:r w:rsidRPr="009A01E1">
        <w:rPr>
          <w:rFonts w:asciiTheme="majorHAnsi" w:hAnsiTheme="majorHAnsi"/>
        </w:rPr>
        <w:t xml:space="preserve">  Cooperation is even called for in a recent report to the US President.</w:t>
      </w:r>
      <w:r w:rsidRPr="009A01E1">
        <w:rPr>
          <w:rStyle w:val="FootnoteReference"/>
          <w:rFonts w:asciiTheme="majorHAnsi" w:hAnsiTheme="majorHAnsi"/>
        </w:rPr>
        <w:footnoteReference w:id="9"/>
      </w:r>
    </w:p>
    <w:p w:rsidR="009A01E1" w:rsidRPr="009A01E1" w:rsidRDefault="009A01E1" w:rsidP="009A01E1">
      <w:pPr>
        <w:pStyle w:val="Default"/>
        <w:spacing w:before="120"/>
        <w:rPr>
          <w:rFonts w:asciiTheme="majorHAnsi" w:hAnsiTheme="majorHAnsi"/>
        </w:rPr>
      </w:pPr>
      <w:r w:rsidRPr="009A01E1">
        <w:rPr>
          <w:rFonts w:asciiTheme="majorHAnsi" w:hAnsiTheme="majorHAnsi"/>
        </w:rPr>
        <w:t>Such cooperation, based on recognition of human rights and the need for due process when conducting surveillance, could lead to more effective and efficient surveillance that the current unilateral practices.  This should be articulated in the WSIS+10 outputs.</w:t>
      </w:r>
    </w:p>
    <w:p w:rsidR="009A01E1" w:rsidRPr="009A01E1" w:rsidRDefault="009A01E1" w:rsidP="009A01E1">
      <w:pPr>
        <w:pStyle w:val="Default"/>
        <w:spacing w:before="120"/>
        <w:rPr>
          <w:rFonts w:asciiTheme="majorHAnsi" w:hAnsiTheme="majorHAnsi"/>
        </w:rPr>
      </w:pPr>
      <w:r w:rsidRPr="009A01E1">
        <w:rPr>
          <w:rFonts w:asciiTheme="majorHAnsi" w:hAnsiTheme="majorHAnsi"/>
        </w:rPr>
        <w:t xml:space="preserve">A previous proposal suggested adding a reference to the 2012 International Telecommunications Regulations (ITRs) and to the principles found at </w:t>
      </w:r>
      <w:r w:rsidRPr="009A01E1">
        <w:rPr>
          <w:rFonts w:asciiTheme="majorHAnsi" w:hAnsiTheme="majorHAnsi"/>
        </w:rPr>
        <w:lastRenderedPageBreak/>
        <w:t>&lt;necessaryandproportionate.org&gt;.  The reference to the ITRs was criticized on the grounds that not all ITU Member States signed the ITRs.  This is correct, but it must be noted that all but two of the non-signatories indicated that they were studying the text of the ITRs and would subsequently decide whether or not to accede to them.  And it must be noted that a careful legal analysis of the 2012 ITRs indicates that there are no legal reasons not to accede to them.</w:t>
      </w:r>
      <w:r w:rsidRPr="009A01E1">
        <w:rPr>
          <w:rStyle w:val="FootnoteReference"/>
          <w:rFonts w:asciiTheme="majorHAnsi" w:hAnsiTheme="majorHAnsi"/>
        </w:rPr>
        <w:footnoteReference w:id="10"/>
      </w:r>
      <w:r w:rsidRPr="009A01E1">
        <w:rPr>
          <w:rFonts w:asciiTheme="majorHAnsi" w:hAnsiTheme="majorHAnsi"/>
        </w:rPr>
        <w:t xml:space="preserve">  Further, very few countries indicated that the security provision (article 6 of the 2012 ITRs, provisionally numbered 5A in the Final Acts of WCIT-12) would prevent them from acceding to the ITRs, other provisions were more controversial.</w:t>
      </w:r>
      <w:r w:rsidRPr="009A01E1">
        <w:rPr>
          <w:rStyle w:val="FootnoteReference"/>
          <w:rFonts w:asciiTheme="majorHAnsi" w:hAnsiTheme="majorHAnsi"/>
        </w:rPr>
        <w:footnoteReference w:id="11"/>
      </w:r>
      <w:r w:rsidRPr="009A01E1">
        <w:rPr>
          <w:rFonts w:asciiTheme="majorHAnsi" w:hAnsiTheme="majorHAnsi"/>
        </w:rPr>
        <w:t xml:space="preserve">  So the text of this article should be good basis on which to agree on cooperation.</w:t>
      </w:r>
    </w:p>
    <w:p w:rsidR="009A01E1" w:rsidRPr="009A01E1" w:rsidRDefault="009A01E1" w:rsidP="009A01E1">
      <w:pPr>
        <w:pStyle w:val="Default"/>
        <w:spacing w:before="120"/>
        <w:rPr>
          <w:rFonts w:asciiTheme="majorHAnsi" w:hAnsiTheme="majorHAnsi"/>
        </w:rPr>
      </w:pPr>
      <w:r w:rsidRPr="009A01E1">
        <w:rPr>
          <w:rFonts w:asciiTheme="majorHAnsi" w:hAnsiTheme="majorHAnsi"/>
        </w:rPr>
        <w:t>The reference to &lt;necessaryandproportionate.org&gt; was criticized on the grounds that a formal declaration should not include a URL.  This could be rectified by copying the 13 principles enunciated on that web site into an Annex or Appendix.</w:t>
      </w:r>
    </w:p>
    <w:p w:rsidR="009A01E1" w:rsidRPr="009A01E1" w:rsidRDefault="009A01E1" w:rsidP="009A01E1">
      <w:pPr>
        <w:pStyle w:val="Default"/>
        <w:spacing w:before="120"/>
        <w:rPr>
          <w:rFonts w:asciiTheme="majorHAnsi" w:hAnsiTheme="majorHAnsi"/>
        </w:rPr>
      </w:pPr>
      <w:r w:rsidRPr="009A01E1">
        <w:rPr>
          <w:rFonts w:asciiTheme="majorHAnsi" w:hAnsiTheme="majorHAnsi"/>
        </w:rPr>
        <w:t>Alternatively, the references to the ITRs and to &lt;necessaryandproportionate.org&gt; can be removed and replaced by appropriate text.  This was proposed at the second physical meeting.</w:t>
      </w:r>
    </w:p>
    <w:p w:rsidR="009A01E1" w:rsidRPr="009A01E1" w:rsidRDefault="009A01E1" w:rsidP="009A01E1">
      <w:pPr>
        <w:pStyle w:val="Default"/>
        <w:spacing w:before="120"/>
        <w:rPr>
          <w:rFonts w:asciiTheme="majorHAnsi" w:hAnsiTheme="majorHAnsi"/>
        </w:rPr>
      </w:pPr>
      <w:r w:rsidRPr="009A01E1">
        <w:rPr>
          <w:rFonts w:asciiTheme="majorHAnsi" w:hAnsiTheme="majorHAnsi"/>
          <w:lang w:val="en"/>
        </w:rPr>
        <w:t>Action Line C5 (document V2-C-ALC5</w:t>
      </w:r>
      <w:proofErr w:type="gramStart"/>
      <w:r w:rsidRPr="009A01E1">
        <w:rPr>
          <w:rFonts w:asciiTheme="majorHAnsi" w:hAnsiTheme="majorHAnsi"/>
          <w:lang w:val="en"/>
        </w:rPr>
        <w:t>)</w:t>
      </w:r>
      <w:proofErr w:type="gramEnd"/>
      <w:r w:rsidRPr="009A01E1">
        <w:rPr>
          <w:rFonts w:asciiTheme="majorHAnsi" w:hAnsiTheme="majorHAnsi"/>
          <w:lang w:val="en"/>
        </w:rPr>
        <w:br/>
        <w:t>Agree</w:t>
      </w:r>
      <w:r w:rsidRPr="009A01E1">
        <w:rPr>
          <w:rFonts w:asciiTheme="majorHAnsi" w:hAnsiTheme="majorHAnsi"/>
        </w:rPr>
        <w:t xml:space="preserve"> 2(l)</w:t>
      </w:r>
    </w:p>
    <w:p w:rsidR="009A01E1" w:rsidRPr="009A01E1" w:rsidRDefault="009A01E1" w:rsidP="009A01E1">
      <w:pPr>
        <w:rPr>
          <w:rFonts w:asciiTheme="majorHAnsi" w:hAnsiTheme="majorHAnsi"/>
          <w:sz w:val="24"/>
          <w:szCs w:val="24"/>
        </w:rPr>
      </w:pPr>
      <w:r w:rsidRPr="009A01E1">
        <w:rPr>
          <w:rFonts w:asciiTheme="majorHAnsi" w:hAnsiTheme="majorHAnsi"/>
          <w:sz w:val="24"/>
          <w:szCs w:val="24"/>
        </w:rPr>
        <w:t xml:space="preserve">2(l) </w:t>
      </w:r>
      <w:proofErr w:type="gramStart"/>
      <w:r w:rsidRPr="009A01E1">
        <w:rPr>
          <w:rFonts w:asciiTheme="majorHAnsi" w:hAnsiTheme="majorHAnsi"/>
          <w:sz w:val="24"/>
          <w:szCs w:val="24"/>
        </w:rPr>
        <w:t>Recognize</w:t>
      </w:r>
      <w:proofErr w:type="gramEnd"/>
      <w:r w:rsidRPr="009A01E1">
        <w:rPr>
          <w:rFonts w:asciiTheme="majorHAnsi" w:hAnsiTheme="majorHAnsi"/>
          <w:sz w:val="24"/>
          <w:szCs w:val="24"/>
        </w:rPr>
        <w:t xml:space="preserve"> the need for </w:t>
      </w:r>
      <w:r w:rsidRPr="009A01E1">
        <w:rPr>
          <w:rFonts w:asciiTheme="majorHAnsi" w:hAnsiTheme="majorHAnsi"/>
          <w:b/>
          <w:bCs/>
          <w:sz w:val="24"/>
          <w:szCs w:val="24"/>
        </w:rPr>
        <w:t xml:space="preserve">international agreement to cooperate on security matters </w:t>
      </w:r>
      <w:r w:rsidRPr="009A01E1">
        <w:rPr>
          <w:rFonts w:asciiTheme="majorHAnsi" w:hAnsiTheme="majorHAnsi"/>
          <w:sz w:val="24"/>
          <w:szCs w:val="24"/>
        </w:rPr>
        <w:t xml:space="preserve">and to avoid unilateral assertions of national laws and to avoid extra-territorial actions. In this context, states shall individually and collectively </w:t>
      </w:r>
      <w:proofErr w:type="spellStart"/>
      <w:r w:rsidRPr="009A01E1">
        <w:rPr>
          <w:rFonts w:asciiTheme="majorHAnsi" w:hAnsiTheme="majorHAnsi"/>
          <w:sz w:val="24"/>
          <w:szCs w:val="24"/>
        </w:rPr>
        <w:t>endeavour</w:t>
      </w:r>
      <w:proofErr w:type="spellEnd"/>
      <w:r w:rsidRPr="009A01E1">
        <w:rPr>
          <w:rFonts w:asciiTheme="majorHAnsi" w:hAnsiTheme="majorHAnsi"/>
          <w:sz w:val="24"/>
          <w:szCs w:val="24"/>
        </w:rPr>
        <w:t xml:space="preserve"> to ensure the security and robustness of international telecommunication networks in a manner that respects and upholds their human rights obligations, and they should consider best practices regarding human rights, in particular those put forward by civil society organizations</w:t>
      </w:r>
    </w:p>
    <w:sectPr w:rsidR="009A01E1" w:rsidRPr="009A01E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3E02" w:rsidRDefault="00C23E02" w:rsidP="009A01E1">
      <w:pPr>
        <w:spacing w:after="0" w:line="240" w:lineRule="auto"/>
      </w:pPr>
      <w:r>
        <w:separator/>
      </w:r>
    </w:p>
  </w:endnote>
  <w:endnote w:type="continuationSeparator" w:id="0">
    <w:p w:rsidR="00C23E02" w:rsidRDefault="00C23E02" w:rsidP="009A01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618" w:rsidRDefault="00C0661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618" w:rsidRDefault="00C0661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618" w:rsidRDefault="00C0661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3E02" w:rsidRDefault="00C23E02" w:rsidP="009A01E1">
      <w:pPr>
        <w:spacing w:after="0" w:line="240" w:lineRule="auto"/>
      </w:pPr>
      <w:r>
        <w:separator/>
      </w:r>
    </w:p>
  </w:footnote>
  <w:footnote w:type="continuationSeparator" w:id="0">
    <w:p w:rsidR="00C23E02" w:rsidRDefault="00C23E02" w:rsidP="009A01E1">
      <w:pPr>
        <w:spacing w:after="0" w:line="240" w:lineRule="auto"/>
      </w:pPr>
      <w:r>
        <w:continuationSeparator/>
      </w:r>
    </w:p>
  </w:footnote>
  <w:footnote w:id="1">
    <w:p w:rsidR="009A01E1" w:rsidRDefault="009A01E1" w:rsidP="009A01E1">
      <w:pPr>
        <w:pStyle w:val="FootnoteText"/>
        <w:rPr>
          <w:lang w:val="en-US"/>
        </w:rPr>
      </w:pPr>
      <w:r>
        <w:rPr>
          <w:rStyle w:val="FootnoteReference"/>
        </w:rPr>
        <w:footnoteRef/>
      </w:r>
      <w:r>
        <w:rPr>
          <w:lang w:val="en-US"/>
        </w:rPr>
        <w:t xml:space="preserve"> ISOC et al., “Montevideo statement on the Future of Internet Cooperation”, ICANN (7 October 2013) &lt;</w:t>
      </w:r>
      <w:hyperlink r:id="rId1" w:history="1">
        <w:r>
          <w:rPr>
            <w:rStyle w:val="Hyperlink"/>
            <w:lang w:val="en-US"/>
          </w:rPr>
          <w:t>http://www.icann.org/en/news/announcements/announcement-07oct13-en.htm</w:t>
        </w:r>
      </w:hyperlink>
      <w:r>
        <w:rPr>
          <w:lang w:val="en-US"/>
        </w:rPr>
        <w:t>&gt;</w:t>
      </w:r>
    </w:p>
  </w:footnote>
  <w:footnote w:id="2">
    <w:p w:rsidR="009A01E1" w:rsidRDefault="009A01E1" w:rsidP="009A01E1">
      <w:pPr>
        <w:pStyle w:val="FootnoteText"/>
      </w:pPr>
      <w:r>
        <w:rPr>
          <w:rStyle w:val="FootnoteReference"/>
        </w:rPr>
        <w:footnoteRef/>
      </w:r>
      <w:r>
        <w:t xml:space="preserve"> </w:t>
      </w:r>
      <w:r>
        <w:rPr>
          <w:rStyle w:val="FootnoteReference"/>
        </w:rPr>
        <w:footnoteRef/>
      </w:r>
      <w:r>
        <w:t xml:space="preserve"> G20 Leaders, “Tax Annex to the St. Petersburg Declaration”, G20 (6 September 2013), Annex, Action 1 &lt;http://www.g20.org/news/20130906/782776427.html&gt;</w:t>
      </w:r>
    </w:p>
  </w:footnote>
  <w:footnote w:id="3">
    <w:p w:rsidR="009A01E1" w:rsidRDefault="009A01E1" w:rsidP="009A01E1">
      <w:pPr>
        <w:pStyle w:val="FootnoteText"/>
        <w:rPr>
          <w:lang w:val="en-US"/>
        </w:rPr>
      </w:pPr>
      <w:r>
        <w:rPr>
          <w:rStyle w:val="FootnoteReference"/>
        </w:rPr>
        <w:footnoteRef/>
      </w:r>
      <w:r>
        <w:rPr>
          <w:lang w:val="en-US"/>
        </w:rPr>
        <w:t xml:space="preserve"> See </w:t>
      </w:r>
      <w:r>
        <w:rPr>
          <w:i/>
          <w:iCs/>
        </w:rPr>
        <w:t>Study on International Internet Connectivity in Sub-Saharan Africa</w:t>
      </w:r>
      <w:r>
        <w:t xml:space="preserve">, ITU, March 2013 &lt;http://www.itu.int/en/ITU-D/Regulatory-Market/Documents/IIC_Africa_Final-en.pdf&gt;; </w:t>
      </w:r>
      <w:r>
        <w:rPr>
          <w:i/>
          <w:iCs/>
        </w:rPr>
        <w:t>Study on International Internet Connectivity: Focus on Internet Connectivity in Latin America and the Caribbean</w:t>
      </w:r>
      <w:r>
        <w:t>, ITU, March 2013 &lt;http://www.itu.int/en/ITU-D/Regulatory-Market/Documents/International%20Internet%20Connectivity%20in%20Latin%20America%20and%20the%20Caribbean.pdf&gt;;</w:t>
      </w:r>
      <w:r>
        <w:rPr>
          <w:lang w:val="en-US"/>
        </w:rPr>
        <w:t xml:space="preserve"> and </w:t>
      </w:r>
      <w:r>
        <w:rPr>
          <w:szCs w:val="18"/>
          <w:lang w:val="en-US"/>
        </w:rPr>
        <w:t>Supplement 2 to Recommendation ITU-T D.50, section 2.</w:t>
      </w:r>
    </w:p>
  </w:footnote>
  <w:footnote w:id="4">
    <w:p w:rsidR="009A01E1" w:rsidRDefault="009A01E1" w:rsidP="009A01E1">
      <w:pPr>
        <w:pStyle w:val="FootnoteText"/>
      </w:pPr>
      <w:r>
        <w:rPr>
          <w:rStyle w:val="FootnoteReference"/>
        </w:rPr>
        <w:footnoteRef/>
      </w:r>
      <w:r>
        <w:t xml:space="preserve"> </w:t>
      </w:r>
      <w:proofErr w:type="gramStart"/>
      <w:r>
        <w:t xml:space="preserve">Report of the </w:t>
      </w:r>
      <w:r>
        <w:rPr>
          <w:szCs w:val="18"/>
        </w:rPr>
        <w:t>ITU Secretary-General to WTPF-13, para.</w:t>
      </w:r>
      <w:proofErr w:type="gramEnd"/>
      <w:r>
        <w:rPr>
          <w:szCs w:val="18"/>
        </w:rPr>
        <w:t xml:space="preserve"> 2.3.3(</w:t>
      </w:r>
      <w:proofErr w:type="gramStart"/>
      <w:r>
        <w:rPr>
          <w:szCs w:val="18"/>
        </w:rPr>
        <w:t>a</w:t>
      </w:r>
      <w:proofErr w:type="gramEnd"/>
      <w:r>
        <w:rPr>
          <w:szCs w:val="18"/>
        </w:rPr>
        <w:t>), (d), (e) and (f).</w:t>
      </w:r>
    </w:p>
  </w:footnote>
  <w:footnote w:id="5">
    <w:p w:rsidR="009A01E1" w:rsidRDefault="009A01E1" w:rsidP="009A01E1">
      <w:pPr>
        <w:pStyle w:val="FootnoteText"/>
      </w:pPr>
      <w:r>
        <w:rPr>
          <w:rStyle w:val="FootnoteReference"/>
        </w:rPr>
        <w:footnoteRef/>
      </w:r>
      <w:r>
        <w:t xml:space="preserve"> See for example Susan Crawford, </w:t>
      </w:r>
      <w:r>
        <w:rPr>
          <w:rStyle w:val="Emphasis"/>
          <w:color w:val="333333"/>
          <w:szCs w:val="21"/>
          <w:lang w:val="en-US"/>
        </w:rPr>
        <w:t xml:space="preserve">Captive Audience: The Telecom Industry and Monopoly in the New </w:t>
      </w:r>
      <w:proofErr w:type="spellStart"/>
      <w:r>
        <w:rPr>
          <w:rStyle w:val="Emphasis"/>
          <w:color w:val="333333"/>
          <w:szCs w:val="21"/>
          <w:lang w:val="en-US"/>
        </w:rPr>
        <w:t>Guilded</w:t>
      </w:r>
      <w:proofErr w:type="spellEnd"/>
      <w:r>
        <w:rPr>
          <w:rStyle w:val="Emphasis"/>
          <w:color w:val="333333"/>
          <w:szCs w:val="21"/>
          <w:lang w:val="en-US"/>
        </w:rPr>
        <w:t xml:space="preserve"> Age, </w:t>
      </w:r>
      <w:r>
        <w:rPr>
          <w:rStyle w:val="Emphasis"/>
          <w:i w:val="0"/>
          <w:iCs w:val="0"/>
          <w:color w:val="333333"/>
          <w:szCs w:val="21"/>
          <w:lang w:val="en-US"/>
        </w:rPr>
        <w:t>2013</w:t>
      </w:r>
      <w:proofErr w:type="gramStart"/>
      <w:r>
        <w:rPr>
          <w:rStyle w:val="Emphasis"/>
          <w:i w:val="0"/>
          <w:iCs w:val="0"/>
          <w:color w:val="333333"/>
          <w:szCs w:val="21"/>
          <w:lang w:val="en-US"/>
        </w:rPr>
        <w:t>,Yale</w:t>
      </w:r>
      <w:proofErr w:type="gramEnd"/>
      <w:r>
        <w:rPr>
          <w:rStyle w:val="Emphasis"/>
          <w:i w:val="0"/>
          <w:iCs w:val="0"/>
          <w:color w:val="333333"/>
          <w:szCs w:val="21"/>
          <w:lang w:val="en-US"/>
        </w:rPr>
        <w:t xml:space="preserve"> University Press; Robert W. </w:t>
      </w:r>
      <w:proofErr w:type="spellStart"/>
      <w:r>
        <w:rPr>
          <w:szCs w:val="14"/>
        </w:rPr>
        <w:t>McChesney</w:t>
      </w:r>
      <w:proofErr w:type="spellEnd"/>
      <w:r>
        <w:rPr>
          <w:szCs w:val="14"/>
        </w:rPr>
        <w:t xml:space="preserve">. </w:t>
      </w:r>
      <w:r>
        <w:rPr>
          <w:i/>
          <w:iCs/>
          <w:szCs w:val="14"/>
        </w:rPr>
        <w:t xml:space="preserve">Digital Disconnect: How Capitalism is </w:t>
      </w:r>
      <w:proofErr w:type="gramStart"/>
      <w:r>
        <w:rPr>
          <w:i/>
          <w:iCs/>
          <w:szCs w:val="14"/>
        </w:rPr>
        <w:t>Turning</w:t>
      </w:r>
      <w:proofErr w:type="gramEnd"/>
      <w:r>
        <w:rPr>
          <w:i/>
          <w:iCs/>
          <w:szCs w:val="14"/>
        </w:rPr>
        <w:t xml:space="preserve"> the Internet Against Democracy</w:t>
      </w:r>
      <w:r>
        <w:rPr>
          <w:szCs w:val="14"/>
        </w:rPr>
        <w:t>, 2013, The New Press.</w:t>
      </w:r>
    </w:p>
  </w:footnote>
  <w:footnote w:id="6">
    <w:p w:rsidR="009A01E1" w:rsidRDefault="009A01E1" w:rsidP="009A01E1">
      <w:pPr>
        <w:pStyle w:val="FootnoteText"/>
        <w:rPr>
          <w:lang w:val="en-US"/>
        </w:rPr>
      </w:pPr>
      <w:r>
        <w:rPr>
          <w:rStyle w:val="FootnoteReference"/>
        </w:rPr>
        <w:footnoteRef/>
      </w:r>
      <w:r>
        <w:rPr>
          <w:lang w:val="en-US"/>
        </w:rPr>
        <w:t xml:space="preserve"> ISOC et al., “Montevideo statement on the Future of Internet Cooperation”, ICANN (7 October 2013) &lt;</w:t>
      </w:r>
      <w:hyperlink r:id="rId2" w:history="1">
        <w:r>
          <w:rPr>
            <w:rStyle w:val="Hyperlink"/>
            <w:lang w:val="en-US"/>
          </w:rPr>
          <w:t>http://www.icann.org/en/news/announcements/announcement-07oct13-en.htm</w:t>
        </w:r>
      </w:hyperlink>
      <w:r>
        <w:rPr>
          <w:lang w:val="en-US"/>
        </w:rPr>
        <w:t>&gt;</w:t>
      </w:r>
    </w:p>
  </w:footnote>
  <w:footnote w:id="7">
    <w:p w:rsidR="009A01E1" w:rsidRDefault="009A01E1" w:rsidP="009A01E1">
      <w:pPr>
        <w:pStyle w:val="FootnoteText"/>
      </w:pPr>
      <w:r>
        <w:rPr>
          <w:rStyle w:val="FootnoteReference"/>
        </w:rPr>
        <w:footnoteRef/>
      </w:r>
      <w:r>
        <w:t xml:space="preserve"> See for example statements by Brazilian Foreign Minister Antonio </w:t>
      </w:r>
      <w:proofErr w:type="spellStart"/>
      <w:r>
        <w:t>Patriota</w:t>
      </w:r>
      <w:proofErr w:type="spellEnd"/>
      <w:r>
        <w:t xml:space="preserve"> as quoted by David Bosco, “Brazil Wants UN to Help Safeguard Internet”, </w:t>
      </w:r>
      <w:r>
        <w:rPr>
          <w:i/>
          <w:iCs/>
        </w:rPr>
        <w:t>Foreign Policy</w:t>
      </w:r>
      <w:r>
        <w:t xml:space="preserve"> (8 July 2013) &lt;</w:t>
      </w:r>
      <w:hyperlink r:id="rId3" w:history="1">
        <w:r>
          <w:rPr>
            <w:rStyle w:val="Hyperlink"/>
          </w:rPr>
          <w:t>http://bosco.foreignpolicy.com/posts/2013/07/08/brazil_wants_un_to_help_safeguard_internet</w:t>
        </w:r>
      </w:hyperlink>
      <w:r>
        <w:t xml:space="preserve">&gt; accessed 28 July 2013; John </w:t>
      </w:r>
      <w:proofErr w:type="spellStart"/>
      <w:r>
        <w:t>Naughton</w:t>
      </w:r>
      <w:proofErr w:type="spellEnd"/>
      <w:r>
        <w:t xml:space="preserve">, “Edward Snowden’s not the story.  The fate of the Internet is”, </w:t>
      </w:r>
      <w:r>
        <w:rPr>
          <w:i/>
          <w:iCs/>
        </w:rPr>
        <w:t>The Guardian</w:t>
      </w:r>
      <w:r>
        <w:t xml:space="preserve"> (28 July 2013) &lt;</w:t>
      </w:r>
      <w:hyperlink r:id="rId4" w:history="1">
        <w:r>
          <w:rPr>
            <w:rStyle w:val="Hyperlink"/>
          </w:rPr>
          <w:t>http://www.theguardian.com/technology/2013/jul/28/edward-snowden-death-of-internet</w:t>
        </w:r>
      </w:hyperlink>
      <w:r>
        <w:t xml:space="preserve">&gt; accessed 31 July 2013; </w:t>
      </w:r>
      <w:proofErr w:type="spellStart"/>
      <w:r>
        <w:t>Evgeny</w:t>
      </w:r>
      <w:proofErr w:type="spellEnd"/>
      <w:r>
        <w:t xml:space="preserve"> </w:t>
      </w:r>
      <w:proofErr w:type="spellStart"/>
      <w:r>
        <w:t>Morozov</w:t>
      </w:r>
      <w:proofErr w:type="spellEnd"/>
      <w:r>
        <w:t xml:space="preserve">, “The Price of Hypocrisy”, </w:t>
      </w:r>
      <w:proofErr w:type="spellStart"/>
      <w:r>
        <w:rPr>
          <w:i/>
          <w:iCs/>
        </w:rPr>
        <w:t>Frankfuter</w:t>
      </w:r>
      <w:proofErr w:type="spellEnd"/>
      <w:r>
        <w:rPr>
          <w:i/>
          <w:iCs/>
        </w:rPr>
        <w:t xml:space="preserve"> </w:t>
      </w:r>
      <w:proofErr w:type="spellStart"/>
      <w:r>
        <w:rPr>
          <w:i/>
          <w:iCs/>
        </w:rPr>
        <w:t>Allgemeine</w:t>
      </w:r>
      <w:proofErr w:type="spellEnd"/>
      <w:r>
        <w:t xml:space="preserve"> (24 July 2013) &lt;</w:t>
      </w:r>
      <w:hyperlink r:id="rId5" w:history="1">
        <w:r>
          <w:rPr>
            <w:rStyle w:val="Hyperlink"/>
          </w:rPr>
          <w:t>http://www.faz.net/aktuell/feuilleton/debatten/ueberwachung/information-consumerism-the-price-of-hypocrisy-12292374.html</w:t>
        </w:r>
      </w:hyperlink>
      <w:r>
        <w:t xml:space="preserve">&gt; accessed 31 July 2013; </w:t>
      </w:r>
      <w:proofErr w:type="spellStart"/>
      <w:r>
        <w:t>Dilma</w:t>
      </w:r>
      <w:proofErr w:type="spellEnd"/>
      <w:r>
        <w:t xml:space="preserve"> </w:t>
      </w:r>
      <w:proofErr w:type="spellStart"/>
      <w:r>
        <w:t>Rousseff</w:t>
      </w:r>
      <w:proofErr w:type="spellEnd"/>
      <w:r>
        <w:t>, President of Brazil, “Statement at the Opening of the General Debate of the 68</w:t>
      </w:r>
      <w:r>
        <w:rPr>
          <w:vertAlign w:val="superscript"/>
        </w:rPr>
        <w:t>th</w:t>
      </w:r>
      <w:r>
        <w:t xml:space="preserve"> Session of the United Nations General Assembly”, United Nations (24 September 2013) &lt;</w:t>
      </w:r>
      <w:hyperlink r:id="rId6" w:history="1">
        <w:r>
          <w:rPr>
            <w:rStyle w:val="Hyperlink"/>
          </w:rPr>
          <w:t>http://gadebate.un.org/sites/default/files/gastatements/68/BR_en.pdf</w:t>
        </w:r>
      </w:hyperlink>
      <w:r>
        <w:t>&gt; accessed 4 October 2013.</w:t>
      </w:r>
    </w:p>
  </w:footnote>
  <w:footnote w:id="8">
    <w:p w:rsidR="009A01E1" w:rsidRDefault="009A01E1" w:rsidP="009A01E1">
      <w:pPr>
        <w:pStyle w:val="FootnoteText"/>
      </w:pPr>
      <w:r>
        <w:rPr>
          <w:rStyle w:val="FootnoteReference"/>
        </w:rPr>
        <w:footnoteRef/>
      </w:r>
      <w:r>
        <w:t xml:space="preserve"> &lt;</w:t>
      </w:r>
      <w:hyperlink r:id="rId7" w:history="1">
        <w:r>
          <w:rPr>
            <w:rStyle w:val="Hyperlink"/>
          </w:rPr>
          <w:t>http://www.seoulcyber2013.kr/en/media/View.do?media_id=2242</w:t>
        </w:r>
      </w:hyperlink>
      <w:r>
        <w:t>&gt; accessed 30 October 2013.</w:t>
      </w:r>
    </w:p>
  </w:footnote>
  <w:footnote w:id="9">
    <w:p w:rsidR="009A01E1" w:rsidRDefault="009A01E1" w:rsidP="009A01E1">
      <w:pPr>
        <w:pStyle w:val="FootnoteText"/>
      </w:pPr>
      <w:r>
        <w:rPr>
          <w:rStyle w:val="FootnoteReference"/>
        </w:rPr>
        <w:footnoteRef/>
      </w:r>
      <w:r>
        <w:rPr>
          <w:lang w:val="en-US"/>
        </w:rPr>
        <w:t xml:space="preserve"> Richard A. Clarke et al., </w:t>
      </w:r>
      <w:r>
        <w:rPr>
          <w:i/>
          <w:iCs/>
          <w:lang w:val="en-US"/>
        </w:rPr>
        <w:t>Liberty and Security in a Changing World: Report and Recommendations of the President’s Review Group on Intelligence and Communication Technologies</w:t>
      </w:r>
      <w:r>
        <w:rPr>
          <w:lang w:val="en-US"/>
        </w:rPr>
        <w:t>, US White House, 12 December 2013 &lt;</w:t>
      </w:r>
      <w:hyperlink r:id="rId8" w:history="1">
        <w:r>
          <w:rPr>
            <w:rStyle w:val="Hyperlink"/>
            <w:lang w:val="en-US"/>
          </w:rPr>
          <w:t>http://www.whitehouse.gov/sites/default/files/docs/2013-12-12_rg_final_report.pdf</w:t>
        </w:r>
      </w:hyperlink>
      <w:r>
        <w:rPr>
          <w:lang w:val="en-US"/>
        </w:rPr>
        <w:t xml:space="preserve">&gt;, </w:t>
      </w:r>
      <w:r>
        <w:rPr>
          <w:lang w:val="en"/>
        </w:rPr>
        <w:t>pp. 223-224.</w:t>
      </w:r>
    </w:p>
  </w:footnote>
  <w:footnote w:id="10">
    <w:p w:rsidR="009A01E1" w:rsidRDefault="009A01E1" w:rsidP="009A01E1">
      <w:pPr>
        <w:pStyle w:val="FootnoteText"/>
      </w:pPr>
      <w:r>
        <w:rPr>
          <w:rStyle w:val="FootnoteReference"/>
        </w:rPr>
        <w:footnoteRef/>
      </w:r>
      <w:r>
        <w:t xml:space="preserve"> Richard Hill, “WCIT: Failure or success, impasse or way forward?</w:t>
      </w:r>
      <w:proofErr w:type="gramStart"/>
      <w:r>
        <w:t>”,</w:t>
      </w:r>
      <w:proofErr w:type="gramEnd"/>
      <w:r>
        <w:t xml:space="preserve"> </w:t>
      </w:r>
      <w:r>
        <w:rPr>
          <w:i/>
          <w:iCs/>
        </w:rPr>
        <w:t>International Journal of Law and Information Technology</w:t>
      </w:r>
      <w:r>
        <w:t>, Vol. 21 No. 3, p. 313, DOI:10.1093/</w:t>
      </w:r>
      <w:proofErr w:type="spellStart"/>
      <w:r>
        <w:t>ijlit</w:t>
      </w:r>
      <w:proofErr w:type="spellEnd"/>
      <w:r>
        <w:t>/eat008 &lt;http://ijlit.oxfordjournals.org/content/21/3/313&gt;.</w:t>
      </w:r>
    </w:p>
  </w:footnote>
  <w:footnote w:id="11">
    <w:p w:rsidR="009A01E1" w:rsidRDefault="009A01E1" w:rsidP="009A01E1">
      <w:pPr>
        <w:autoSpaceDE w:val="0"/>
        <w:autoSpaceDN w:val="0"/>
        <w:adjustRightInd w:val="0"/>
        <w:rPr>
          <w:sz w:val="20"/>
        </w:rPr>
      </w:pPr>
      <w:r>
        <w:rPr>
          <w:rStyle w:val="FootnoteReference"/>
        </w:rPr>
        <w:footnoteRef/>
      </w:r>
      <w:r>
        <w:t xml:space="preserve"> </w:t>
      </w:r>
      <w:r>
        <w:rPr>
          <w:sz w:val="20"/>
        </w:rPr>
        <w:t xml:space="preserve">Richard Hill, </w:t>
      </w:r>
      <w:r>
        <w:rPr>
          <w:i/>
          <w:iCs/>
          <w:sz w:val="20"/>
        </w:rPr>
        <w:t>The New International Telecommunications Regulations and the Internet: A Commentary and Legislative History</w:t>
      </w:r>
      <w:r>
        <w:rPr>
          <w:sz w:val="20"/>
        </w:rPr>
        <w:t xml:space="preserve">, 2013, </w:t>
      </w:r>
      <w:r>
        <w:rPr>
          <w:sz w:val="20"/>
          <w:szCs w:val="20"/>
        </w:rPr>
        <w:t xml:space="preserve">Schulthess/Springer, ISBN 978-3-642-45415-8 </w:t>
      </w:r>
      <w:r>
        <w:rPr>
          <w:sz w:val="20"/>
        </w:rPr>
        <w:t>&lt;</w:t>
      </w:r>
      <w:hyperlink r:id="rId9" w:history="1">
        <w:r>
          <w:rPr>
            <w:rStyle w:val="Hyperlink"/>
            <w:sz w:val="20"/>
          </w:rPr>
          <w:t>http://www.springer.com/law/international/book/978-3-642-45415-8</w:t>
        </w:r>
      </w:hyperlink>
      <w:r>
        <w:rPr>
          <w:sz w:val="20"/>
        </w:rPr>
        <w:t>&gt;.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618" w:rsidRDefault="00C0661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618" w:rsidRDefault="00C0661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6618" w:rsidRDefault="00C0661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01E1"/>
    <w:rsid w:val="00001528"/>
    <w:rsid w:val="00003E30"/>
    <w:rsid w:val="000071E5"/>
    <w:rsid w:val="00007A6C"/>
    <w:rsid w:val="0001788A"/>
    <w:rsid w:val="00021FF6"/>
    <w:rsid w:val="00024392"/>
    <w:rsid w:val="0003174C"/>
    <w:rsid w:val="000326F1"/>
    <w:rsid w:val="00034153"/>
    <w:rsid w:val="000414C1"/>
    <w:rsid w:val="00045617"/>
    <w:rsid w:val="000505C3"/>
    <w:rsid w:val="00055346"/>
    <w:rsid w:val="00057902"/>
    <w:rsid w:val="00063E3E"/>
    <w:rsid w:val="00063FA4"/>
    <w:rsid w:val="000653F6"/>
    <w:rsid w:val="0007065C"/>
    <w:rsid w:val="0007562B"/>
    <w:rsid w:val="00076837"/>
    <w:rsid w:val="0008084A"/>
    <w:rsid w:val="00082523"/>
    <w:rsid w:val="00084634"/>
    <w:rsid w:val="0009259C"/>
    <w:rsid w:val="00093FFA"/>
    <w:rsid w:val="00094447"/>
    <w:rsid w:val="0009565B"/>
    <w:rsid w:val="00095BE4"/>
    <w:rsid w:val="000A1418"/>
    <w:rsid w:val="000A16B0"/>
    <w:rsid w:val="000A37DB"/>
    <w:rsid w:val="000A3A19"/>
    <w:rsid w:val="000A4BA9"/>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760B"/>
    <w:rsid w:val="00107CE4"/>
    <w:rsid w:val="001111BF"/>
    <w:rsid w:val="001128D2"/>
    <w:rsid w:val="001134A5"/>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609E"/>
    <w:rsid w:val="001E2054"/>
    <w:rsid w:val="001E39F0"/>
    <w:rsid w:val="001E400A"/>
    <w:rsid w:val="001E5A6B"/>
    <w:rsid w:val="001E6DDB"/>
    <w:rsid w:val="001F30A0"/>
    <w:rsid w:val="001F4581"/>
    <w:rsid w:val="001F63C8"/>
    <w:rsid w:val="00201EB3"/>
    <w:rsid w:val="00201EE9"/>
    <w:rsid w:val="002037EE"/>
    <w:rsid w:val="002053B3"/>
    <w:rsid w:val="0021085C"/>
    <w:rsid w:val="00210C51"/>
    <w:rsid w:val="0021175E"/>
    <w:rsid w:val="00213E2E"/>
    <w:rsid w:val="00216A0F"/>
    <w:rsid w:val="00216AE7"/>
    <w:rsid w:val="00217951"/>
    <w:rsid w:val="002223B3"/>
    <w:rsid w:val="002260E5"/>
    <w:rsid w:val="00230E67"/>
    <w:rsid w:val="00232876"/>
    <w:rsid w:val="00232A91"/>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7614"/>
    <w:rsid w:val="00265C81"/>
    <w:rsid w:val="00266B3F"/>
    <w:rsid w:val="00270BD3"/>
    <w:rsid w:val="00272B9F"/>
    <w:rsid w:val="00274B41"/>
    <w:rsid w:val="00274CA4"/>
    <w:rsid w:val="00277D19"/>
    <w:rsid w:val="0028125B"/>
    <w:rsid w:val="00295446"/>
    <w:rsid w:val="002A0581"/>
    <w:rsid w:val="002A07E9"/>
    <w:rsid w:val="002A3315"/>
    <w:rsid w:val="002B2DE8"/>
    <w:rsid w:val="002B54B1"/>
    <w:rsid w:val="002B5E5F"/>
    <w:rsid w:val="002B664C"/>
    <w:rsid w:val="002C0F13"/>
    <w:rsid w:val="002C2DDF"/>
    <w:rsid w:val="002C5CA3"/>
    <w:rsid w:val="002D3058"/>
    <w:rsid w:val="002F0F7F"/>
    <w:rsid w:val="002F1DC9"/>
    <w:rsid w:val="002F5573"/>
    <w:rsid w:val="00307787"/>
    <w:rsid w:val="00311D5E"/>
    <w:rsid w:val="003125C3"/>
    <w:rsid w:val="00313C7A"/>
    <w:rsid w:val="00315C91"/>
    <w:rsid w:val="00316ABE"/>
    <w:rsid w:val="0032003D"/>
    <w:rsid w:val="0032069A"/>
    <w:rsid w:val="00320E74"/>
    <w:rsid w:val="003215F2"/>
    <w:rsid w:val="003222D1"/>
    <w:rsid w:val="0032247A"/>
    <w:rsid w:val="00326FDC"/>
    <w:rsid w:val="00327620"/>
    <w:rsid w:val="00334D7D"/>
    <w:rsid w:val="00336243"/>
    <w:rsid w:val="003377AD"/>
    <w:rsid w:val="0034546A"/>
    <w:rsid w:val="00354FF2"/>
    <w:rsid w:val="00355C02"/>
    <w:rsid w:val="00360008"/>
    <w:rsid w:val="00361C21"/>
    <w:rsid w:val="00362800"/>
    <w:rsid w:val="003650A7"/>
    <w:rsid w:val="003749E0"/>
    <w:rsid w:val="00374D03"/>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5F15"/>
    <w:rsid w:val="003C5C46"/>
    <w:rsid w:val="003D0A3C"/>
    <w:rsid w:val="003D28F2"/>
    <w:rsid w:val="003D4A11"/>
    <w:rsid w:val="003D4DA3"/>
    <w:rsid w:val="003E1EEA"/>
    <w:rsid w:val="003E4202"/>
    <w:rsid w:val="003E4BF5"/>
    <w:rsid w:val="003F005B"/>
    <w:rsid w:val="003F039A"/>
    <w:rsid w:val="003F6224"/>
    <w:rsid w:val="004021ED"/>
    <w:rsid w:val="00404C9D"/>
    <w:rsid w:val="004052B3"/>
    <w:rsid w:val="00405DD5"/>
    <w:rsid w:val="00412D5B"/>
    <w:rsid w:val="004139FF"/>
    <w:rsid w:val="0042036A"/>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51F0"/>
    <w:rsid w:val="0045213E"/>
    <w:rsid w:val="00453F12"/>
    <w:rsid w:val="004541F2"/>
    <w:rsid w:val="00455318"/>
    <w:rsid w:val="00457694"/>
    <w:rsid w:val="00461B9C"/>
    <w:rsid w:val="00463E02"/>
    <w:rsid w:val="00464B3D"/>
    <w:rsid w:val="0046733F"/>
    <w:rsid w:val="00467943"/>
    <w:rsid w:val="004700FA"/>
    <w:rsid w:val="00470845"/>
    <w:rsid w:val="004723A4"/>
    <w:rsid w:val="00472657"/>
    <w:rsid w:val="0047367D"/>
    <w:rsid w:val="00473F70"/>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5D3"/>
    <w:rsid w:val="004B479A"/>
    <w:rsid w:val="004B7657"/>
    <w:rsid w:val="004C38ED"/>
    <w:rsid w:val="004C7BDD"/>
    <w:rsid w:val="004D03C4"/>
    <w:rsid w:val="004D043D"/>
    <w:rsid w:val="004D07C0"/>
    <w:rsid w:val="004D3A32"/>
    <w:rsid w:val="004E19BE"/>
    <w:rsid w:val="004E394A"/>
    <w:rsid w:val="004E3B41"/>
    <w:rsid w:val="004E7051"/>
    <w:rsid w:val="004E7691"/>
    <w:rsid w:val="004F10F6"/>
    <w:rsid w:val="004F2CB3"/>
    <w:rsid w:val="004F3F37"/>
    <w:rsid w:val="004F4672"/>
    <w:rsid w:val="004F647F"/>
    <w:rsid w:val="0050069D"/>
    <w:rsid w:val="00501B5C"/>
    <w:rsid w:val="00502727"/>
    <w:rsid w:val="00503E8F"/>
    <w:rsid w:val="0050617B"/>
    <w:rsid w:val="005128E7"/>
    <w:rsid w:val="005148CB"/>
    <w:rsid w:val="0051588D"/>
    <w:rsid w:val="00520960"/>
    <w:rsid w:val="00527A32"/>
    <w:rsid w:val="00532DCE"/>
    <w:rsid w:val="005379D6"/>
    <w:rsid w:val="005401DF"/>
    <w:rsid w:val="005426BA"/>
    <w:rsid w:val="005438C0"/>
    <w:rsid w:val="00544A45"/>
    <w:rsid w:val="00545EE5"/>
    <w:rsid w:val="00552900"/>
    <w:rsid w:val="005607DA"/>
    <w:rsid w:val="00564281"/>
    <w:rsid w:val="00565496"/>
    <w:rsid w:val="00565A21"/>
    <w:rsid w:val="005671F7"/>
    <w:rsid w:val="0056737F"/>
    <w:rsid w:val="00571A3C"/>
    <w:rsid w:val="00572693"/>
    <w:rsid w:val="005737D0"/>
    <w:rsid w:val="00573AD2"/>
    <w:rsid w:val="00576A04"/>
    <w:rsid w:val="005822B8"/>
    <w:rsid w:val="00594663"/>
    <w:rsid w:val="0059590E"/>
    <w:rsid w:val="00595FF5"/>
    <w:rsid w:val="00596231"/>
    <w:rsid w:val="00597524"/>
    <w:rsid w:val="00597C30"/>
    <w:rsid w:val="005A29E3"/>
    <w:rsid w:val="005A32E9"/>
    <w:rsid w:val="005A389C"/>
    <w:rsid w:val="005A3C43"/>
    <w:rsid w:val="005A464B"/>
    <w:rsid w:val="005A55A7"/>
    <w:rsid w:val="005A5A11"/>
    <w:rsid w:val="005A5F45"/>
    <w:rsid w:val="005B32FF"/>
    <w:rsid w:val="005B353D"/>
    <w:rsid w:val="005B7753"/>
    <w:rsid w:val="005C0005"/>
    <w:rsid w:val="005C4F3B"/>
    <w:rsid w:val="005D0088"/>
    <w:rsid w:val="005D027C"/>
    <w:rsid w:val="005D0C81"/>
    <w:rsid w:val="005D456C"/>
    <w:rsid w:val="005D5B9E"/>
    <w:rsid w:val="005E216A"/>
    <w:rsid w:val="005E224E"/>
    <w:rsid w:val="005E3A69"/>
    <w:rsid w:val="005E3E7A"/>
    <w:rsid w:val="005E5AB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6126"/>
    <w:rsid w:val="00610656"/>
    <w:rsid w:val="00611568"/>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3D1B"/>
    <w:rsid w:val="006457F4"/>
    <w:rsid w:val="00646DF1"/>
    <w:rsid w:val="00647341"/>
    <w:rsid w:val="0065589B"/>
    <w:rsid w:val="006562FD"/>
    <w:rsid w:val="006575C8"/>
    <w:rsid w:val="0066045D"/>
    <w:rsid w:val="0066056E"/>
    <w:rsid w:val="00665FBF"/>
    <w:rsid w:val="006661B7"/>
    <w:rsid w:val="00666FB8"/>
    <w:rsid w:val="006722DF"/>
    <w:rsid w:val="006764E7"/>
    <w:rsid w:val="00680425"/>
    <w:rsid w:val="00684A21"/>
    <w:rsid w:val="00686E5D"/>
    <w:rsid w:val="006909B7"/>
    <w:rsid w:val="006959F3"/>
    <w:rsid w:val="006A550D"/>
    <w:rsid w:val="006A5C08"/>
    <w:rsid w:val="006B042F"/>
    <w:rsid w:val="006B20C9"/>
    <w:rsid w:val="006B43CB"/>
    <w:rsid w:val="006B4DB0"/>
    <w:rsid w:val="006B5DE5"/>
    <w:rsid w:val="006B7DE2"/>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55E4"/>
    <w:rsid w:val="00735395"/>
    <w:rsid w:val="00735887"/>
    <w:rsid w:val="00736E77"/>
    <w:rsid w:val="0074629E"/>
    <w:rsid w:val="0074749E"/>
    <w:rsid w:val="00747F74"/>
    <w:rsid w:val="0075589F"/>
    <w:rsid w:val="00760886"/>
    <w:rsid w:val="007649F5"/>
    <w:rsid w:val="00766639"/>
    <w:rsid w:val="007671A0"/>
    <w:rsid w:val="00770199"/>
    <w:rsid w:val="00770BBE"/>
    <w:rsid w:val="00771D0F"/>
    <w:rsid w:val="00772337"/>
    <w:rsid w:val="00774EF2"/>
    <w:rsid w:val="00776FF7"/>
    <w:rsid w:val="00786D17"/>
    <w:rsid w:val="00787242"/>
    <w:rsid w:val="00791481"/>
    <w:rsid w:val="00794501"/>
    <w:rsid w:val="007956FF"/>
    <w:rsid w:val="007965E1"/>
    <w:rsid w:val="007B1628"/>
    <w:rsid w:val="007B3123"/>
    <w:rsid w:val="007B5A21"/>
    <w:rsid w:val="007B5E70"/>
    <w:rsid w:val="007B6010"/>
    <w:rsid w:val="007C09B7"/>
    <w:rsid w:val="007C2E09"/>
    <w:rsid w:val="007C30C2"/>
    <w:rsid w:val="007C5102"/>
    <w:rsid w:val="007C7480"/>
    <w:rsid w:val="007D1733"/>
    <w:rsid w:val="007D3DB7"/>
    <w:rsid w:val="007D4FA0"/>
    <w:rsid w:val="007D694A"/>
    <w:rsid w:val="007D6B24"/>
    <w:rsid w:val="007E209E"/>
    <w:rsid w:val="007E4E5C"/>
    <w:rsid w:val="007E6B24"/>
    <w:rsid w:val="007F2181"/>
    <w:rsid w:val="007F5539"/>
    <w:rsid w:val="00802F5A"/>
    <w:rsid w:val="008040B4"/>
    <w:rsid w:val="00804F57"/>
    <w:rsid w:val="0081247F"/>
    <w:rsid w:val="00812DEE"/>
    <w:rsid w:val="00814058"/>
    <w:rsid w:val="00822BC1"/>
    <w:rsid w:val="00823182"/>
    <w:rsid w:val="00826070"/>
    <w:rsid w:val="008263C1"/>
    <w:rsid w:val="00833EA9"/>
    <w:rsid w:val="00834636"/>
    <w:rsid w:val="0084001D"/>
    <w:rsid w:val="0084576F"/>
    <w:rsid w:val="00851A46"/>
    <w:rsid w:val="00860D4D"/>
    <w:rsid w:val="00861FAA"/>
    <w:rsid w:val="00862DB9"/>
    <w:rsid w:val="008632C2"/>
    <w:rsid w:val="008638E2"/>
    <w:rsid w:val="0086415E"/>
    <w:rsid w:val="00864370"/>
    <w:rsid w:val="00864C81"/>
    <w:rsid w:val="008705AD"/>
    <w:rsid w:val="008712D5"/>
    <w:rsid w:val="00871707"/>
    <w:rsid w:val="00871EF0"/>
    <w:rsid w:val="00871FD0"/>
    <w:rsid w:val="00875F76"/>
    <w:rsid w:val="00877082"/>
    <w:rsid w:val="00884791"/>
    <w:rsid w:val="00886EBB"/>
    <w:rsid w:val="008878F4"/>
    <w:rsid w:val="00890027"/>
    <w:rsid w:val="008A0BFF"/>
    <w:rsid w:val="008A5780"/>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540"/>
    <w:rsid w:val="008F002A"/>
    <w:rsid w:val="008F0203"/>
    <w:rsid w:val="008F222A"/>
    <w:rsid w:val="008F607A"/>
    <w:rsid w:val="00900555"/>
    <w:rsid w:val="00901784"/>
    <w:rsid w:val="00901CC2"/>
    <w:rsid w:val="009039E3"/>
    <w:rsid w:val="00905643"/>
    <w:rsid w:val="009059B5"/>
    <w:rsid w:val="009059EF"/>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3BF9"/>
    <w:rsid w:val="00965CCF"/>
    <w:rsid w:val="0096650E"/>
    <w:rsid w:val="009707CE"/>
    <w:rsid w:val="00971446"/>
    <w:rsid w:val="0097257A"/>
    <w:rsid w:val="009759E4"/>
    <w:rsid w:val="00980782"/>
    <w:rsid w:val="00980BCC"/>
    <w:rsid w:val="00980ED4"/>
    <w:rsid w:val="00983BE9"/>
    <w:rsid w:val="00987D57"/>
    <w:rsid w:val="009904A7"/>
    <w:rsid w:val="0099328C"/>
    <w:rsid w:val="009A01E1"/>
    <w:rsid w:val="009A2F34"/>
    <w:rsid w:val="009A4C63"/>
    <w:rsid w:val="009A52DC"/>
    <w:rsid w:val="009B12DD"/>
    <w:rsid w:val="009B4604"/>
    <w:rsid w:val="009B6E11"/>
    <w:rsid w:val="009C1044"/>
    <w:rsid w:val="009C6D3D"/>
    <w:rsid w:val="009C718A"/>
    <w:rsid w:val="009C73BD"/>
    <w:rsid w:val="009C73E8"/>
    <w:rsid w:val="009C746B"/>
    <w:rsid w:val="009C7A31"/>
    <w:rsid w:val="009D3039"/>
    <w:rsid w:val="009D43E1"/>
    <w:rsid w:val="009D45A4"/>
    <w:rsid w:val="009D45D7"/>
    <w:rsid w:val="009D5C44"/>
    <w:rsid w:val="009E1361"/>
    <w:rsid w:val="009E2D38"/>
    <w:rsid w:val="009E348B"/>
    <w:rsid w:val="009E4076"/>
    <w:rsid w:val="009E79CA"/>
    <w:rsid w:val="009F4CF6"/>
    <w:rsid w:val="009F7B55"/>
    <w:rsid w:val="00A04EBC"/>
    <w:rsid w:val="00A10C78"/>
    <w:rsid w:val="00A126A0"/>
    <w:rsid w:val="00A16DB7"/>
    <w:rsid w:val="00A20454"/>
    <w:rsid w:val="00A21FD2"/>
    <w:rsid w:val="00A231E7"/>
    <w:rsid w:val="00A233B9"/>
    <w:rsid w:val="00A2425F"/>
    <w:rsid w:val="00A2550F"/>
    <w:rsid w:val="00A41E3D"/>
    <w:rsid w:val="00A464F5"/>
    <w:rsid w:val="00A556F1"/>
    <w:rsid w:val="00A558BD"/>
    <w:rsid w:val="00A57097"/>
    <w:rsid w:val="00A61E60"/>
    <w:rsid w:val="00A62091"/>
    <w:rsid w:val="00A63C7E"/>
    <w:rsid w:val="00A644D1"/>
    <w:rsid w:val="00A64CCB"/>
    <w:rsid w:val="00A70575"/>
    <w:rsid w:val="00A70A1A"/>
    <w:rsid w:val="00A71CFC"/>
    <w:rsid w:val="00A72CAB"/>
    <w:rsid w:val="00A7651C"/>
    <w:rsid w:val="00A82B91"/>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4EE7"/>
    <w:rsid w:val="00AB5055"/>
    <w:rsid w:val="00AC4498"/>
    <w:rsid w:val="00AC45F9"/>
    <w:rsid w:val="00AC57C1"/>
    <w:rsid w:val="00AD0D5B"/>
    <w:rsid w:val="00AD0DC6"/>
    <w:rsid w:val="00AD1397"/>
    <w:rsid w:val="00AD310E"/>
    <w:rsid w:val="00AE408D"/>
    <w:rsid w:val="00AE44BE"/>
    <w:rsid w:val="00AF232D"/>
    <w:rsid w:val="00AF3744"/>
    <w:rsid w:val="00AF5C69"/>
    <w:rsid w:val="00B03797"/>
    <w:rsid w:val="00B04D0A"/>
    <w:rsid w:val="00B056CB"/>
    <w:rsid w:val="00B05DFC"/>
    <w:rsid w:val="00B1137D"/>
    <w:rsid w:val="00B13965"/>
    <w:rsid w:val="00B15878"/>
    <w:rsid w:val="00B169C5"/>
    <w:rsid w:val="00B235EE"/>
    <w:rsid w:val="00B24956"/>
    <w:rsid w:val="00B26FEE"/>
    <w:rsid w:val="00B277AD"/>
    <w:rsid w:val="00B27BEA"/>
    <w:rsid w:val="00B32EFE"/>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4045"/>
    <w:rsid w:val="00BA6CAA"/>
    <w:rsid w:val="00BB56A0"/>
    <w:rsid w:val="00BB79E0"/>
    <w:rsid w:val="00BC08BC"/>
    <w:rsid w:val="00BC12CB"/>
    <w:rsid w:val="00BC3FB8"/>
    <w:rsid w:val="00BC4218"/>
    <w:rsid w:val="00BC76D7"/>
    <w:rsid w:val="00BD13A5"/>
    <w:rsid w:val="00BD176E"/>
    <w:rsid w:val="00BD1B7F"/>
    <w:rsid w:val="00BD5682"/>
    <w:rsid w:val="00BD5E35"/>
    <w:rsid w:val="00BE3B66"/>
    <w:rsid w:val="00BE3C79"/>
    <w:rsid w:val="00BE4063"/>
    <w:rsid w:val="00BE471F"/>
    <w:rsid w:val="00BF0AAF"/>
    <w:rsid w:val="00BF0D13"/>
    <w:rsid w:val="00BF16B1"/>
    <w:rsid w:val="00BF25EA"/>
    <w:rsid w:val="00BF7800"/>
    <w:rsid w:val="00C029B8"/>
    <w:rsid w:val="00C03362"/>
    <w:rsid w:val="00C043EF"/>
    <w:rsid w:val="00C06618"/>
    <w:rsid w:val="00C078C9"/>
    <w:rsid w:val="00C11BD8"/>
    <w:rsid w:val="00C1470A"/>
    <w:rsid w:val="00C15DC4"/>
    <w:rsid w:val="00C179C9"/>
    <w:rsid w:val="00C22936"/>
    <w:rsid w:val="00C23E02"/>
    <w:rsid w:val="00C3366F"/>
    <w:rsid w:val="00C36E22"/>
    <w:rsid w:val="00C42E01"/>
    <w:rsid w:val="00C4344B"/>
    <w:rsid w:val="00C4578C"/>
    <w:rsid w:val="00C45F6E"/>
    <w:rsid w:val="00C51BF3"/>
    <w:rsid w:val="00C54848"/>
    <w:rsid w:val="00C604D0"/>
    <w:rsid w:val="00C63160"/>
    <w:rsid w:val="00C64E43"/>
    <w:rsid w:val="00C6669E"/>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6ECC"/>
    <w:rsid w:val="00CE25F0"/>
    <w:rsid w:val="00CE5C4F"/>
    <w:rsid w:val="00CE7844"/>
    <w:rsid w:val="00CF2DBF"/>
    <w:rsid w:val="00CF491F"/>
    <w:rsid w:val="00D01E63"/>
    <w:rsid w:val="00D04133"/>
    <w:rsid w:val="00D17BB0"/>
    <w:rsid w:val="00D2133F"/>
    <w:rsid w:val="00D21C5D"/>
    <w:rsid w:val="00D227CE"/>
    <w:rsid w:val="00D23071"/>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7A90"/>
    <w:rsid w:val="00D63BDD"/>
    <w:rsid w:val="00D67D9F"/>
    <w:rsid w:val="00D76FC9"/>
    <w:rsid w:val="00D804C8"/>
    <w:rsid w:val="00D80714"/>
    <w:rsid w:val="00D82215"/>
    <w:rsid w:val="00D87D37"/>
    <w:rsid w:val="00D87DE2"/>
    <w:rsid w:val="00D915AE"/>
    <w:rsid w:val="00D9689F"/>
    <w:rsid w:val="00DA08EE"/>
    <w:rsid w:val="00DA0BA1"/>
    <w:rsid w:val="00DA130D"/>
    <w:rsid w:val="00DA4433"/>
    <w:rsid w:val="00DA6A99"/>
    <w:rsid w:val="00DA6D6E"/>
    <w:rsid w:val="00DB06EA"/>
    <w:rsid w:val="00DB3842"/>
    <w:rsid w:val="00DC1638"/>
    <w:rsid w:val="00DC2ECE"/>
    <w:rsid w:val="00DC3026"/>
    <w:rsid w:val="00DC3DB0"/>
    <w:rsid w:val="00DC4B74"/>
    <w:rsid w:val="00DC4BBE"/>
    <w:rsid w:val="00DD02FC"/>
    <w:rsid w:val="00DD09CB"/>
    <w:rsid w:val="00DD236F"/>
    <w:rsid w:val="00DD3E15"/>
    <w:rsid w:val="00DD46E3"/>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68DC"/>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6EA7"/>
    <w:rsid w:val="00E87C60"/>
    <w:rsid w:val="00E9532C"/>
    <w:rsid w:val="00E95694"/>
    <w:rsid w:val="00EA5E8E"/>
    <w:rsid w:val="00EB0B4E"/>
    <w:rsid w:val="00EB147D"/>
    <w:rsid w:val="00EB5583"/>
    <w:rsid w:val="00EB7C3A"/>
    <w:rsid w:val="00EC0E39"/>
    <w:rsid w:val="00EC3D18"/>
    <w:rsid w:val="00ED184D"/>
    <w:rsid w:val="00ED3883"/>
    <w:rsid w:val="00ED6307"/>
    <w:rsid w:val="00EE0AD9"/>
    <w:rsid w:val="00EE25C6"/>
    <w:rsid w:val="00EE46DB"/>
    <w:rsid w:val="00EF0E4C"/>
    <w:rsid w:val="00EF1AFE"/>
    <w:rsid w:val="00EF25C5"/>
    <w:rsid w:val="00F04A1D"/>
    <w:rsid w:val="00F10DA4"/>
    <w:rsid w:val="00F13669"/>
    <w:rsid w:val="00F13AB5"/>
    <w:rsid w:val="00F165E0"/>
    <w:rsid w:val="00F20A6D"/>
    <w:rsid w:val="00F20BF2"/>
    <w:rsid w:val="00F21E3F"/>
    <w:rsid w:val="00F23382"/>
    <w:rsid w:val="00F25C5C"/>
    <w:rsid w:val="00F30D02"/>
    <w:rsid w:val="00F3655E"/>
    <w:rsid w:val="00F43CA0"/>
    <w:rsid w:val="00F44A70"/>
    <w:rsid w:val="00F46097"/>
    <w:rsid w:val="00F474F6"/>
    <w:rsid w:val="00F538F3"/>
    <w:rsid w:val="00F541F0"/>
    <w:rsid w:val="00F541F3"/>
    <w:rsid w:val="00F62880"/>
    <w:rsid w:val="00F63B7C"/>
    <w:rsid w:val="00F63DC8"/>
    <w:rsid w:val="00F64446"/>
    <w:rsid w:val="00F6531D"/>
    <w:rsid w:val="00F659FD"/>
    <w:rsid w:val="00F65E96"/>
    <w:rsid w:val="00F70104"/>
    <w:rsid w:val="00F7588B"/>
    <w:rsid w:val="00F76BF0"/>
    <w:rsid w:val="00F777F2"/>
    <w:rsid w:val="00F805A3"/>
    <w:rsid w:val="00F809B3"/>
    <w:rsid w:val="00F83DE1"/>
    <w:rsid w:val="00F83F80"/>
    <w:rsid w:val="00F85EAB"/>
    <w:rsid w:val="00F86608"/>
    <w:rsid w:val="00F9094B"/>
    <w:rsid w:val="00F962B2"/>
    <w:rsid w:val="00F96445"/>
    <w:rsid w:val="00F97D16"/>
    <w:rsid w:val="00FA258F"/>
    <w:rsid w:val="00FA39C6"/>
    <w:rsid w:val="00FA62E5"/>
    <w:rsid w:val="00FB1079"/>
    <w:rsid w:val="00FB3123"/>
    <w:rsid w:val="00FB42C3"/>
    <w:rsid w:val="00FC0423"/>
    <w:rsid w:val="00FC1EBB"/>
    <w:rsid w:val="00FC381C"/>
    <w:rsid w:val="00FD1E26"/>
    <w:rsid w:val="00FD6E4A"/>
    <w:rsid w:val="00FD79AB"/>
    <w:rsid w:val="00FE1D1B"/>
    <w:rsid w:val="00FE3150"/>
    <w:rsid w:val="00FE575D"/>
    <w:rsid w:val="00FF1DAF"/>
    <w:rsid w:val="00FF1F68"/>
    <w:rsid w:val="00FF22D9"/>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A01E1"/>
    <w:pPr>
      <w:autoSpaceDE w:val="0"/>
      <w:autoSpaceDN w:val="0"/>
      <w:adjustRightInd w:val="0"/>
      <w:spacing w:after="0" w:line="240" w:lineRule="auto"/>
    </w:pPr>
    <w:rPr>
      <w:rFonts w:ascii="Cambria" w:eastAsia="Times New Roman" w:hAnsi="Cambria" w:cs="Times New Roman"/>
      <w:color w:val="000000"/>
      <w:sz w:val="24"/>
      <w:szCs w:val="24"/>
      <w:lang w:eastAsia="en-US"/>
    </w:rPr>
  </w:style>
  <w:style w:type="paragraph" w:styleId="FootnoteText">
    <w:name w:val="footnote text"/>
    <w:basedOn w:val="Normal"/>
    <w:link w:val="FootnoteTextChar"/>
    <w:semiHidden/>
    <w:rsid w:val="009A01E1"/>
    <w:pPr>
      <w:spacing w:after="0" w:line="240" w:lineRule="auto"/>
    </w:pPr>
    <w:rPr>
      <w:rFonts w:ascii="Times New Roman" w:eastAsia="Times New Roman" w:hAnsi="Times New Roman" w:cs="Times New Roman"/>
      <w:sz w:val="20"/>
      <w:szCs w:val="20"/>
      <w:lang w:val="en-GB" w:eastAsia="en-US"/>
    </w:rPr>
  </w:style>
  <w:style w:type="character" w:customStyle="1" w:styleId="FootnoteTextChar">
    <w:name w:val="Footnote Text Char"/>
    <w:basedOn w:val="DefaultParagraphFont"/>
    <w:link w:val="FootnoteText"/>
    <w:semiHidden/>
    <w:rsid w:val="009A01E1"/>
    <w:rPr>
      <w:rFonts w:ascii="Times New Roman" w:eastAsia="Times New Roman" w:hAnsi="Times New Roman" w:cs="Times New Roman"/>
      <w:sz w:val="20"/>
      <w:szCs w:val="20"/>
      <w:lang w:val="en-GB" w:eastAsia="en-US"/>
    </w:rPr>
  </w:style>
  <w:style w:type="character" w:styleId="FootnoteReference">
    <w:name w:val="footnote reference"/>
    <w:semiHidden/>
    <w:rsid w:val="009A01E1"/>
    <w:rPr>
      <w:vertAlign w:val="superscript"/>
    </w:rPr>
  </w:style>
  <w:style w:type="character" w:styleId="Hyperlink">
    <w:name w:val="Hyperlink"/>
    <w:semiHidden/>
    <w:rsid w:val="009A01E1"/>
    <w:rPr>
      <w:color w:val="0000FF"/>
      <w:u w:val="single"/>
    </w:rPr>
  </w:style>
  <w:style w:type="paragraph" w:styleId="BodyTextIndent">
    <w:name w:val="Body Text Indent"/>
    <w:basedOn w:val="Normal"/>
    <w:link w:val="BodyTextIndentChar"/>
    <w:semiHidden/>
    <w:rsid w:val="009A01E1"/>
    <w:pPr>
      <w:autoSpaceDE w:val="0"/>
      <w:autoSpaceDN w:val="0"/>
      <w:adjustRightInd w:val="0"/>
      <w:spacing w:after="0" w:line="240" w:lineRule="auto"/>
      <w:ind w:left="720"/>
    </w:pPr>
    <w:rPr>
      <w:rFonts w:ascii="Cambria" w:eastAsia="Times New Roman" w:hAnsi="Cambria" w:cs="Courier New"/>
      <w:szCs w:val="20"/>
      <w:lang w:eastAsia="en-US"/>
    </w:rPr>
  </w:style>
  <w:style w:type="character" w:customStyle="1" w:styleId="BodyTextIndentChar">
    <w:name w:val="Body Text Indent Char"/>
    <w:basedOn w:val="DefaultParagraphFont"/>
    <w:link w:val="BodyTextIndent"/>
    <w:semiHidden/>
    <w:rsid w:val="009A01E1"/>
    <w:rPr>
      <w:rFonts w:ascii="Cambria" w:eastAsia="Times New Roman" w:hAnsi="Cambria" w:cs="Courier New"/>
      <w:szCs w:val="20"/>
      <w:lang w:eastAsia="en-US"/>
    </w:rPr>
  </w:style>
  <w:style w:type="character" w:styleId="Emphasis">
    <w:name w:val="Emphasis"/>
    <w:qFormat/>
    <w:rsid w:val="009A01E1"/>
    <w:rPr>
      <w:i/>
      <w:iCs/>
    </w:rPr>
  </w:style>
  <w:style w:type="paragraph" w:styleId="Header">
    <w:name w:val="header"/>
    <w:basedOn w:val="Normal"/>
    <w:link w:val="HeaderChar"/>
    <w:uiPriority w:val="99"/>
    <w:unhideWhenUsed/>
    <w:rsid w:val="00C066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6618"/>
  </w:style>
  <w:style w:type="paragraph" w:styleId="Footer">
    <w:name w:val="footer"/>
    <w:basedOn w:val="Normal"/>
    <w:link w:val="FooterChar"/>
    <w:uiPriority w:val="99"/>
    <w:unhideWhenUsed/>
    <w:rsid w:val="00C066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661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A01E1"/>
    <w:pPr>
      <w:autoSpaceDE w:val="0"/>
      <w:autoSpaceDN w:val="0"/>
      <w:adjustRightInd w:val="0"/>
      <w:spacing w:after="0" w:line="240" w:lineRule="auto"/>
    </w:pPr>
    <w:rPr>
      <w:rFonts w:ascii="Cambria" w:eastAsia="Times New Roman" w:hAnsi="Cambria" w:cs="Times New Roman"/>
      <w:color w:val="000000"/>
      <w:sz w:val="24"/>
      <w:szCs w:val="24"/>
      <w:lang w:eastAsia="en-US"/>
    </w:rPr>
  </w:style>
  <w:style w:type="paragraph" w:styleId="FootnoteText">
    <w:name w:val="footnote text"/>
    <w:basedOn w:val="Normal"/>
    <w:link w:val="FootnoteTextChar"/>
    <w:semiHidden/>
    <w:rsid w:val="009A01E1"/>
    <w:pPr>
      <w:spacing w:after="0" w:line="240" w:lineRule="auto"/>
    </w:pPr>
    <w:rPr>
      <w:rFonts w:ascii="Times New Roman" w:eastAsia="Times New Roman" w:hAnsi="Times New Roman" w:cs="Times New Roman"/>
      <w:sz w:val="20"/>
      <w:szCs w:val="20"/>
      <w:lang w:val="en-GB" w:eastAsia="en-US"/>
    </w:rPr>
  </w:style>
  <w:style w:type="character" w:customStyle="1" w:styleId="FootnoteTextChar">
    <w:name w:val="Footnote Text Char"/>
    <w:basedOn w:val="DefaultParagraphFont"/>
    <w:link w:val="FootnoteText"/>
    <w:semiHidden/>
    <w:rsid w:val="009A01E1"/>
    <w:rPr>
      <w:rFonts w:ascii="Times New Roman" w:eastAsia="Times New Roman" w:hAnsi="Times New Roman" w:cs="Times New Roman"/>
      <w:sz w:val="20"/>
      <w:szCs w:val="20"/>
      <w:lang w:val="en-GB" w:eastAsia="en-US"/>
    </w:rPr>
  </w:style>
  <w:style w:type="character" w:styleId="FootnoteReference">
    <w:name w:val="footnote reference"/>
    <w:semiHidden/>
    <w:rsid w:val="009A01E1"/>
    <w:rPr>
      <w:vertAlign w:val="superscript"/>
    </w:rPr>
  </w:style>
  <w:style w:type="character" w:styleId="Hyperlink">
    <w:name w:val="Hyperlink"/>
    <w:semiHidden/>
    <w:rsid w:val="009A01E1"/>
    <w:rPr>
      <w:color w:val="0000FF"/>
      <w:u w:val="single"/>
    </w:rPr>
  </w:style>
  <w:style w:type="paragraph" w:styleId="BodyTextIndent">
    <w:name w:val="Body Text Indent"/>
    <w:basedOn w:val="Normal"/>
    <w:link w:val="BodyTextIndentChar"/>
    <w:semiHidden/>
    <w:rsid w:val="009A01E1"/>
    <w:pPr>
      <w:autoSpaceDE w:val="0"/>
      <w:autoSpaceDN w:val="0"/>
      <w:adjustRightInd w:val="0"/>
      <w:spacing w:after="0" w:line="240" w:lineRule="auto"/>
      <w:ind w:left="720"/>
    </w:pPr>
    <w:rPr>
      <w:rFonts w:ascii="Cambria" w:eastAsia="Times New Roman" w:hAnsi="Cambria" w:cs="Courier New"/>
      <w:szCs w:val="20"/>
      <w:lang w:eastAsia="en-US"/>
    </w:rPr>
  </w:style>
  <w:style w:type="character" w:customStyle="1" w:styleId="BodyTextIndentChar">
    <w:name w:val="Body Text Indent Char"/>
    <w:basedOn w:val="DefaultParagraphFont"/>
    <w:link w:val="BodyTextIndent"/>
    <w:semiHidden/>
    <w:rsid w:val="009A01E1"/>
    <w:rPr>
      <w:rFonts w:ascii="Cambria" w:eastAsia="Times New Roman" w:hAnsi="Cambria" w:cs="Courier New"/>
      <w:szCs w:val="20"/>
      <w:lang w:eastAsia="en-US"/>
    </w:rPr>
  </w:style>
  <w:style w:type="character" w:styleId="Emphasis">
    <w:name w:val="Emphasis"/>
    <w:qFormat/>
    <w:rsid w:val="009A01E1"/>
    <w:rPr>
      <w:i/>
      <w:iCs/>
    </w:rPr>
  </w:style>
  <w:style w:type="paragraph" w:styleId="Header">
    <w:name w:val="header"/>
    <w:basedOn w:val="Normal"/>
    <w:link w:val="HeaderChar"/>
    <w:uiPriority w:val="99"/>
    <w:unhideWhenUsed/>
    <w:rsid w:val="00C0661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6618"/>
  </w:style>
  <w:style w:type="paragraph" w:styleId="Footer">
    <w:name w:val="footer"/>
    <w:basedOn w:val="Normal"/>
    <w:link w:val="FooterChar"/>
    <w:uiPriority w:val="99"/>
    <w:unhideWhenUsed/>
    <w:rsid w:val="00C0661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66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www.whitehouse.gov/sites/default/files/docs/2013-12-12_rg_final_report.pdf" TargetMode="External"/><Relationship Id="rId3" Type="http://schemas.openxmlformats.org/officeDocument/2006/relationships/hyperlink" Target="http://bosco.foreignpolicy.com/posts/2013/07/08/brazil_wants_un_to_help_safeguard_internet" TargetMode="External"/><Relationship Id="rId7" Type="http://schemas.openxmlformats.org/officeDocument/2006/relationships/hyperlink" Target="http://www.seoulcyber2013.kr/en/media/View.do?media_id=2242" TargetMode="External"/><Relationship Id="rId2" Type="http://schemas.openxmlformats.org/officeDocument/2006/relationships/hyperlink" Target="http://www.icann.org/en/news/announcements/announcement-07oct13-en.htm" TargetMode="External"/><Relationship Id="rId1" Type="http://schemas.openxmlformats.org/officeDocument/2006/relationships/hyperlink" Target="http://www.icann.org/en/news/announcements/announcement-07oct13-en.htm" TargetMode="External"/><Relationship Id="rId6" Type="http://schemas.openxmlformats.org/officeDocument/2006/relationships/hyperlink" Target="http://gadebate.un.org/sites/default/files/gastatements/68/BR_en.pdf" TargetMode="External"/><Relationship Id="rId5" Type="http://schemas.openxmlformats.org/officeDocument/2006/relationships/hyperlink" Target="http://www.faz.net/aktuell/feuilleton/debatten/ueberwachung/information-consumerism-the-price-of-hypocrisy-12292374.html" TargetMode="External"/><Relationship Id="rId4" Type="http://schemas.openxmlformats.org/officeDocument/2006/relationships/hyperlink" Target="http://www.theguardian.com/technology/2013/jul/28/edward-snowden-death-of-internet" TargetMode="External"/><Relationship Id="rId9" Type="http://schemas.openxmlformats.org/officeDocument/2006/relationships/hyperlink" Target="http://www.springer.com/law/international/book/978-3-642-4541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1969</Words>
  <Characters>11225</Characters>
  <Application>Microsoft Office Word</Application>
  <DocSecurity>0</DocSecurity>
  <Lines>93</Lines>
  <Paragraphs>26</Paragraphs>
  <ScaleCrop>false</ScaleCrop>
  <Company/>
  <LinksUpToDate>false</LinksUpToDate>
  <CharactersWithSpaces>13168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2014-01-21T17:21:00Z</dcterms:created>
  <dcterms:modified xsi:type="dcterms:W3CDTF">2014-01-21T17:21:00Z</dcterms:modified>
</cp:coreProperties>
</file>