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Look w:val="0000" w:firstRow="0" w:lastRow="0" w:firstColumn="0" w:lastColumn="0" w:noHBand="0" w:noVBand="0"/>
      </w:tblPr>
      <w:tblGrid>
        <w:gridCol w:w="1134"/>
        <w:gridCol w:w="142"/>
        <w:gridCol w:w="3260"/>
        <w:gridCol w:w="3261"/>
        <w:gridCol w:w="1984"/>
      </w:tblGrid>
      <w:tr w:rsidR="00DE4859" w:rsidRPr="007329EF" w:rsidTr="00CC6330">
        <w:trPr>
          <w:trHeight w:val="1282"/>
        </w:trPr>
        <w:tc>
          <w:tcPr>
            <w:tcW w:w="1276" w:type="dxa"/>
            <w:gridSpan w:val="2"/>
            <w:shd w:val="clear" w:color="auto" w:fill="auto"/>
            <w:tcMar>
              <w:left w:w="0" w:type="dxa"/>
              <w:right w:w="0" w:type="dxa"/>
            </w:tcMar>
            <w:vAlign w:val="center"/>
          </w:tcPr>
          <w:p w:rsidR="00DE4859" w:rsidRPr="007329EF" w:rsidRDefault="00913313" w:rsidP="00CC6330">
            <w:pPr>
              <w:pStyle w:val="Tabletext"/>
              <w:jc w:val="center"/>
              <w:rPr>
                <w:rFonts w:ascii="Times New Roman" w:hAnsi="Times New Roman"/>
              </w:rPr>
            </w:pPr>
            <w:bookmarkStart w:id="0" w:name="_GoBack"/>
            <w:bookmarkEnd w:id="0"/>
            <w:r w:rsidRPr="007329EF">
              <w:rPr>
                <w:rFonts w:ascii="Times New Roman" w:hAnsi="Times New Roman"/>
                <w:noProof/>
                <w:lang w:eastAsia="zh-CN"/>
              </w:rPr>
              <w:drawing>
                <wp:inline distT="0" distB="0" distL="0" distR="0">
                  <wp:extent cx="714375" cy="800100"/>
                  <wp:effectExtent l="0" t="0" r="9525" b="0"/>
                  <wp:docPr id="1"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800100"/>
                          </a:xfrm>
                          <a:prstGeom prst="rect">
                            <a:avLst/>
                          </a:prstGeom>
                          <a:noFill/>
                          <a:ln>
                            <a:noFill/>
                          </a:ln>
                        </pic:spPr>
                      </pic:pic>
                    </a:graphicData>
                  </a:graphic>
                </wp:inline>
              </w:drawing>
            </w:r>
          </w:p>
        </w:tc>
        <w:tc>
          <w:tcPr>
            <w:tcW w:w="6521" w:type="dxa"/>
            <w:gridSpan w:val="2"/>
            <w:shd w:val="clear" w:color="auto" w:fill="auto"/>
            <w:tcMar>
              <w:left w:w="142" w:type="dxa"/>
            </w:tcMar>
            <w:vAlign w:val="center"/>
          </w:tcPr>
          <w:p w:rsidR="006B5B7C" w:rsidRPr="00DC2235" w:rsidRDefault="006B5B7C" w:rsidP="006B5B7C">
            <w:pPr>
              <w:spacing w:before="0"/>
              <w:rPr>
                <w:rFonts w:cs="Times New Roman Bold"/>
                <w:b/>
                <w:bCs/>
                <w:smallCaps/>
                <w:sz w:val="26"/>
                <w:szCs w:val="26"/>
              </w:rPr>
            </w:pPr>
            <w:r w:rsidRPr="00DC2235">
              <w:rPr>
                <w:rFonts w:cs="Times New Roman Bold"/>
                <w:b/>
                <w:bCs/>
                <w:smallCaps/>
                <w:sz w:val="36"/>
                <w:szCs w:val="36"/>
              </w:rPr>
              <w:t>International telecommunication union</w:t>
            </w:r>
          </w:p>
          <w:p w:rsidR="00DE4859" w:rsidRPr="007329EF" w:rsidRDefault="006B5B7C" w:rsidP="006B5B7C">
            <w:pPr>
              <w:spacing w:before="0"/>
              <w:rPr>
                <w:rFonts w:ascii="Times New Roman" w:hAnsi="Times New Roman"/>
                <w:color w:val="FFFFFF"/>
                <w:sz w:val="26"/>
                <w:szCs w:val="26"/>
              </w:rPr>
            </w:pPr>
            <w:r w:rsidRPr="00DC2235">
              <w:rPr>
                <w:rFonts w:cs="Times New Roman Bold"/>
                <w:b/>
                <w:bCs/>
                <w:iCs/>
                <w:smallCaps/>
                <w:sz w:val="28"/>
                <w:szCs w:val="28"/>
              </w:rPr>
              <w:t>Telecommunication Standardization Bureau</w:t>
            </w:r>
          </w:p>
        </w:tc>
        <w:tc>
          <w:tcPr>
            <w:tcW w:w="1984" w:type="dxa"/>
            <w:shd w:val="clear" w:color="auto" w:fill="auto"/>
            <w:vAlign w:val="center"/>
          </w:tcPr>
          <w:p w:rsidR="00DE4859" w:rsidRPr="007329EF" w:rsidRDefault="00913313" w:rsidP="007C01C7">
            <w:pPr>
              <w:spacing w:before="0"/>
              <w:jc w:val="center"/>
              <w:rPr>
                <w:rFonts w:ascii="Times New Roman" w:hAnsi="Times New Roman"/>
                <w:color w:val="FFFFFF"/>
                <w:sz w:val="26"/>
                <w:szCs w:val="26"/>
              </w:rPr>
            </w:pPr>
            <w:r w:rsidRPr="007329EF">
              <w:rPr>
                <w:rFonts w:ascii="Times New Roman" w:hAnsi="Times New Roman"/>
                <w:noProof/>
                <w:lang w:eastAsia="zh-CN"/>
              </w:rPr>
              <w:drawing>
                <wp:inline distT="0" distB="0" distL="0" distR="0">
                  <wp:extent cx="876300" cy="723900"/>
                  <wp:effectExtent l="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723900"/>
                          </a:xfrm>
                          <a:prstGeom prst="rect">
                            <a:avLst/>
                          </a:prstGeom>
                          <a:noFill/>
                          <a:ln>
                            <a:noFill/>
                          </a:ln>
                        </pic:spPr>
                      </pic:pic>
                    </a:graphicData>
                  </a:graphic>
                </wp:inline>
              </w:drawing>
            </w:r>
          </w:p>
        </w:tc>
      </w:tr>
      <w:tr w:rsidR="00DE4859" w:rsidRPr="006B5B7C" w:rsidTr="00CC6330">
        <w:trPr>
          <w:trHeight w:val="80"/>
        </w:trPr>
        <w:tc>
          <w:tcPr>
            <w:tcW w:w="4536" w:type="dxa"/>
            <w:gridSpan w:val="3"/>
            <w:shd w:val="clear" w:color="auto" w:fill="auto"/>
            <w:tcMar>
              <w:left w:w="0" w:type="dxa"/>
              <w:right w:w="0" w:type="dxa"/>
            </w:tcMar>
          </w:tcPr>
          <w:p w:rsidR="00DE4859" w:rsidRPr="006B5B7C" w:rsidRDefault="00DE4859" w:rsidP="00CC6330">
            <w:pPr>
              <w:pStyle w:val="Tabletext"/>
              <w:jc w:val="right"/>
              <w:rPr>
                <w:highlight w:val="yellow"/>
              </w:rPr>
            </w:pPr>
          </w:p>
        </w:tc>
        <w:tc>
          <w:tcPr>
            <w:tcW w:w="5245" w:type="dxa"/>
            <w:gridSpan w:val="2"/>
            <w:shd w:val="clear" w:color="auto" w:fill="auto"/>
            <w:tcMar>
              <w:left w:w="0" w:type="dxa"/>
              <w:right w:w="0" w:type="dxa"/>
            </w:tcMar>
            <w:vAlign w:val="center"/>
          </w:tcPr>
          <w:p w:rsidR="00DE4859" w:rsidRPr="006B5B7C" w:rsidRDefault="005F59FB" w:rsidP="00BA5FC8">
            <w:pPr>
              <w:pStyle w:val="Tabletext"/>
              <w:spacing w:before="480" w:after="120"/>
              <w:rPr>
                <w:highlight w:val="yellow"/>
              </w:rPr>
            </w:pPr>
            <w:r w:rsidRPr="006B5B7C">
              <w:t xml:space="preserve">Geneva, </w:t>
            </w:r>
            <w:r w:rsidR="00BA5FC8" w:rsidRPr="006B5B7C">
              <w:t>23</w:t>
            </w:r>
            <w:r w:rsidR="006853C4" w:rsidRPr="006B5B7C">
              <w:t xml:space="preserve"> </w:t>
            </w:r>
            <w:r w:rsidR="008C6160" w:rsidRPr="006B5B7C">
              <w:t xml:space="preserve">May </w:t>
            </w:r>
            <w:r w:rsidRPr="006B5B7C">
              <w:t>2016</w:t>
            </w:r>
          </w:p>
        </w:tc>
      </w:tr>
      <w:tr w:rsidR="00DE4859" w:rsidRPr="006B5B7C" w:rsidTr="00CC6330">
        <w:trPr>
          <w:trHeight w:val="835"/>
        </w:trPr>
        <w:tc>
          <w:tcPr>
            <w:tcW w:w="1134" w:type="dxa"/>
            <w:shd w:val="clear" w:color="auto" w:fill="auto"/>
            <w:tcMar>
              <w:left w:w="0" w:type="dxa"/>
              <w:right w:w="0" w:type="dxa"/>
            </w:tcMar>
          </w:tcPr>
          <w:p w:rsidR="00DE4859" w:rsidRPr="006B5B7C" w:rsidRDefault="005F59FB" w:rsidP="00CC6330">
            <w:pPr>
              <w:pStyle w:val="Tabletext"/>
            </w:pPr>
            <w:r w:rsidRPr="006B5B7C">
              <w:t>Ref:</w:t>
            </w:r>
          </w:p>
        </w:tc>
        <w:tc>
          <w:tcPr>
            <w:tcW w:w="3402" w:type="dxa"/>
            <w:gridSpan w:val="2"/>
            <w:shd w:val="clear" w:color="auto" w:fill="auto"/>
            <w:tcMar>
              <w:left w:w="0" w:type="dxa"/>
              <w:right w:w="0" w:type="dxa"/>
            </w:tcMar>
          </w:tcPr>
          <w:p w:rsidR="00DE4859" w:rsidRPr="006B5B7C" w:rsidRDefault="005F59FB" w:rsidP="00CC6330">
            <w:pPr>
              <w:pStyle w:val="Tabletext"/>
              <w:rPr>
                <w:b/>
                <w:bCs/>
              </w:rPr>
            </w:pPr>
            <w:r w:rsidRPr="006B5B7C">
              <w:rPr>
                <w:b/>
                <w:bCs/>
              </w:rPr>
              <w:t>TSB Circular 209</w:t>
            </w:r>
          </w:p>
          <w:p w:rsidR="00DE4859" w:rsidRPr="006B5B7C" w:rsidRDefault="005F59FB" w:rsidP="00CC6330">
            <w:pPr>
              <w:pStyle w:val="Tabletext"/>
            </w:pPr>
            <w:r w:rsidRPr="00145081">
              <w:t>SG3</w:t>
            </w:r>
            <w:r w:rsidRPr="006B5B7C">
              <w:t>/LS</w:t>
            </w:r>
          </w:p>
        </w:tc>
        <w:tc>
          <w:tcPr>
            <w:tcW w:w="5245" w:type="dxa"/>
            <w:gridSpan w:val="2"/>
            <w:vMerge w:val="restart"/>
            <w:shd w:val="clear" w:color="auto" w:fill="auto"/>
            <w:tcMar>
              <w:left w:w="0" w:type="dxa"/>
              <w:right w:w="0" w:type="dxa"/>
            </w:tcMar>
          </w:tcPr>
          <w:p w:rsidR="00DE4859" w:rsidRPr="006B5B7C" w:rsidRDefault="005F59FB" w:rsidP="00CC6330">
            <w:pPr>
              <w:pStyle w:val="Tabletext"/>
              <w:ind w:left="283" w:hanging="283"/>
            </w:pPr>
            <w:r w:rsidRPr="006B5B7C">
              <w:t>-</w:t>
            </w:r>
            <w:r w:rsidRPr="006B5B7C">
              <w:tab/>
              <w:t>To Administrations of Member States of the Union</w:t>
            </w:r>
          </w:p>
        </w:tc>
      </w:tr>
      <w:tr w:rsidR="00DE4859" w:rsidRPr="006B5B7C" w:rsidTr="00CC6330">
        <w:trPr>
          <w:trHeight w:val="221"/>
        </w:trPr>
        <w:tc>
          <w:tcPr>
            <w:tcW w:w="1134" w:type="dxa"/>
            <w:shd w:val="clear" w:color="auto" w:fill="auto"/>
            <w:tcMar>
              <w:left w:w="0" w:type="dxa"/>
              <w:right w:w="0" w:type="dxa"/>
            </w:tcMar>
          </w:tcPr>
          <w:p w:rsidR="00DE4859" w:rsidRPr="006B5B7C" w:rsidRDefault="005F59FB" w:rsidP="00CC6330">
            <w:pPr>
              <w:pStyle w:val="Tabletext"/>
            </w:pPr>
            <w:r w:rsidRPr="006B5B7C">
              <w:t>Tel:</w:t>
            </w:r>
          </w:p>
        </w:tc>
        <w:tc>
          <w:tcPr>
            <w:tcW w:w="3402" w:type="dxa"/>
            <w:gridSpan w:val="2"/>
            <w:shd w:val="clear" w:color="auto" w:fill="auto"/>
            <w:tcMar>
              <w:left w:w="0" w:type="dxa"/>
              <w:right w:w="0" w:type="dxa"/>
            </w:tcMar>
          </w:tcPr>
          <w:p w:rsidR="00DE4859" w:rsidRPr="006B5B7C" w:rsidRDefault="005F59FB" w:rsidP="00CC6330">
            <w:pPr>
              <w:pStyle w:val="Tabletext"/>
              <w:rPr>
                <w:b/>
              </w:rPr>
            </w:pPr>
            <w:r w:rsidRPr="006B5B7C">
              <w:t>+41 22 730 5884</w:t>
            </w:r>
          </w:p>
        </w:tc>
        <w:tc>
          <w:tcPr>
            <w:tcW w:w="5245" w:type="dxa"/>
            <w:gridSpan w:val="2"/>
            <w:vMerge/>
            <w:shd w:val="clear" w:color="auto" w:fill="auto"/>
            <w:tcMar>
              <w:left w:w="0" w:type="dxa"/>
              <w:right w:w="0" w:type="dxa"/>
            </w:tcMar>
          </w:tcPr>
          <w:p w:rsidR="00DE4859" w:rsidRPr="006B5B7C" w:rsidRDefault="00DE4859" w:rsidP="00CC6330">
            <w:pPr>
              <w:pStyle w:val="Tabletext"/>
              <w:ind w:left="142" w:hanging="142"/>
            </w:pPr>
          </w:p>
        </w:tc>
      </w:tr>
      <w:tr w:rsidR="00DE4859" w:rsidRPr="006B5B7C" w:rsidTr="00CC6330">
        <w:trPr>
          <w:trHeight w:val="282"/>
        </w:trPr>
        <w:tc>
          <w:tcPr>
            <w:tcW w:w="1134" w:type="dxa"/>
            <w:shd w:val="clear" w:color="auto" w:fill="auto"/>
            <w:tcMar>
              <w:left w:w="0" w:type="dxa"/>
              <w:right w:w="0" w:type="dxa"/>
            </w:tcMar>
          </w:tcPr>
          <w:p w:rsidR="00DE4859" w:rsidRPr="006B5B7C" w:rsidRDefault="005F59FB" w:rsidP="00CC6330">
            <w:pPr>
              <w:pStyle w:val="Tabletext"/>
            </w:pPr>
            <w:r w:rsidRPr="006B5B7C">
              <w:t>Fax:</w:t>
            </w:r>
          </w:p>
        </w:tc>
        <w:tc>
          <w:tcPr>
            <w:tcW w:w="3402" w:type="dxa"/>
            <w:gridSpan w:val="2"/>
            <w:shd w:val="clear" w:color="auto" w:fill="auto"/>
            <w:tcMar>
              <w:left w:w="0" w:type="dxa"/>
              <w:right w:w="0" w:type="dxa"/>
            </w:tcMar>
          </w:tcPr>
          <w:p w:rsidR="00DE4859" w:rsidRPr="006B5B7C" w:rsidRDefault="005F59FB" w:rsidP="00CC6330">
            <w:pPr>
              <w:pStyle w:val="Tabletext"/>
              <w:rPr>
                <w:b/>
              </w:rPr>
            </w:pPr>
            <w:r w:rsidRPr="006B5B7C">
              <w:t>+41 22 730 5853</w:t>
            </w:r>
          </w:p>
        </w:tc>
        <w:tc>
          <w:tcPr>
            <w:tcW w:w="5245" w:type="dxa"/>
            <w:gridSpan w:val="2"/>
            <w:vMerge/>
            <w:shd w:val="clear" w:color="auto" w:fill="auto"/>
            <w:tcMar>
              <w:left w:w="0" w:type="dxa"/>
              <w:right w:w="0" w:type="dxa"/>
            </w:tcMar>
          </w:tcPr>
          <w:p w:rsidR="00DE4859" w:rsidRPr="006B5B7C" w:rsidRDefault="00DE4859" w:rsidP="00CC6330">
            <w:pPr>
              <w:pStyle w:val="Tabletext"/>
              <w:ind w:left="142" w:hanging="142"/>
            </w:pPr>
          </w:p>
        </w:tc>
      </w:tr>
      <w:tr w:rsidR="00DE4859" w:rsidRPr="006B5B7C" w:rsidTr="00CC6330">
        <w:trPr>
          <w:trHeight w:val="2640"/>
        </w:trPr>
        <w:tc>
          <w:tcPr>
            <w:tcW w:w="1134" w:type="dxa"/>
            <w:shd w:val="clear" w:color="auto" w:fill="auto"/>
            <w:tcMar>
              <w:left w:w="0" w:type="dxa"/>
              <w:right w:w="0" w:type="dxa"/>
            </w:tcMar>
          </w:tcPr>
          <w:p w:rsidR="00DE4859" w:rsidRPr="006B5B7C" w:rsidRDefault="005F59FB" w:rsidP="00CC6330">
            <w:pPr>
              <w:pStyle w:val="Tabletext"/>
            </w:pPr>
            <w:r w:rsidRPr="006B5B7C">
              <w:t>E-mail:</w:t>
            </w:r>
          </w:p>
        </w:tc>
        <w:tc>
          <w:tcPr>
            <w:tcW w:w="3402" w:type="dxa"/>
            <w:gridSpan w:val="2"/>
            <w:shd w:val="clear" w:color="auto" w:fill="auto"/>
            <w:tcMar>
              <w:left w:w="0" w:type="dxa"/>
              <w:right w:w="0" w:type="dxa"/>
            </w:tcMar>
          </w:tcPr>
          <w:p w:rsidR="00DE4859" w:rsidRPr="006B5B7C" w:rsidRDefault="00DE4859" w:rsidP="00CC6330">
            <w:pPr>
              <w:pStyle w:val="Tabletext"/>
            </w:pPr>
            <w:hyperlink r:id="rId9" w:history="1">
              <w:r w:rsidR="005F59FB" w:rsidRPr="006B5B7C">
                <w:rPr>
                  <w:rStyle w:val="Hyperlink"/>
                  <w:szCs w:val="22"/>
                </w:rPr>
                <w:t>tsbsg3</w:t>
              </w:r>
              <w:r w:rsidR="005F59FB" w:rsidRPr="006B5B7C">
                <w:rPr>
                  <w:rStyle w:val="Hyperlink"/>
                  <w:szCs w:val="22"/>
                </w:rPr>
                <w:t>@</w:t>
              </w:r>
              <w:r w:rsidR="005F59FB" w:rsidRPr="006B5B7C">
                <w:rPr>
                  <w:rStyle w:val="Hyperlink"/>
                  <w:szCs w:val="22"/>
                </w:rPr>
                <w:t>i</w:t>
              </w:r>
              <w:r w:rsidR="005F59FB" w:rsidRPr="006B5B7C">
                <w:rPr>
                  <w:rStyle w:val="Hyperlink"/>
                  <w:szCs w:val="22"/>
                </w:rPr>
                <w:t>t</w:t>
              </w:r>
              <w:r w:rsidR="005F59FB" w:rsidRPr="006B5B7C">
                <w:rPr>
                  <w:rStyle w:val="Hyperlink"/>
                  <w:szCs w:val="22"/>
                </w:rPr>
                <w:t>u.int</w:t>
              </w:r>
            </w:hyperlink>
            <w:r w:rsidR="005F59FB" w:rsidRPr="006B5B7C">
              <w:t xml:space="preserve"> </w:t>
            </w:r>
          </w:p>
        </w:tc>
        <w:tc>
          <w:tcPr>
            <w:tcW w:w="5245" w:type="dxa"/>
            <w:gridSpan w:val="2"/>
            <w:shd w:val="clear" w:color="auto" w:fill="auto"/>
            <w:tcMar>
              <w:left w:w="0" w:type="dxa"/>
              <w:right w:w="0" w:type="dxa"/>
            </w:tcMar>
          </w:tcPr>
          <w:p w:rsidR="00DE4859" w:rsidRPr="006B5B7C" w:rsidRDefault="005F59FB" w:rsidP="00CC6330">
            <w:pPr>
              <w:pStyle w:val="Tabletext"/>
              <w:rPr>
                <w:b/>
              </w:rPr>
            </w:pPr>
            <w:r w:rsidRPr="006B5B7C">
              <w:rPr>
                <w:b/>
              </w:rPr>
              <w:t>Copy:</w:t>
            </w:r>
          </w:p>
          <w:p w:rsidR="00DE4859" w:rsidRPr="006B5B7C" w:rsidRDefault="005F59FB" w:rsidP="00CC6330">
            <w:pPr>
              <w:pStyle w:val="Tabletext"/>
              <w:tabs>
                <w:tab w:val="clear" w:pos="284"/>
                <w:tab w:val="clear" w:pos="567"/>
                <w:tab w:val="left" w:pos="283"/>
              </w:tabs>
              <w:ind w:left="283" w:hanging="283"/>
            </w:pPr>
            <w:r w:rsidRPr="006B5B7C">
              <w:t>-</w:t>
            </w:r>
            <w:r w:rsidRPr="006B5B7C">
              <w:tab/>
              <w:t>To ITU-T Sector Members;</w:t>
            </w:r>
          </w:p>
          <w:p w:rsidR="00DE4859" w:rsidRPr="006B5B7C" w:rsidRDefault="005F59FB" w:rsidP="00CC6330">
            <w:pPr>
              <w:pStyle w:val="Tabletext"/>
              <w:tabs>
                <w:tab w:val="clear" w:pos="284"/>
                <w:tab w:val="clear" w:pos="567"/>
                <w:tab w:val="left" w:pos="283"/>
              </w:tabs>
              <w:ind w:left="283" w:hanging="283"/>
            </w:pPr>
            <w:r w:rsidRPr="006B5B7C">
              <w:t>-</w:t>
            </w:r>
            <w:r w:rsidRPr="006B5B7C">
              <w:tab/>
              <w:t>To ITU-T Associates;</w:t>
            </w:r>
          </w:p>
          <w:p w:rsidR="00DE4859" w:rsidRPr="006B5B7C" w:rsidRDefault="00CC6330" w:rsidP="00CC6330">
            <w:pPr>
              <w:pStyle w:val="Tabletext"/>
              <w:tabs>
                <w:tab w:val="clear" w:pos="284"/>
                <w:tab w:val="clear" w:pos="567"/>
                <w:tab w:val="left" w:pos="283"/>
              </w:tabs>
              <w:ind w:left="283" w:hanging="283"/>
            </w:pPr>
            <w:r w:rsidRPr="006B5B7C">
              <w:t>-</w:t>
            </w:r>
            <w:r w:rsidRPr="006B5B7C">
              <w:tab/>
              <w:t>To ITU</w:t>
            </w:r>
            <w:r w:rsidR="005F59FB" w:rsidRPr="006B5B7C">
              <w:t xml:space="preserve"> Academia;</w:t>
            </w:r>
          </w:p>
          <w:p w:rsidR="00DE4859" w:rsidRPr="006B5B7C" w:rsidRDefault="005F59FB" w:rsidP="00682F5E">
            <w:pPr>
              <w:pStyle w:val="Tabletext"/>
              <w:tabs>
                <w:tab w:val="clear" w:pos="284"/>
                <w:tab w:val="clear" w:pos="567"/>
                <w:tab w:val="left" w:pos="283"/>
              </w:tabs>
              <w:ind w:left="283" w:hanging="283"/>
            </w:pPr>
            <w:r w:rsidRPr="006B5B7C">
              <w:t>-</w:t>
            </w:r>
            <w:r w:rsidRPr="006B5B7C">
              <w:tab/>
              <w:t>To the Chairman and Vice-Chairmen</w:t>
            </w:r>
            <w:r w:rsidR="00682F5E" w:rsidRPr="006B5B7C">
              <w:t xml:space="preserve"> of </w:t>
            </w:r>
            <w:r w:rsidRPr="006B5B7C">
              <w:t>ITU-T Study Group 3;</w:t>
            </w:r>
          </w:p>
          <w:p w:rsidR="00DE4859" w:rsidRPr="006B5B7C" w:rsidRDefault="005F59FB" w:rsidP="00CC6330">
            <w:pPr>
              <w:pStyle w:val="Tabletext"/>
              <w:tabs>
                <w:tab w:val="clear" w:pos="284"/>
                <w:tab w:val="clear" w:pos="567"/>
                <w:tab w:val="left" w:pos="283"/>
              </w:tabs>
              <w:ind w:left="283" w:hanging="283"/>
            </w:pPr>
            <w:r w:rsidRPr="006B5B7C">
              <w:t>-</w:t>
            </w:r>
            <w:r w:rsidRPr="006B5B7C">
              <w:tab/>
              <w:t>To the Director of the Telecommunication Development Bureau;</w:t>
            </w:r>
          </w:p>
          <w:p w:rsidR="00DE4859" w:rsidRPr="006B5B7C" w:rsidRDefault="005F59FB" w:rsidP="00CC6330">
            <w:pPr>
              <w:pStyle w:val="Tabletext"/>
              <w:tabs>
                <w:tab w:val="clear" w:pos="284"/>
                <w:tab w:val="clear" w:pos="567"/>
                <w:tab w:val="left" w:pos="283"/>
              </w:tabs>
              <w:ind w:left="283" w:hanging="283"/>
            </w:pPr>
            <w:r w:rsidRPr="006B5B7C">
              <w:t>-</w:t>
            </w:r>
            <w:r w:rsidRPr="006B5B7C">
              <w:tab/>
              <w:t>To the Director of the Radiocommunication Bureau</w:t>
            </w:r>
          </w:p>
          <w:p w:rsidR="0081755A" w:rsidRPr="006B5B7C" w:rsidRDefault="0081755A" w:rsidP="00CC6330">
            <w:pPr>
              <w:pStyle w:val="Tabletext"/>
              <w:tabs>
                <w:tab w:val="clear" w:pos="284"/>
                <w:tab w:val="clear" w:pos="567"/>
                <w:tab w:val="left" w:pos="283"/>
              </w:tabs>
              <w:ind w:left="283" w:hanging="283"/>
            </w:pPr>
          </w:p>
        </w:tc>
      </w:tr>
      <w:tr w:rsidR="00DE4859" w:rsidRPr="00145081" w:rsidTr="00CC6330">
        <w:trPr>
          <w:trHeight w:val="660"/>
        </w:trPr>
        <w:tc>
          <w:tcPr>
            <w:tcW w:w="1134" w:type="dxa"/>
            <w:shd w:val="clear" w:color="auto" w:fill="auto"/>
            <w:tcMar>
              <w:left w:w="0" w:type="dxa"/>
              <w:right w:w="0" w:type="dxa"/>
            </w:tcMar>
          </w:tcPr>
          <w:p w:rsidR="00DE4859" w:rsidRPr="00145081" w:rsidRDefault="005F59FB" w:rsidP="00CC6330">
            <w:pPr>
              <w:pStyle w:val="Tabletext"/>
            </w:pPr>
            <w:r w:rsidRPr="00145081">
              <w:t>Subject:</w:t>
            </w:r>
          </w:p>
        </w:tc>
        <w:tc>
          <w:tcPr>
            <w:tcW w:w="8647" w:type="dxa"/>
            <w:gridSpan w:val="4"/>
            <w:shd w:val="clear" w:color="auto" w:fill="auto"/>
            <w:tcMar>
              <w:left w:w="0" w:type="dxa"/>
              <w:right w:w="0" w:type="dxa"/>
            </w:tcMar>
          </w:tcPr>
          <w:p w:rsidR="00DE4859" w:rsidRPr="00145081" w:rsidRDefault="00BB4BAC" w:rsidP="00E111AC">
            <w:pPr>
              <w:pStyle w:val="Tabletext"/>
            </w:pPr>
            <w:r w:rsidRPr="00145081">
              <w:rPr>
                <w:b/>
                <w:bCs/>
              </w:rPr>
              <w:t>D</w:t>
            </w:r>
            <w:r w:rsidR="005F59FB" w:rsidRPr="00145081">
              <w:rPr>
                <w:b/>
                <w:bCs/>
              </w:rPr>
              <w:t>raft</w:t>
            </w:r>
            <w:r w:rsidR="008C5D72" w:rsidRPr="00145081">
              <w:rPr>
                <w:b/>
                <w:bCs/>
              </w:rPr>
              <w:t xml:space="preserve"> new</w:t>
            </w:r>
            <w:r w:rsidR="005F59FB" w:rsidRPr="00145081">
              <w:rPr>
                <w:b/>
                <w:bCs/>
              </w:rPr>
              <w:t xml:space="preserve"> Recommendations </w:t>
            </w:r>
            <w:r w:rsidR="00CC6330" w:rsidRPr="00145081">
              <w:rPr>
                <w:b/>
                <w:bCs/>
              </w:rPr>
              <w:t xml:space="preserve">ITU-T </w:t>
            </w:r>
            <w:r w:rsidR="005F59FB" w:rsidRPr="00145081">
              <w:rPr>
                <w:b/>
                <w:bCs/>
              </w:rPr>
              <w:t>D.52, D.53, D.9</w:t>
            </w:r>
            <w:r w:rsidR="00CC6330" w:rsidRPr="00145081">
              <w:rPr>
                <w:b/>
                <w:bCs/>
              </w:rPr>
              <w:t>7, D.261 and</w:t>
            </w:r>
            <w:r w:rsidR="005F59FB" w:rsidRPr="00145081">
              <w:rPr>
                <w:b/>
                <w:bCs/>
              </w:rPr>
              <w:t xml:space="preserve"> </w:t>
            </w:r>
            <w:r w:rsidR="001205B9" w:rsidRPr="00145081">
              <w:rPr>
                <w:b/>
                <w:bCs/>
              </w:rPr>
              <w:t>d</w:t>
            </w:r>
            <w:r w:rsidR="008C5D72" w:rsidRPr="00145081">
              <w:rPr>
                <w:b/>
                <w:bCs/>
              </w:rPr>
              <w:t xml:space="preserve">raft </w:t>
            </w:r>
            <w:r w:rsidR="001205B9" w:rsidRPr="00145081">
              <w:rPr>
                <w:b/>
                <w:bCs/>
              </w:rPr>
              <w:t>r</w:t>
            </w:r>
            <w:r w:rsidR="004772AA" w:rsidRPr="00145081">
              <w:rPr>
                <w:b/>
                <w:bCs/>
              </w:rPr>
              <w:t xml:space="preserve">evised Recommendation </w:t>
            </w:r>
            <w:r w:rsidR="005F59FB" w:rsidRPr="00145081">
              <w:rPr>
                <w:b/>
                <w:bCs/>
              </w:rPr>
              <w:t xml:space="preserve">D.271 </w:t>
            </w:r>
            <w:r w:rsidRPr="00145081">
              <w:rPr>
                <w:b/>
                <w:bCs/>
              </w:rPr>
              <w:t>for approval by WTSA-16</w:t>
            </w:r>
            <w:r w:rsidR="0014211A" w:rsidRPr="00145081">
              <w:rPr>
                <w:b/>
                <w:bCs/>
              </w:rPr>
              <w:t xml:space="preserve"> (25 October to 3 November </w:t>
            </w:r>
            <w:r w:rsidR="0014211A" w:rsidRPr="00145081">
              <w:rPr>
                <w:b/>
              </w:rPr>
              <w:t>2016)</w:t>
            </w:r>
          </w:p>
        </w:tc>
      </w:tr>
    </w:tbl>
    <w:p w:rsidR="00DE4859" w:rsidRPr="00145081" w:rsidRDefault="005F59FB">
      <w:pPr>
        <w:spacing w:before="360"/>
        <w:rPr>
          <w:szCs w:val="22"/>
        </w:rPr>
      </w:pPr>
      <w:r w:rsidRPr="00145081">
        <w:rPr>
          <w:szCs w:val="22"/>
        </w:rPr>
        <w:t>Dear Sir/Madam,</w:t>
      </w:r>
    </w:p>
    <w:p w:rsidR="00DE4859" w:rsidRPr="00145081" w:rsidRDefault="005F59FB" w:rsidP="000C33E1">
      <w:pPr>
        <w:rPr>
          <w:szCs w:val="22"/>
        </w:rPr>
      </w:pPr>
      <w:r w:rsidRPr="00145081">
        <w:rPr>
          <w:bCs/>
          <w:szCs w:val="22"/>
        </w:rPr>
        <w:lastRenderedPageBreak/>
        <w:t>1</w:t>
      </w:r>
      <w:r w:rsidRPr="00145081">
        <w:rPr>
          <w:szCs w:val="22"/>
        </w:rPr>
        <w:tab/>
      </w:r>
      <w:r w:rsidR="00593A2B" w:rsidRPr="00145081">
        <w:t>At the request of the Chairman of ITU-T Study Group 3 "Tariff and accounting principles including related telecommunication economic and policy issues", I have the honour to inform you that, following the provisions in force, th</w:t>
      </w:r>
      <w:r w:rsidR="00A442D0" w:rsidRPr="00145081">
        <w:t>e</w:t>
      </w:r>
      <w:r w:rsidR="00593A2B" w:rsidRPr="00145081">
        <w:t xml:space="preserve"> Study Group agreed to submit the above-mentioned draft </w:t>
      </w:r>
      <w:r w:rsidR="008C6160" w:rsidRPr="00145081">
        <w:t xml:space="preserve">ITU-T </w:t>
      </w:r>
      <w:r w:rsidR="00593A2B" w:rsidRPr="00145081">
        <w:t xml:space="preserve">Recommendations </w:t>
      </w:r>
      <w:r w:rsidR="00A442D0" w:rsidRPr="00145081">
        <w:t>to</w:t>
      </w:r>
      <w:r w:rsidR="00593A2B" w:rsidRPr="00145081">
        <w:t xml:space="preserve"> WTSA-16</w:t>
      </w:r>
      <w:r w:rsidR="00A442D0" w:rsidRPr="00145081">
        <w:t xml:space="preserve"> for approval</w:t>
      </w:r>
      <w:r w:rsidR="00593A2B" w:rsidRPr="00145081">
        <w:t xml:space="preserve">. </w:t>
      </w:r>
      <w:r w:rsidR="00A442D0" w:rsidRPr="00145081">
        <w:t xml:space="preserve">The Chairman </w:t>
      </w:r>
      <w:r w:rsidR="00593A2B" w:rsidRPr="00145081">
        <w:t xml:space="preserve">also requested me to </w:t>
      </w:r>
      <w:r w:rsidR="00A442D0" w:rsidRPr="00145081">
        <w:t>conduct</w:t>
      </w:r>
      <w:r w:rsidR="00593A2B" w:rsidRPr="00145081">
        <w:t xml:space="preserve"> this consultation with </w:t>
      </w:r>
      <w:r w:rsidR="008C6160" w:rsidRPr="00145081">
        <w:t>M</w:t>
      </w:r>
      <w:r w:rsidR="00593A2B" w:rsidRPr="00145081">
        <w:t xml:space="preserve">ember </w:t>
      </w:r>
      <w:r w:rsidR="008C6160" w:rsidRPr="00145081">
        <w:t>S</w:t>
      </w:r>
      <w:r w:rsidR="00593A2B" w:rsidRPr="00145081">
        <w:t>tates.</w:t>
      </w:r>
    </w:p>
    <w:p w:rsidR="009A0915" w:rsidRPr="00145081" w:rsidRDefault="005F59FB" w:rsidP="000C33E1">
      <w:pPr>
        <w:rPr>
          <w:szCs w:val="22"/>
        </w:rPr>
      </w:pPr>
      <w:r w:rsidRPr="00145081">
        <w:rPr>
          <w:bCs/>
          <w:szCs w:val="22"/>
        </w:rPr>
        <w:t>2</w:t>
      </w:r>
      <w:r w:rsidRPr="00145081">
        <w:rPr>
          <w:szCs w:val="22"/>
        </w:rPr>
        <w:tab/>
        <w:t xml:space="preserve">The titles, summaries and locations of the draft ITU-T Recommendations proposed for approval </w:t>
      </w:r>
      <w:r w:rsidR="00AC5149" w:rsidRPr="00145081">
        <w:rPr>
          <w:szCs w:val="22"/>
        </w:rPr>
        <w:t xml:space="preserve">are </w:t>
      </w:r>
      <w:r w:rsidR="00D75F85" w:rsidRPr="00145081">
        <w:rPr>
          <w:szCs w:val="22"/>
        </w:rPr>
        <w:t xml:space="preserve">to </w:t>
      </w:r>
      <w:r w:rsidRPr="00145081">
        <w:rPr>
          <w:szCs w:val="22"/>
        </w:rPr>
        <w:t>be found in Annex 1.</w:t>
      </w:r>
      <w:r w:rsidR="00E759C6" w:rsidRPr="00145081">
        <w:rPr>
          <w:szCs w:val="22"/>
        </w:rPr>
        <w:t xml:space="preserve"> </w:t>
      </w:r>
    </w:p>
    <w:p w:rsidR="00DE4859" w:rsidRPr="00145081" w:rsidRDefault="003C55AB" w:rsidP="000C33E1">
      <w:pPr>
        <w:rPr>
          <w:szCs w:val="22"/>
        </w:rPr>
      </w:pPr>
      <w:r w:rsidRPr="00145081">
        <w:rPr>
          <w:szCs w:val="22"/>
        </w:rPr>
        <w:t>3</w:t>
      </w:r>
      <w:r w:rsidR="008C6160" w:rsidRPr="00145081">
        <w:rPr>
          <w:szCs w:val="22"/>
        </w:rPr>
        <w:tab/>
      </w:r>
      <w:r w:rsidR="005F59FB" w:rsidRPr="00145081">
        <w:rPr>
          <w:szCs w:val="22"/>
        </w:rPr>
        <w:t xml:space="preserve">Any ITU Member State, Sector Member, Associate or Academic Institution aware of a patent held by itself or </w:t>
      </w:r>
      <w:r w:rsidR="000C33E1" w:rsidRPr="00145081">
        <w:rPr>
          <w:szCs w:val="22"/>
        </w:rPr>
        <w:t>others, which may fully or partly cover elements of the draft Recommendations proposed for approval,</w:t>
      </w:r>
      <w:r w:rsidR="005F59FB" w:rsidRPr="00145081">
        <w:rPr>
          <w:szCs w:val="22"/>
        </w:rPr>
        <w:t xml:space="preserve"> is requested to disclose such information to TSB, in accordance with the Common Patent Policy for ITU-T/ITU-R/ISO/IEC.</w:t>
      </w:r>
      <w:r w:rsidR="008939F6" w:rsidRPr="00145081">
        <w:rPr>
          <w:szCs w:val="22"/>
        </w:rPr>
        <w:t xml:space="preserve"> </w:t>
      </w:r>
      <w:r w:rsidR="005F59FB" w:rsidRPr="00145081">
        <w:rPr>
          <w:szCs w:val="22"/>
        </w:rPr>
        <w:t>Available patent information can be accessed on line via the ITU-T website (</w:t>
      </w:r>
      <w:hyperlink r:id="rId10" w:history="1">
        <w:r w:rsidR="005F59FB" w:rsidRPr="00145081">
          <w:rPr>
            <w:rStyle w:val="Hyperlink"/>
            <w:szCs w:val="22"/>
          </w:rPr>
          <w:t>www.itu.int/ipr/</w:t>
        </w:r>
      </w:hyperlink>
      <w:r w:rsidR="005F59FB" w:rsidRPr="00145081">
        <w:rPr>
          <w:szCs w:val="22"/>
        </w:rPr>
        <w:t>).</w:t>
      </w:r>
    </w:p>
    <w:p w:rsidR="00DE4859" w:rsidRPr="00145081" w:rsidRDefault="005F59FB" w:rsidP="000C33E1">
      <w:r w:rsidRPr="00145081">
        <w:rPr>
          <w:bCs/>
        </w:rPr>
        <w:br w:type="page"/>
      </w:r>
      <w:r w:rsidRPr="00145081">
        <w:rPr>
          <w:bCs/>
        </w:rPr>
        <w:lastRenderedPageBreak/>
        <w:t>4</w:t>
      </w:r>
      <w:r w:rsidRPr="00145081">
        <w:tab/>
        <w:t xml:space="preserve">I should be grateful if you </w:t>
      </w:r>
      <w:r w:rsidR="00823B3C" w:rsidRPr="00145081">
        <w:t>c</w:t>
      </w:r>
      <w:r w:rsidR="008939F6" w:rsidRPr="00145081">
        <w:t xml:space="preserve">ould provide comments that your Administration may have on the draft Recommendations by </w:t>
      </w:r>
      <w:r w:rsidR="008D06F8" w:rsidRPr="00145081">
        <w:t xml:space="preserve">23 </w:t>
      </w:r>
      <w:r w:rsidR="008939F6" w:rsidRPr="00145081">
        <w:t xml:space="preserve">August 2016, in order to facilitate further consideration and approval of the draft Recommendations at </w:t>
      </w:r>
      <w:r w:rsidR="00233225" w:rsidRPr="00145081">
        <w:t>WTSA</w:t>
      </w:r>
      <w:r w:rsidR="00BB4BAC" w:rsidRPr="00145081">
        <w:t>-16</w:t>
      </w:r>
      <w:r w:rsidRPr="00145081">
        <w:t>.</w:t>
      </w:r>
      <w:r w:rsidR="008939F6" w:rsidRPr="00145081">
        <w:t xml:space="preserve"> The results of this consultation will be made available as input to WTSA-16.</w:t>
      </w:r>
    </w:p>
    <w:p w:rsidR="008939F6" w:rsidRPr="00145081" w:rsidRDefault="008939F6" w:rsidP="000C33E1">
      <w:r w:rsidRPr="00145081">
        <w:t>5</w:t>
      </w:r>
      <w:r w:rsidRPr="00145081">
        <w:tab/>
        <w:t>Relevant info</w:t>
      </w:r>
      <w:r w:rsidR="000C33E1">
        <w:t xml:space="preserve">rmation concerning WTSA-16 will </w:t>
      </w:r>
      <w:r w:rsidRPr="00145081">
        <w:t>be made available in due course on the WTSA-16 website</w:t>
      </w:r>
      <w:r w:rsidR="00936740" w:rsidRPr="00145081">
        <w:t xml:space="preserve"> (</w:t>
      </w:r>
      <w:hyperlink r:id="rId11" w:history="1">
        <w:r w:rsidR="00936740" w:rsidRPr="00145081">
          <w:rPr>
            <w:rStyle w:val="Hyperlink"/>
          </w:rPr>
          <w:t>http://itu.int/en/I</w:t>
        </w:r>
        <w:r w:rsidR="00936740" w:rsidRPr="00145081">
          <w:rPr>
            <w:rStyle w:val="Hyperlink"/>
          </w:rPr>
          <w:t>T</w:t>
        </w:r>
        <w:r w:rsidR="00936740" w:rsidRPr="00145081">
          <w:rPr>
            <w:rStyle w:val="Hyperlink"/>
          </w:rPr>
          <w:t>U-T/wtsa16</w:t>
        </w:r>
      </w:hyperlink>
      <w:r w:rsidR="00936740" w:rsidRPr="00145081">
        <w:t>)</w:t>
      </w:r>
      <w:r w:rsidRPr="00145081">
        <w:t xml:space="preserve">. </w:t>
      </w:r>
    </w:p>
    <w:p w:rsidR="005D7EF9" w:rsidRDefault="008939F6" w:rsidP="00E111AC">
      <w:pPr>
        <w:spacing w:before="480"/>
        <w:jc w:val="both"/>
      </w:pPr>
      <w:r w:rsidRPr="00145081">
        <w:t>Yours faithfully,</w:t>
      </w:r>
    </w:p>
    <w:p w:rsidR="00913313" w:rsidRDefault="00913313" w:rsidP="005D7EF9">
      <w:pPr>
        <w:spacing w:before="0"/>
        <w:jc w:val="both"/>
      </w:pPr>
    </w:p>
    <w:p w:rsidR="00913313" w:rsidRDefault="00913313" w:rsidP="005D7EF9">
      <w:pPr>
        <w:spacing w:before="0"/>
        <w:jc w:val="both"/>
      </w:pPr>
    </w:p>
    <w:p w:rsidR="00913313" w:rsidRDefault="00913313" w:rsidP="005D7EF9">
      <w:pPr>
        <w:spacing w:before="0"/>
        <w:jc w:val="both"/>
      </w:pPr>
    </w:p>
    <w:p w:rsidR="00913313" w:rsidRDefault="00913313" w:rsidP="005D7EF9">
      <w:pPr>
        <w:spacing w:before="0"/>
        <w:jc w:val="both"/>
      </w:pPr>
    </w:p>
    <w:p w:rsidR="00913313" w:rsidRDefault="00913313" w:rsidP="005D7EF9">
      <w:pPr>
        <w:spacing w:before="0"/>
        <w:jc w:val="both"/>
      </w:pPr>
    </w:p>
    <w:p w:rsidR="005D7EF9" w:rsidRDefault="005D7EF9" w:rsidP="005D7EF9">
      <w:pPr>
        <w:spacing w:before="0"/>
        <w:jc w:val="both"/>
        <w:rPr>
          <w:szCs w:val="24"/>
        </w:rPr>
      </w:pPr>
      <w:r>
        <w:br/>
      </w:r>
      <w:r w:rsidR="005F59FB" w:rsidRPr="00145081">
        <w:rPr>
          <w:szCs w:val="24"/>
        </w:rPr>
        <w:t>Chaesub Lee</w:t>
      </w:r>
    </w:p>
    <w:p w:rsidR="005D7EF9" w:rsidRDefault="005F59FB" w:rsidP="005D7EF9">
      <w:pPr>
        <w:spacing w:before="0"/>
        <w:jc w:val="both"/>
      </w:pPr>
      <w:r w:rsidRPr="00145081">
        <w:t>Director of the Telecommunication</w:t>
      </w:r>
    </w:p>
    <w:p w:rsidR="00DE4859" w:rsidRPr="00145081" w:rsidRDefault="005F59FB" w:rsidP="005D7EF9">
      <w:pPr>
        <w:spacing w:before="0"/>
        <w:jc w:val="both"/>
      </w:pPr>
      <w:r w:rsidRPr="00145081">
        <w:t>Standardization Bureau</w:t>
      </w:r>
    </w:p>
    <w:p w:rsidR="005D7EF9" w:rsidRDefault="005D7EF9">
      <w:pPr>
        <w:spacing w:before="360"/>
        <w:rPr>
          <w:b/>
        </w:rPr>
      </w:pPr>
    </w:p>
    <w:p w:rsidR="005D7EF9" w:rsidRDefault="005D7EF9">
      <w:pPr>
        <w:spacing w:before="360"/>
        <w:rPr>
          <w:b/>
        </w:rPr>
      </w:pPr>
    </w:p>
    <w:p w:rsidR="00DE4859" w:rsidRPr="00145081" w:rsidRDefault="005F59FB">
      <w:pPr>
        <w:spacing w:before="360"/>
        <w:rPr>
          <w:b/>
          <w:bCs/>
        </w:rPr>
      </w:pPr>
      <w:r w:rsidRPr="00145081">
        <w:rPr>
          <w:b/>
        </w:rPr>
        <w:t>Annex: 1</w:t>
      </w:r>
    </w:p>
    <w:p w:rsidR="00DE4859" w:rsidRPr="007329EF" w:rsidRDefault="005F59FB">
      <w:pPr>
        <w:tabs>
          <w:tab w:val="clear" w:pos="794"/>
          <w:tab w:val="clear" w:pos="1191"/>
          <w:tab w:val="clear" w:pos="1588"/>
          <w:tab w:val="clear" w:pos="1985"/>
        </w:tabs>
        <w:overflowPunct/>
        <w:autoSpaceDE/>
        <w:autoSpaceDN/>
        <w:adjustRightInd/>
        <w:spacing w:before="0"/>
        <w:textAlignment w:val="auto"/>
        <w:rPr>
          <w:rFonts w:ascii="Times New Roman" w:hAnsi="Times New Roman"/>
        </w:rPr>
      </w:pPr>
      <w:r w:rsidRPr="00145081">
        <w:br w:type="page"/>
      </w:r>
    </w:p>
    <w:p w:rsidR="00DE4859" w:rsidRPr="005D7EF9" w:rsidRDefault="005F59FB">
      <w:pPr>
        <w:pStyle w:val="Annextitle"/>
        <w:rPr>
          <w:sz w:val="24"/>
          <w:szCs w:val="24"/>
        </w:rPr>
      </w:pPr>
      <w:r w:rsidRPr="005D7EF9">
        <w:rPr>
          <w:b w:val="0"/>
          <w:bCs/>
          <w:sz w:val="24"/>
          <w:szCs w:val="24"/>
        </w:rPr>
        <w:t>Annex 1</w:t>
      </w:r>
      <w:r w:rsidRPr="005D7EF9">
        <w:rPr>
          <w:b w:val="0"/>
          <w:bCs/>
          <w:sz w:val="24"/>
          <w:szCs w:val="24"/>
        </w:rPr>
        <w:br/>
        <w:t>(to TSB Circular 209)</w:t>
      </w:r>
    </w:p>
    <w:p w:rsidR="00DE4859" w:rsidRPr="005D7EF9" w:rsidRDefault="005F59FB" w:rsidP="000C33E1">
      <w:pPr>
        <w:pStyle w:val="Annextitle"/>
        <w:spacing w:before="360" w:after="360"/>
        <w:rPr>
          <w:sz w:val="24"/>
          <w:szCs w:val="24"/>
        </w:rPr>
      </w:pPr>
      <w:r w:rsidRPr="005D7EF9">
        <w:rPr>
          <w:sz w:val="24"/>
          <w:szCs w:val="24"/>
        </w:rPr>
        <w:t>Summary and location</w:t>
      </w:r>
    </w:p>
    <w:p w:rsidR="009E3FD2" w:rsidRPr="005D7EF9" w:rsidRDefault="005F59FB" w:rsidP="009E3FD2">
      <w:pPr>
        <w:pStyle w:val="Heading1"/>
        <w:ind w:left="0" w:firstLine="0"/>
        <w:rPr>
          <w:sz w:val="24"/>
          <w:szCs w:val="24"/>
          <w:lang w:val="en-US"/>
        </w:rPr>
      </w:pPr>
      <w:r w:rsidRPr="005D7EF9">
        <w:rPr>
          <w:sz w:val="24"/>
          <w:szCs w:val="24"/>
          <w:lang w:val="en-US"/>
        </w:rPr>
        <w:t>1</w:t>
      </w:r>
      <w:r w:rsidRPr="005D7EF9">
        <w:rPr>
          <w:sz w:val="24"/>
          <w:szCs w:val="24"/>
          <w:lang w:val="en-US"/>
        </w:rPr>
        <w:tab/>
        <w:t xml:space="preserve">Draft </w:t>
      </w:r>
      <w:r w:rsidR="008C5D72" w:rsidRPr="005D7EF9">
        <w:rPr>
          <w:sz w:val="24"/>
          <w:szCs w:val="24"/>
          <w:lang w:val="en-US"/>
        </w:rPr>
        <w:t xml:space="preserve">New </w:t>
      </w:r>
      <w:r w:rsidRPr="005D7EF9">
        <w:rPr>
          <w:sz w:val="24"/>
          <w:szCs w:val="24"/>
          <w:lang w:val="en-US"/>
        </w:rPr>
        <w:t>Recommendation ITU-T D.52</w:t>
      </w:r>
      <w:r w:rsidR="00C70152" w:rsidRPr="005D7EF9">
        <w:rPr>
          <w:sz w:val="24"/>
          <w:szCs w:val="24"/>
          <w:lang w:val="en-US"/>
        </w:rPr>
        <w:t>,</w:t>
      </w:r>
      <w:r w:rsidR="00C70152" w:rsidRPr="005D7EF9">
        <w:rPr>
          <w:sz w:val="24"/>
          <w:szCs w:val="24"/>
        </w:rPr>
        <w:t xml:space="preserve"> </w:t>
      </w:r>
      <w:r w:rsidR="00C70152" w:rsidRPr="005D7EF9">
        <w:rPr>
          <w:sz w:val="24"/>
          <w:szCs w:val="24"/>
          <w:lang w:val="en-US"/>
        </w:rPr>
        <w:t xml:space="preserve">Establishing and Connecting Regional IXPs to reduce the costs of International Internet Connectivity </w:t>
      </w:r>
    </w:p>
    <w:p w:rsidR="00DE4859" w:rsidRPr="005D7EF9" w:rsidRDefault="00CC6330" w:rsidP="009E3FD2">
      <w:pPr>
        <w:pStyle w:val="Heading1"/>
        <w:ind w:left="0" w:firstLine="0"/>
        <w:rPr>
          <w:sz w:val="24"/>
          <w:szCs w:val="24"/>
          <w:lang w:val="en-US"/>
        </w:rPr>
      </w:pPr>
      <w:hyperlink r:id="rId12" w:history="1">
        <w:r w:rsidRPr="005D7EF9">
          <w:rPr>
            <w:rStyle w:val="Hyperlink"/>
            <w:sz w:val="24"/>
            <w:szCs w:val="24"/>
            <w:lang w:val="en-US"/>
          </w:rPr>
          <w:t>COM</w:t>
        </w:r>
        <w:r w:rsidRPr="005D7EF9">
          <w:rPr>
            <w:rStyle w:val="Hyperlink"/>
            <w:sz w:val="24"/>
            <w:szCs w:val="24"/>
            <w:lang w:val="en-US"/>
          </w:rPr>
          <w:t>3</w:t>
        </w:r>
        <w:r w:rsidRPr="005D7EF9">
          <w:rPr>
            <w:rStyle w:val="Hyperlink"/>
            <w:sz w:val="24"/>
            <w:szCs w:val="24"/>
            <w:lang w:val="en-US"/>
          </w:rPr>
          <w:t>-</w:t>
        </w:r>
        <w:r w:rsidRPr="005D7EF9">
          <w:rPr>
            <w:rStyle w:val="Hyperlink"/>
            <w:sz w:val="24"/>
            <w:szCs w:val="24"/>
            <w:lang w:val="en-US"/>
          </w:rPr>
          <w:t>R</w:t>
        </w:r>
        <w:r w:rsidRPr="005D7EF9">
          <w:rPr>
            <w:rStyle w:val="Hyperlink"/>
            <w:sz w:val="24"/>
            <w:szCs w:val="24"/>
            <w:lang w:val="en-US"/>
          </w:rPr>
          <w:t>17</w:t>
        </w:r>
      </w:hyperlink>
    </w:p>
    <w:p w:rsidR="00DE4859" w:rsidRPr="005D7EF9" w:rsidRDefault="005F59FB">
      <w:pPr>
        <w:pStyle w:val="Heading2"/>
        <w:rPr>
          <w:szCs w:val="24"/>
        </w:rPr>
      </w:pPr>
      <w:r w:rsidRPr="005D7EF9">
        <w:rPr>
          <w:szCs w:val="24"/>
        </w:rPr>
        <w:t>Summary</w:t>
      </w:r>
    </w:p>
    <w:p w:rsidR="00DE4859" w:rsidRPr="005D7EF9" w:rsidRDefault="005F59FB">
      <w:pPr>
        <w:rPr>
          <w:szCs w:val="24"/>
        </w:rPr>
      </w:pPr>
      <w:r w:rsidRPr="005D7EF9">
        <w:rPr>
          <w:szCs w:val="24"/>
        </w:rPr>
        <w:t>Recommendation ITU-T D.52 "Establishing and connecting regional Internet Exchange Points (IXPs) to reduce costs of international Internet connectivity" guides regional collaboration to establish central hubs or IXPs that enable local Internet traffic to be routed locally, saving international bandwidth and reducing the costs of international Internet connectivity.</w:t>
      </w:r>
    </w:p>
    <w:p w:rsidR="009E3FD2" w:rsidRPr="005D7EF9" w:rsidRDefault="005F59FB" w:rsidP="009E3FD2">
      <w:pPr>
        <w:pStyle w:val="Heading1"/>
        <w:ind w:left="0" w:firstLine="0"/>
        <w:rPr>
          <w:sz w:val="24"/>
          <w:szCs w:val="24"/>
          <w:lang w:val="en-US"/>
        </w:rPr>
      </w:pPr>
      <w:r w:rsidRPr="005D7EF9">
        <w:rPr>
          <w:sz w:val="24"/>
          <w:szCs w:val="24"/>
          <w:lang w:val="en-US"/>
        </w:rPr>
        <w:t>2</w:t>
      </w:r>
      <w:r w:rsidRPr="005D7EF9">
        <w:rPr>
          <w:sz w:val="24"/>
          <w:szCs w:val="24"/>
          <w:lang w:val="en-US"/>
        </w:rPr>
        <w:tab/>
        <w:t xml:space="preserve">Draft </w:t>
      </w:r>
      <w:r w:rsidR="008C5D72" w:rsidRPr="005D7EF9">
        <w:rPr>
          <w:sz w:val="24"/>
          <w:szCs w:val="24"/>
          <w:lang w:val="en-US"/>
        </w:rPr>
        <w:t xml:space="preserve">New </w:t>
      </w:r>
      <w:r w:rsidRPr="005D7EF9">
        <w:rPr>
          <w:sz w:val="24"/>
          <w:szCs w:val="24"/>
          <w:lang w:val="en-US"/>
        </w:rPr>
        <w:t>Recommendation ITU-T D.53</w:t>
      </w:r>
      <w:r w:rsidR="009E3FD2" w:rsidRPr="005D7EF9">
        <w:rPr>
          <w:sz w:val="24"/>
          <w:szCs w:val="24"/>
          <w:lang w:val="en-US"/>
        </w:rPr>
        <w:t>,</w:t>
      </w:r>
      <w:r w:rsidR="00C70152" w:rsidRPr="005D7EF9">
        <w:rPr>
          <w:sz w:val="24"/>
          <w:szCs w:val="24"/>
          <w:lang w:val="en-US"/>
        </w:rPr>
        <w:t xml:space="preserve"> International Aspects of Universal Service</w:t>
      </w:r>
      <w:r w:rsidR="009E3FD2" w:rsidRPr="005D7EF9">
        <w:rPr>
          <w:sz w:val="24"/>
          <w:szCs w:val="24"/>
          <w:lang w:val="en-US"/>
        </w:rPr>
        <w:t xml:space="preserve"> </w:t>
      </w:r>
      <w:r w:rsidRPr="005D7EF9">
        <w:rPr>
          <w:sz w:val="24"/>
          <w:szCs w:val="24"/>
          <w:lang w:val="en-US"/>
        </w:rPr>
        <w:t xml:space="preserve"> </w:t>
      </w:r>
    </w:p>
    <w:p w:rsidR="00DE4859" w:rsidRPr="005D7EF9" w:rsidRDefault="00CC6330" w:rsidP="009E3FD2">
      <w:pPr>
        <w:pStyle w:val="Heading1"/>
        <w:ind w:left="0" w:firstLine="0"/>
        <w:rPr>
          <w:sz w:val="24"/>
          <w:szCs w:val="24"/>
          <w:lang w:val="en-US"/>
        </w:rPr>
      </w:pPr>
      <w:hyperlink r:id="rId13" w:history="1">
        <w:r w:rsidRPr="005D7EF9">
          <w:rPr>
            <w:rStyle w:val="Hyperlink"/>
            <w:sz w:val="24"/>
            <w:szCs w:val="24"/>
            <w:lang w:val="en-US"/>
          </w:rPr>
          <w:t>COM</w:t>
        </w:r>
        <w:r w:rsidRPr="005D7EF9">
          <w:rPr>
            <w:rStyle w:val="Hyperlink"/>
            <w:sz w:val="24"/>
            <w:szCs w:val="24"/>
            <w:lang w:val="en-US"/>
          </w:rPr>
          <w:t>3</w:t>
        </w:r>
        <w:r w:rsidRPr="005D7EF9">
          <w:rPr>
            <w:rStyle w:val="Hyperlink"/>
            <w:sz w:val="24"/>
            <w:szCs w:val="24"/>
            <w:lang w:val="en-US"/>
          </w:rPr>
          <w:t>-</w:t>
        </w:r>
        <w:r w:rsidRPr="005D7EF9">
          <w:rPr>
            <w:rStyle w:val="Hyperlink"/>
            <w:sz w:val="24"/>
            <w:szCs w:val="24"/>
            <w:lang w:val="en-US"/>
          </w:rPr>
          <w:t>R</w:t>
        </w:r>
        <w:r w:rsidRPr="005D7EF9">
          <w:rPr>
            <w:rStyle w:val="Hyperlink"/>
            <w:sz w:val="24"/>
            <w:szCs w:val="24"/>
            <w:lang w:val="en-US"/>
          </w:rPr>
          <w:t>18</w:t>
        </w:r>
      </w:hyperlink>
    </w:p>
    <w:p w:rsidR="00DE4859" w:rsidRPr="005D7EF9" w:rsidRDefault="005F59FB">
      <w:pPr>
        <w:pStyle w:val="Heading2"/>
        <w:rPr>
          <w:szCs w:val="24"/>
        </w:rPr>
      </w:pPr>
      <w:r w:rsidRPr="005D7EF9">
        <w:rPr>
          <w:szCs w:val="24"/>
        </w:rPr>
        <w:t>Summary</w:t>
      </w:r>
    </w:p>
    <w:p w:rsidR="00DE4859" w:rsidRPr="005D7EF9" w:rsidRDefault="005F59FB">
      <w:pPr>
        <w:rPr>
          <w:szCs w:val="24"/>
        </w:rPr>
      </w:pPr>
      <w:r w:rsidRPr="005D7EF9">
        <w:rPr>
          <w:szCs w:val="24"/>
        </w:rPr>
        <w:t xml:space="preserve">Recommendation ITU-T D.53 on International Aspects of Universal Service, while recognizing the sovereign right of Member States to define and regulate their universal service/access </w:t>
      </w:r>
      <w:r w:rsidR="00C70152" w:rsidRPr="005D7EF9">
        <w:rPr>
          <w:szCs w:val="24"/>
        </w:rPr>
        <w:t>policies, proposes</w:t>
      </w:r>
      <w:r w:rsidRPr="005D7EF9">
        <w:rPr>
          <w:szCs w:val="24"/>
        </w:rPr>
        <w:t xml:space="preserve"> </w:t>
      </w:r>
      <w:r w:rsidRPr="005D7EF9">
        <w:rPr>
          <w:szCs w:val="24"/>
        </w:rPr>
        <w:lastRenderedPageBreak/>
        <w:t>general outlines to guide governments and regulators in their tasks and management functions regarding universal service funds in a globalized digital environment.</w:t>
      </w:r>
    </w:p>
    <w:p w:rsidR="009E3FD2" w:rsidRPr="005D7EF9" w:rsidRDefault="005F59FB" w:rsidP="009E3FD2">
      <w:pPr>
        <w:pStyle w:val="Heading1"/>
        <w:ind w:left="0" w:firstLine="0"/>
        <w:rPr>
          <w:sz w:val="24"/>
          <w:szCs w:val="24"/>
          <w:lang w:val="en-US"/>
        </w:rPr>
      </w:pPr>
      <w:r w:rsidRPr="005D7EF9">
        <w:rPr>
          <w:sz w:val="24"/>
          <w:szCs w:val="24"/>
          <w:lang w:val="en-US"/>
        </w:rPr>
        <w:t>3</w:t>
      </w:r>
      <w:r w:rsidRPr="005D7EF9">
        <w:rPr>
          <w:sz w:val="24"/>
          <w:szCs w:val="24"/>
          <w:lang w:val="en-US"/>
        </w:rPr>
        <w:tab/>
        <w:t>Draft</w:t>
      </w:r>
      <w:r w:rsidR="008C5D72" w:rsidRPr="005D7EF9">
        <w:rPr>
          <w:sz w:val="24"/>
          <w:szCs w:val="24"/>
          <w:lang w:val="en-US"/>
        </w:rPr>
        <w:t xml:space="preserve"> New</w:t>
      </w:r>
      <w:r w:rsidRPr="005D7EF9">
        <w:rPr>
          <w:sz w:val="24"/>
          <w:szCs w:val="24"/>
          <w:lang w:val="en-US"/>
        </w:rPr>
        <w:t xml:space="preserve"> Recommendation ITU-T D.97</w:t>
      </w:r>
      <w:r w:rsidR="009E3FD2" w:rsidRPr="005D7EF9">
        <w:rPr>
          <w:sz w:val="24"/>
          <w:szCs w:val="24"/>
          <w:lang w:val="en-US"/>
        </w:rPr>
        <w:t>, Methodological principles for determining international mobile roaming rates</w:t>
      </w:r>
      <w:r w:rsidRPr="005D7EF9">
        <w:rPr>
          <w:sz w:val="24"/>
          <w:szCs w:val="24"/>
          <w:lang w:val="en-US"/>
        </w:rPr>
        <w:t xml:space="preserve"> </w:t>
      </w:r>
    </w:p>
    <w:p w:rsidR="00DE4859" w:rsidRPr="005D7EF9" w:rsidRDefault="00CC6330" w:rsidP="00CC6330">
      <w:pPr>
        <w:pStyle w:val="Heading1"/>
        <w:rPr>
          <w:sz w:val="24"/>
          <w:szCs w:val="24"/>
          <w:lang w:val="en-US"/>
        </w:rPr>
      </w:pPr>
      <w:hyperlink r:id="rId14" w:history="1">
        <w:r w:rsidRPr="005D7EF9">
          <w:rPr>
            <w:rStyle w:val="Hyperlink"/>
            <w:sz w:val="24"/>
            <w:szCs w:val="24"/>
            <w:lang w:val="en-US"/>
          </w:rPr>
          <w:t>COM</w:t>
        </w:r>
        <w:r w:rsidRPr="005D7EF9">
          <w:rPr>
            <w:rStyle w:val="Hyperlink"/>
            <w:sz w:val="24"/>
            <w:szCs w:val="24"/>
            <w:lang w:val="en-US"/>
          </w:rPr>
          <w:t>3</w:t>
        </w:r>
        <w:r w:rsidRPr="005D7EF9">
          <w:rPr>
            <w:rStyle w:val="Hyperlink"/>
            <w:sz w:val="24"/>
            <w:szCs w:val="24"/>
            <w:lang w:val="en-US"/>
          </w:rPr>
          <w:t>-</w:t>
        </w:r>
        <w:r w:rsidRPr="005D7EF9">
          <w:rPr>
            <w:rStyle w:val="Hyperlink"/>
            <w:sz w:val="24"/>
            <w:szCs w:val="24"/>
            <w:lang w:val="en-US"/>
          </w:rPr>
          <w:t>R</w:t>
        </w:r>
        <w:r w:rsidRPr="005D7EF9">
          <w:rPr>
            <w:rStyle w:val="Hyperlink"/>
            <w:sz w:val="24"/>
            <w:szCs w:val="24"/>
            <w:lang w:val="en-US"/>
          </w:rPr>
          <w:t>20</w:t>
        </w:r>
      </w:hyperlink>
      <w:hyperlink r:id="rId15" w:history="1"/>
    </w:p>
    <w:p w:rsidR="00DE4859" w:rsidRPr="005D7EF9" w:rsidRDefault="005F59FB">
      <w:pPr>
        <w:pStyle w:val="Heading2"/>
        <w:rPr>
          <w:szCs w:val="24"/>
        </w:rPr>
      </w:pPr>
      <w:r w:rsidRPr="005D7EF9">
        <w:rPr>
          <w:szCs w:val="24"/>
        </w:rPr>
        <w:t>Summary</w:t>
      </w:r>
    </w:p>
    <w:p w:rsidR="00DE4859" w:rsidRPr="005D7EF9" w:rsidRDefault="005F59FB">
      <w:pPr>
        <w:rPr>
          <w:szCs w:val="24"/>
        </w:rPr>
      </w:pPr>
      <w:r w:rsidRPr="005D7EF9">
        <w:rPr>
          <w:szCs w:val="24"/>
        </w:rPr>
        <w:t>Recommendation ITU-T D.97 "Methodological principles for determining international mobile roaming rates" proposes possible approaches to the reduction of excessive roaming rates, highlighting the need to encourage competition in the roaming market, educate consumers and consider appropriate regulatory actions such as the introduction of caps on roaming rates.</w:t>
      </w:r>
    </w:p>
    <w:p w:rsidR="009E3FD2" w:rsidRPr="005D7EF9" w:rsidRDefault="005F59FB" w:rsidP="009E3FD2">
      <w:pPr>
        <w:pStyle w:val="Heading1"/>
        <w:ind w:left="0" w:firstLine="0"/>
        <w:rPr>
          <w:sz w:val="24"/>
          <w:szCs w:val="24"/>
          <w:lang w:val="en-US"/>
        </w:rPr>
      </w:pPr>
      <w:r w:rsidRPr="005D7EF9">
        <w:rPr>
          <w:sz w:val="24"/>
          <w:szCs w:val="24"/>
          <w:lang w:val="en-US"/>
        </w:rPr>
        <w:t>4</w:t>
      </w:r>
      <w:r w:rsidRPr="005D7EF9">
        <w:rPr>
          <w:sz w:val="24"/>
          <w:szCs w:val="24"/>
          <w:lang w:val="en-US"/>
        </w:rPr>
        <w:tab/>
        <w:t xml:space="preserve">Draft </w:t>
      </w:r>
      <w:r w:rsidR="008C5D72" w:rsidRPr="005D7EF9">
        <w:rPr>
          <w:sz w:val="24"/>
          <w:szCs w:val="24"/>
          <w:lang w:val="en-US"/>
        </w:rPr>
        <w:t xml:space="preserve">New </w:t>
      </w:r>
      <w:r w:rsidRPr="005D7EF9">
        <w:rPr>
          <w:sz w:val="24"/>
          <w:szCs w:val="24"/>
          <w:lang w:val="en-US"/>
        </w:rPr>
        <w:t>Recommendation ITU-T D.261</w:t>
      </w:r>
      <w:r w:rsidR="009E3FD2" w:rsidRPr="005D7EF9">
        <w:rPr>
          <w:sz w:val="24"/>
          <w:szCs w:val="24"/>
          <w:lang w:val="en-US"/>
        </w:rPr>
        <w:t>, Regulatory principles for market definition and identification of operators with significant market power – SMP</w:t>
      </w:r>
    </w:p>
    <w:p w:rsidR="00DE4859" w:rsidRPr="005D7EF9" w:rsidRDefault="00CC6330" w:rsidP="00CC6330">
      <w:pPr>
        <w:pStyle w:val="Heading1"/>
        <w:rPr>
          <w:sz w:val="24"/>
          <w:szCs w:val="24"/>
          <w:lang w:val="en-US"/>
        </w:rPr>
      </w:pPr>
      <w:hyperlink r:id="rId16" w:history="1">
        <w:r w:rsidRPr="005D7EF9">
          <w:rPr>
            <w:rStyle w:val="Hyperlink"/>
            <w:sz w:val="24"/>
            <w:szCs w:val="24"/>
            <w:lang w:val="en-US"/>
          </w:rPr>
          <w:t>COM</w:t>
        </w:r>
        <w:r w:rsidRPr="005D7EF9">
          <w:rPr>
            <w:rStyle w:val="Hyperlink"/>
            <w:sz w:val="24"/>
            <w:szCs w:val="24"/>
            <w:lang w:val="en-US"/>
          </w:rPr>
          <w:t>3</w:t>
        </w:r>
        <w:r w:rsidRPr="005D7EF9">
          <w:rPr>
            <w:rStyle w:val="Hyperlink"/>
            <w:sz w:val="24"/>
            <w:szCs w:val="24"/>
            <w:lang w:val="en-US"/>
          </w:rPr>
          <w:t>-R21</w:t>
        </w:r>
      </w:hyperlink>
    </w:p>
    <w:p w:rsidR="00DE4859" w:rsidRPr="005D7EF9" w:rsidRDefault="005F59FB">
      <w:pPr>
        <w:pStyle w:val="Heading2"/>
        <w:rPr>
          <w:szCs w:val="24"/>
        </w:rPr>
      </w:pPr>
      <w:r w:rsidRPr="005D7EF9">
        <w:rPr>
          <w:szCs w:val="24"/>
        </w:rPr>
        <w:t>Summary</w:t>
      </w:r>
    </w:p>
    <w:p w:rsidR="00DE4859" w:rsidRPr="005D7EF9" w:rsidRDefault="005F59FB">
      <w:pPr>
        <w:rPr>
          <w:szCs w:val="24"/>
        </w:rPr>
      </w:pPr>
      <w:r w:rsidRPr="005D7EF9">
        <w:rPr>
          <w:szCs w:val="24"/>
        </w:rPr>
        <w:t>Recommendation ITU-T D.261 "Principles for market definition and identification of operators with significant market power" proposes principles and guidelines to assist countries in defining and identifying significant market power in the telecommunications sector.</w:t>
      </w:r>
    </w:p>
    <w:p w:rsidR="009E3FD2" w:rsidRPr="005D7EF9" w:rsidRDefault="005F59FB" w:rsidP="009E3FD2">
      <w:pPr>
        <w:pStyle w:val="Heading1"/>
        <w:ind w:left="0" w:firstLine="0"/>
        <w:rPr>
          <w:sz w:val="24"/>
          <w:szCs w:val="24"/>
          <w:lang w:val="en-US"/>
        </w:rPr>
      </w:pPr>
      <w:r w:rsidRPr="005D7EF9">
        <w:rPr>
          <w:sz w:val="24"/>
          <w:szCs w:val="24"/>
          <w:lang w:val="en-US"/>
        </w:rPr>
        <w:lastRenderedPageBreak/>
        <w:t>5</w:t>
      </w:r>
      <w:r w:rsidRPr="005D7EF9">
        <w:rPr>
          <w:sz w:val="24"/>
          <w:szCs w:val="24"/>
          <w:lang w:val="en-US"/>
        </w:rPr>
        <w:tab/>
        <w:t xml:space="preserve">Draft </w:t>
      </w:r>
      <w:r w:rsidR="009E3FD2" w:rsidRPr="005D7EF9">
        <w:rPr>
          <w:sz w:val="24"/>
          <w:szCs w:val="24"/>
        </w:rPr>
        <w:t>Revised</w:t>
      </w:r>
      <w:r w:rsidR="009E3FD2" w:rsidRPr="005D7EF9">
        <w:rPr>
          <w:sz w:val="24"/>
          <w:szCs w:val="24"/>
          <w:lang w:val="en-US"/>
        </w:rPr>
        <w:t xml:space="preserve"> Recommendation</w:t>
      </w:r>
      <w:r w:rsidRPr="005D7EF9">
        <w:rPr>
          <w:sz w:val="24"/>
          <w:szCs w:val="24"/>
          <w:lang w:val="en-US"/>
        </w:rPr>
        <w:t xml:space="preserve"> ITU-T D.271</w:t>
      </w:r>
      <w:r w:rsidR="009E3FD2" w:rsidRPr="005D7EF9">
        <w:rPr>
          <w:sz w:val="24"/>
          <w:szCs w:val="24"/>
          <w:lang w:val="en-US"/>
        </w:rPr>
        <w:t>, Charging and accounting principle for NGN</w:t>
      </w:r>
    </w:p>
    <w:p w:rsidR="00DE4859" w:rsidRPr="005D7EF9" w:rsidRDefault="00CC6330" w:rsidP="00CC6330">
      <w:pPr>
        <w:pStyle w:val="Heading1"/>
        <w:rPr>
          <w:sz w:val="24"/>
          <w:szCs w:val="24"/>
          <w:lang w:val="en-US"/>
        </w:rPr>
      </w:pPr>
      <w:hyperlink r:id="rId17" w:history="1">
        <w:r w:rsidRPr="005D7EF9">
          <w:rPr>
            <w:rStyle w:val="Hyperlink"/>
            <w:sz w:val="24"/>
            <w:szCs w:val="24"/>
            <w:lang w:val="en-US"/>
          </w:rPr>
          <w:t>CO</w:t>
        </w:r>
        <w:r w:rsidRPr="005D7EF9">
          <w:rPr>
            <w:rStyle w:val="Hyperlink"/>
            <w:sz w:val="24"/>
            <w:szCs w:val="24"/>
            <w:lang w:val="en-US"/>
          </w:rPr>
          <w:t>M</w:t>
        </w:r>
        <w:r w:rsidRPr="005D7EF9">
          <w:rPr>
            <w:rStyle w:val="Hyperlink"/>
            <w:sz w:val="24"/>
            <w:szCs w:val="24"/>
            <w:lang w:val="en-US"/>
          </w:rPr>
          <w:t>3</w:t>
        </w:r>
        <w:r w:rsidRPr="005D7EF9">
          <w:rPr>
            <w:rStyle w:val="Hyperlink"/>
            <w:sz w:val="24"/>
            <w:szCs w:val="24"/>
            <w:lang w:val="en-US"/>
          </w:rPr>
          <w:t>-</w:t>
        </w:r>
        <w:r w:rsidRPr="005D7EF9">
          <w:rPr>
            <w:rStyle w:val="Hyperlink"/>
            <w:sz w:val="24"/>
            <w:szCs w:val="24"/>
            <w:lang w:val="en-US"/>
          </w:rPr>
          <w:t>R19</w:t>
        </w:r>
      </w:hyperlink>
    </w:p>
    <w:p w:rsidR="00DE4859" w:rsidRPr="005D7EF9" w:rsidRDefault="005F59FB">
      <w:pPr>
        <w:pStyle w:val="Heading2"/>
        <w:rPr>
          <w:szCs w:val="24"/>
        </w:rPr>
      </w:pPr>
      <w:r w:rsidRPr="005D7EF9">
        <w:rPr>
          <w:szCs w:val="24"/>
        </w:rPr>
        <w:t>Summary</w:t>
      </w:r>
    </w:p>
    <w:p w:rsidR="00DE4859" w:rsidRPr="005D7EF9" w:rsidRDefault="005F59FB">
      <w:pPr>
        <w:rPr>
          <w:szCs w:val="24"/>
        </w:rPr>
      </w:pPr>
      <w:r w:rsidRPr="005D7EF9">
        <w:rPr>
          <w:szCs w:val="24"/>
        </w:rPr>
        <w:t>ITU-T Recommendation D.271 sets out the general principles and conditions applicable by administrations for the capability to transport IP packets over IP-based networks between standards-based interfaces and the services that they support.</w:t>
      </w:r>
    </w:p>
    <w:p w:rsidR="00DE4859" w:rsidRPr="005D7EF9" w:rsidRDefault="005F59FB">
      <w:pPr>
        <w:spacing w:before="720"/>
        <w:jc w:val="center"/>
        <w:rPr>
          <w:szCs w:val="24"/>
        </w:rPr>
      </w:pPr>
      <w:r w:rsidRPr="005D7EF9">
        <w:rPr>
          <w:szCs w:val="24"/>
        </w:rPr>
        <w:t>___________</w:t>
      </w:r>
    </w:p>
    <w:sectPr w:rsidR="00DE4859" w:rsidRPr="005D7EF9" w:rsidSect="00DE4859">
      <w:headerReference w:type="default" r:id="rId18"/>
      <w:footerReference w:type="default" r:id="rId19"/>
      <w:footerReference w:type="first" r:id="rId20"/>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7237" w:rsidRDefault="00997237">
      <w:r>
        <w:separator/>
      </w:r>
    </w:p>
  </w:endnote>
  <w:endnote w:type="continuationSeparator" w:id="0">
    <w:p w:rsidR="00997237" w:rsidRDefault="0099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F" w:rsidRDefault="004A225F">
    <w:pPr>
      <w:pStyle w:val="Footer"/>
      <w:tabs>
        <w:tab w:val="clear" w:pos="794"/>
        <w:tab w:val="clear" w:pos="1191"/>
        <w:tab w:val="clear" w:pos="1588"/>
        <w:tab w:val="clear" w:pos="1985"/>
      </w:tabs>
      <w:rPr>
        <w:lang w:val="fr-CH"/>
      </w:rPr>
    </w:pPr>
    <w:r>
      <w:rPr>
        <w:lang w:val="fr-CH"/>
      </w:rPr>
      <w:t>ITU-T\BUREAU\CIRC\209E.DOC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F" w:rsidRDefault="004A225F">
    <w:pPr>
      <w:pStyle w:val="FirstFooter"/>
      <w:ind w:left="-397" w:right="-397"/>
      <w:jc w:val="center"/>
      <w:rPr>
        <w:sz w:val="18"/>
        <w:szCs w:val="18"/>
        <w:lang w:val="fr-CH"/>
      </w:rPr>
    </w:pPr>
  </w:p>
  <w:p w:rsidR="00C4531E" w:rsidRPr="000846E9" w:rsidRDefault="00C4531E" w:rsidP="000846E9">
    <w:pPr>
      <w:pStyle w:val="FirstFooter"/>
      <w:jc w:val="center"/>
      <w:rPr>
        <w:lang w:val="fr-CH"/>
      </w:rPr>
    </w:pPr>
    <w:r>
      <w:rPr>
        <w:sz w:val="18"/>
        <w:szCs w:val="18"/>
        <w:lang w:val="fr-CH"/>
      </w:rPr>
      <w:t>International Telecommunication Union • Place des Nations • CH</w:t>
    </w:r>
    <w:r>
      <w:rPr>
        <w:sz w:val="18"/>
        <w:szCs w:val="18"/>
        <w:lang w:val="fr-CH"/>
      </w:rPr>
      <w:noBreakHyphen/>
      <w:t xml:space="preserve">1211 Geneva 20 • Switzerland </w:t>
    </w:r>
    <w:r>
      <w:rPr>
        <w:sz w:val="18"/>
        <w:szCs w:val="18"/>
        <w:lang w:val="fr-CH"/>
      </w:rPr>
      <w:br/>
      <w:t xml:space="preserve">Tel: +41 22 730 5111 • Fax: +41 22 733 7256 • E-mail: </w:t>
    </w:r>
    <w:hyperlink r:id="rId1" w:history="1">
      <w:r>
        <w:rPr>
          <w:rStyle w:val="Hyperlink"/>
          <w:sz w:val="18"/>
          <w:szCs w:val="18"/>
          <w:lang w:val="fr-CH"/>
        </w:rPr>
        <w:t>itumail@itu.int</w:t>
      </w:r>
    </w:hyperlink>
    <w:r>
      <w:rPr>
        <w:sz w:val="18"/>
        <w:szCs w:val="18"/>
        <w:lang w:val="fr-CH"/>
      </w:rPr>
      <w:t xml:space="preserve"> • </w:t>
    </w:r>
    <w:hyperlink r:id="rId2" w:history="1">
      <w:r>
        <w:rPr>
          <w:rStyle w:val="Hyperlink"/>
          <w:sz w:val="18"/>
          <w:szCs w:val="18"/>
          <w:lang w:val="fr-CH"/>
        </w:rPr>
        <w:t>www.itu.int</w:t>
      </w:r>
    </w:hyperlink>
    <w:r>
      <w:rPr>
        <w:sz w:val="18"/>
        <w:szCs w:val="18"/>
        <w:lang w:val="fr-CH"/>
      </w:rPr>
      <w:t xml:space="preserve"> • </w:t>
    </w:r>
    <w:hyperlink r:id="rId3" w:history="1">
      <w:r>
        <w:rPr>
          <w:rStyle w:val="Hyperlink"/>
          <w:sz w:val="18"/>
          <w:szCs w:val="18"/>
          <w:lang w:val="fr-CH"/>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7237" w:rsidRDefault="00997237">
      <w:r>
        <w:t>____________________</w:t>
      </w:r>
    </w:p>
  </w:footnote>
  <w:footnote w:type="continuationSeparator" w:id="0">
    <w:p w:rsidR="00997237" w:rsidRDefault="00997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25F" w:rsidRDefault="004A225F">
    <w:pPr>
      <w:pStyle w:val="Header"/>
    </w:pPr>
    <w:r>
      <w:t xml:space="preserve">- </w:t>
    </w:r>
    <w:r>
      <w:fldChar w:fldCharType="begin"/>
    </w:r>
    <w:r>
      <w:instrText xml:space="preserve"> PAGE   \* MERGEFORMAT </w:instrText>
    </w:r>
    <w:r>
      <w:fldChar w:fldCharType="separate"/>
    </w:r>
    <w:r w:rsidR="00913313">
      <w:rPr>
        <w:noProof/>
      </w:rPr>
      <w:t>2</w:t>
    </w:r>
    <w:r>
      <w:rPr>
        <w:noProof/>
      </w:rPr>
      <w:fldChar w:fldCharType="end"/>
    </w:r>
    <w:r>
      <w:rPr>
        <w:noProof/>
      </w:rPr>
      <w:t xml:space="preserve"> -</w:t>
    </w:r>
  </w:p>
  <w:p w:rsidR="004A225F" w:rsidRDefault="004A225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fr-BE" w:vendorID="64" w:dllVersion="131078" w:nlCheck="1" w:checkStyle="0"/>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59"/>
    <w:rsid w:val="000846E9"/>
    <w:rsid w:val="000C33E1"/>
    <w:rsid w:val="001205B9"/>
    <w:rsid w:val="00133294"/>
    <w:rsid w:val="0014211A"/>
    <w:rsid w:val="00145081"/>
    <w:rsid w:val="002160F2"/>
    <w:rsid w:val="002163F9"/>
    <w:rsid w:val="00233225"/>
    <w:rsid w:val="002A3BD7"/>
    <w:rsid w:val="003C55AB"/>
    <w:rsid w:val="003F0A34"/>
    <w:rsid w:val="00421955"/>
    <w:rsid w:val="004772AA"/>
    <w:rsid w:val="004A225F"/>
    <w:rsid w:val="004B4489"/>
    <w:rsid w:val="004C27C0"/>
    <w:rsid w:val="004F2096"/>
    <w:rsid w:val="00575456"/>
    <w:rsid w:val="00581DF3"/>
    <w:rsid w:val="00593A2B"/>
    <w:rsid w:val="005A78B9"/>
    <w:rsid w:val="005D4CF9"/>
    <w:rsid w:val="005D7EF9"/>
    <w:rsid w:val="005F59FB"/>
    <w:rsid w:val="006027B1"/>
    <w:rsid w:val="006041DA"/>
    <w:rsid w:val="00630235"/>
    <w:rsid w:val="00643F1F"/>
    <w:rsid w:val="00657440"/>
    <w:rsid w:val="006774B9"/>
    <w:rsid w:val="0068144B"/>
    <w:rsid w:val="0068193F"/>
    <w:rsid w:val="00682F5E"/>
    <w:rsid w:val="00683309"/>
    <w:rsid w:val="006853C4"/>
    <w:rsid w:val="006B5B7C"/>
    <w:rsid w:val="006C5F64"/>
    <w:rsid w:val="006D1C8D"/>
    <w:rsid w:val="006E0744"/>
    <w:rsid w:val="006F35FE"/>
    <w:rsid w:val="007329EF"/>
    <w:rsid w:val="00747C8F"/>
    <w:rsid w:val="007C01C7"/>
    <w:rsid w:val="007C6D4D"/>
    <w:rsid w:val="00805189"/>
    <w:rsid w:val="0081755A"/>
    <w:rsid w:val="00820D59"/>
    <w:rsid w:val="00823680"/>
    <w:rsid w:val="00823B3C"/>
    <w:rsid w:val="00885696"/>
    <w:rsid w:val="008939F6"/>
    <w:rsid w:val="008C5D72"/>
    <w:rsid w:val="008C6160"/>
    <w:rsid w:val="008D06F8"/>
    <w:rsid w:val="00913313"/>
    <w:rsid w:val="00914925"/>
    <w:rsid w:val="00936740"/>
    <w:rsid w:val="00997237"/>
    <w:rsid w:val="009A0915"/>
    <w:rsid w:val="009C45AE"/>
    <w:rsid w:val="009E3FD2"/>
    <w:rsid w:val="00A40689"/>
    <w:rsid w:val="00A442D0"/>
    <w:rsid w:val="00AC5149"/>
    <w:rsid w:val="00B2396B"/>
    <w:rsid w:val="00B36F4A"/>
    <w:rsid w:val="00B859A3"/>
    <w:rsid w:val="00BA5FC8"/>
    <w:rsid w:val="00BB4BAC"/>
    <w:rsid w:val="00C4531E"/>
    <w:rsid w:val="00C639B5"/>
    <w:rsid w:val="00C645A9"/>
    <w:rsid w:val="00C70152"/>
    <w:rsid w:val="00CC6330"/>
    <w:rsid w:val="00D75F85"/>
    <w:rsid w:val="00DB77D8"/>
    <w:rsid w:val="00DE4859"/>
    <w:rsid w:val="00E111AC"/>
    <w:rsid w:val="00E66A53"/>
    <w:rsid w:val="00E759C6"/>
    <w:rsid w:val="00F45E0E"/>
    <w:rsid w:val="00F74E04"/>
    <w:rsid w:val="00FA4E0D"/>
    <w:rsid w:val="00FF71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4C4E6D17-F83E-456A-94DC-7F6939991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4447A"/>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6853C4"/>
    <w:rPr>
      <w:b/>
      <w:bCs/>
    </w:rPr>
  </w:style>
  <w:style w:type="character" w:customStyle="1" w:styleId="CommentSubjectChar">
    <w:name w:val="Comment Subject Char"/>
    <w:link w:val="CommentSubject"/>
    <w:rsid w:val="006853C4"/>
    <w:rPr>
      <w:rFonts w:ascii="Calibri" w:hAnsi="Calibri"/>
      <w:b/>
      <w:bCs/>
      <w:lang w:val="en-GB" w:eastAsia="en-US"/>
    </w:rPr>
  </w:style>
  <w:style w:type="character" w:customStyle="1" w:styleId="apple-converted-space">
    <w:name w:val="apple-converted-space"/>
    <w:rsid w:val="0014211A"/>
  </w:style>
  <w:style w:type="character" w:styleId="Emphasis">
    <w:name w:val="Emphasis"/>
    <w:uiPriority w:val="20"/>
    <w:qFormat/>
    <w:rsid w:val="0014211A"/>
    <w:rPr>
      <w:i/>
      <w:iCs/>
    </w:rPr>
  </w:style>
  <w:style w:type="paragraph" w:styleId="Revision">
    <w:name w:val="Revision"/>
    <w:hidden/>
    <w:rsid w:val="00AC5149"/>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6445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tu.int/md/T13-SG03-R-001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u.int/md/T13-SG03-R-0017" TargetMode="External"/><Relationship Id="rId17" Type="http://schemas.openxmlformats.org/officeDocument/2006/relationships/hyperlink" Target="http://www.itu.int/md/T13-SG03-R-0019" TargetMode="External"/><Relationship Id="rId2" Type="http://schemas.openxmlformats.org/officeDocument/2006/relationships/styles" Target="styles.xml"/><Relationship Id="rId16" Type="http://schemas.openxmlformats.org/officeDocument/2006/relationships/hyperlink" Target="http://www.itu.int/md/T13-SG03-R-0021"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tu.int/en/ITU-T/wtsa16" TargetMode="External"/><Relationship Id="rId5" Type="http://schemas.openxmlformats.org/officeDocument/2006/relationships/footnotes" Target="footnotes.xml"/><Relationship Id="rId15" Type="http://schemas.openxmlformats.org/officeDocument/2006/relationships/hyperlink" Target="http://www.itu.int/md/" TargetMode="External"/><Relationship Id="rId10" Type="http://schemas.openxmlformats.org/officeDocument/2006/relationships/hyperlink" Target="http://www.itu.int/ip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sbsg3@itu.int" TargetMode="External"/><Relationship Id="rId14" Type="http://schemas.openxmlformats.org/officeDocument/2006/relationships/hyperlink" Target="http://www.itu.int/md/T13-SG03-R-002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stano\AppData\Roaming\Microsoft\Templates\TSB%20DOC\CIR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CIRC-E.dotx</Template>
  <TotalTime>0</TotalTime>
  <Pages>4</Pages>
  <Words>741</Words>
  <Characters>4228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4960</CharactersWithSpaces>
  <SharedDoc>false</SharedDoc>
  <HLinks>
    <vt:vector size="72" baseType="variant">
      <vt:variant>
        <vt:i4>5439515</vt:i4>
      </vt:variant>
      <vt:variant>
        <vt:i4>24</vt:i4>
      </vt:variant>
      <vt:variant>
        <vt:i4>0</vt:i4>
      </vt:variant>
      <vt:variant>
        <vt:i4>5</vt:i4>
      </vt:variant>
      <vt:variant>
        <vt:lpwstr>http://www.itu.int/md/T13-SG03-R-0019</vt:lpwstr>
      </vt:variant>
      <vt:variant>
        <vt:lpwstr/>
      </vt:variant>
      <vt:variant>
        <vt:i4>5242907</vt:i4>
      </vt:variant>
      <vt:variant>
        <vt:i4>21</vt:i4>
      </vt:variant>
      <vt:variant>
        <vt:i4>0</vt:i4>
      </vt:variant>
      <vt:variant>
        <vt:i4>5</vt:i4>
      </vt:variant>
      <vt:variant>
        <vt:lpwstr>http://www.itu.int/md/T13-SG03-R-0021</vt:lpwstr>
      </vt:variant>
      <vt:variant>
        <vt:lpwstr/>
      </vt:variant>
      <vt:variant>
        <vt:i4>6815791</vt:i4>
      </vt:variant>
      <vt:variant>
        <vt:i4>18</vt:i4>
      </vt:variant>
      <vt:variant>
        <vt:i4>0</vt:i4>
      </vt:variant>
      <vt:variant>
        <vt:i4>5</vt:i4>
      </vt:variant>
      <vt:variant>
        <vt:lpwstr>http://www.itu.int/md/</vt:lpwstr>
      </vt:variant>
      <vt:variant>
        <vt:lpwstr/>
      </vt:variant>
      <vt:variant>
        <vt:i4>5242907</vt:i4>
      </vt:variant>
      <vt:variant>
        <vt:i4>15</vt:i4>
      </vt:variant>
      <vt:variant>
        <vt:i4>0</vt:i4>
      </vt:variant>
      <vt:variant>
        <vt:i4>5</vt:i4>
      </vt:variant>
      <vt:variant>
        <vt:lpwstr>http://www.itu.int/md/T13-SG03-R-0020</vt:lpwstr>
      </vt:variant>
      <vt:variant>
        <vt:lpwstr/>
      </vt:variant>
      <vt:variant>
        <vt:i4>5439515</vt:i4>
      </vt:variant>
      <vt:variant>
        <vt:i4>12</vt:i4>
      </vt:variant>
      <vt:variant>
        <vt:i4>0</vt:i4>
      </vt:variant>
      <vt:variant>
        <vt:i4>5</vt:i4>
      </vt:variant>
      <vt:variant>
        <vt:lpwstr>http://www.itu.int/md/T13-SG03-R-0018</vt:lpwstr>
      </vt:variant>
      <vt:variant>
        <vt:lpwstr/>
      </vt:variant>
      <vt:variant>
        <vt:i4>5439515</vt:i4>
      </vt:variant>
      <vt:variant>
        <vt:i4>9</vt:i4>
      </vt:variant>
      <vt:variant>
        <vt:i4>0</vt:i4>
      </vt:variant>
      <vt:variant>
        <vt:i4>5</vt:i4>
      </vt:variant>
      <vt:variant>
        <vt:lpwstr>http://www.itu.int/md/T13-SG03-R-0017</vt:lpwstr>
      </vt:variant>
      <vt:variant>
        <vt:lpwstr/>
      </vt:variant>
      <vt:variant>
        <vt:i4>3473441</vt:i4>
      </vt:variant>
      <vt:variant>
        <vt:i4>6</vt:i4>
      </vt:variant>
      <vt:variant>
        <vt:i4>0</vt:i4>
      </vt:variant>
      <vt:variant>
        <vt:i4>5</vt:i4>
      </vt:variant>
      <vt:variant>
        <vt:lpwstr>http://itu.int/en/ITU-T/wtsa16</vt:lpwstr>
      </vt:variant>
      <vt:variant>
        <vt:lpwstr/>
      </vt:variant>
      <vt:variant>
        <vt:i4>3211323</vt:i4>
      </vt:variant>
      <vt:variant>
        <vt:i4>3</vt:i4>
      </vt:variant>
      <vt:variant>
        <vt:i4>0</vt:i4>
      </vt:variant>
      <vt:variant>
        <vt:i4>5</vt:i4>
      </vt:variant>
      <vt:variant>
        <vt:lpwstr>http://www.itu.int/ipr/</vt:lpwstr>
      </vt:variant>
      <vt:variant>
        <vt:lpwstr/>
      </vt:variant>
      <vt:variant>
        <vt:i4>6750220</vt:i4>
      </vt:variant>
      <vt:variant>
        <vt:i4>0</vt:i4>
      </vt:variant>
      <vt:variant>
        <vt:i4>0</vt:i4>
      </vt:variant>
      <vt:variant>
        <vt:i4>5</vt:i4>
      </vt:variant>
      <vt:variant>
        <vt:lpwstr>mailto:tsbsg3@itu.int</vt:lpwstr>
      </vt:variant>
      <vt:variant>
        <vt:lpwstr/>
      </vt:variant>
      <vt:variant>
        <vt:i4>5242954</vt:i4>
      </vt:variant>
      <vt:variant>
        <vt:i4>9</vt:i4>
      </vt:variant>
      <vt:variant>
        <vt:i4>0</vt:i4>
      </vt:variant>
      <vt:variant>
        <vt:i4>5</vt:i4>
      </vt:variant>
      <vt:variant>
        <vt:lpwstr>http://www.itu.int/en/ITU-T/60/Pages/default.aspx</vt:lpwstr>
      </vt:variant>
      <vt:variant>
        <vt:lpwstr/>
      </vt:variant>
      <vt:variant>
        <vt:i4>393299</vt:i4>
      </vt:variant>
      <vt:variant>
        <vt:i4>6</vt:i4>
      </vt:variant>
      <vt:variant>
        <vt:i4>0</vt:i4>
      </vt:variant>
      <vt:variant>
        <vt:i4>5</vt:i4>
      </vt:variant>
      <vt:variant>
        <vt:lpwstr>http://www.itu.int/en/pages/default.aspx</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ITU-T</dc:creator>
  <cp:keywords/>
  <dc:description>Circular_209_SG3_Determinations.xml.doc  For: _x000d_Document date: _x000d_Saved by ITU51010110 at 16:57:54 on 29/03/16</dc:description>
  <cp:lastModifiedBy>Bettini, Nadine</cp:lastModifiedBy>
  <cp:revision>2</cp:revision>
  <cp:lastPrinted>2016-05-23T09:50:00Z</cp:lastPrinted>
  <dcterms:created xsi:type="dcterms:W3CDTF">2016-05-23T09:57:00Z</dcterms:created>
  <dcterms:modified xsi:type="dcterms:W3CDTF">2016-05-23T09:57:00Z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Circular_209_SG3_Determinations.xml.doc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