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385"/>
        <w:gridCol w:w="6074"/>
        <w:gridCol w:w="2180"/>
      </w:tblGrid>
      <w:tr w:rsidR="00521E65" w:rsidRPr="00521E65" w:rsidTr="00150BF1">
        <w:trPr>
          <w:cantSplit/>
          <w:trHeight w:val="1418"/>
        </w:trPr>
        <w:tc>
          <w:tcPr>
            <w:tcW w:w="718" w:type="pct"/>
          </w:tcPr>
          <w:p w:rsidR="00521E65" w:rsidRPr="00521E65" w:rsidRDefault="00521E65" w:rsidP="00150BF1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21E65">
              <w:rPr>
                <w:noProof/>
              </w:rPr>
              <w:drawing>
                <wp:inline distT="0" distB="0" distL="0" distR="0" wp14:anchorId="72B8080A" wp14:editId="19195315">
                  <wp:extent cx="648000" cy="720000"/>
                  <wp:effectExtent l="0" t="0" r="0" b="4445"/>
                  <wp:docPr id="9" name="Picture 9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pct"/>
          </w:tcPr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21E65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21E65" w:rsidRPr="00521E65" w:rsidRDefault="00521E65" w:rsidP="00643E02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21E65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21E65" w:rsidRPr="00521E65" w:rsidRDefault="00150BF1" w:rsidP="00576BC1">
            <w:pPr>
              <w:spacing w:before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1E65" w:rsidRPr="00A1284C" w:rsidRDefault="00521E65" w:rsidP="00521E65">
      <w:pPr>
        <w:rPr>
          <w:sz w:val="10"/>
          <w:szCs w:val="18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873CD4" w:rsidP="00873CD4">
            <w:pPr>
              <w:spacing w:before="60" w:after="60" w:line="300" w:lineRule="exact"/>
              <w:jc w:val="left"/>
            </w:pPr>
            <w:r w:rsidRPr="00873CD4">
              <w:rPr>
                <w:rFonts w:hint="cs"/>
                <w:rtl/>
              </w:rPr>
              <w:t xml:space="preserve">جنيف، </w:t>
            </w:r>
            <w:r w:rsidRPr="00873CD4">
              <w:t>21</w:t>
            </w:r>
            <w:r w:rsidRPr="00873CD4">
              <w:rPr>
                <w:rFonts w:hint="cs"/>
                <w:rtl/>
                <w:lang w:bidi="ar-EG"/>
              </w:rPr>
              <w:t xml:space="preserve"> مارس </w:t>
            </w:r>
            <w:r w:rsidRPr="00873CD4">
              <w:t>2016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21E65" w:rsidRPr="00521E65" w:rsidRDefault="00521E65" w:rsidP="00873CD4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21E65">
              <w:rPr>
                <w:b/>
                <w:lang w:bidi="ar-SY"/>
              </w:rPr>
              <w:t xml:space="preserve">TSB Circular </w:t>
            </w:r>
            <w:r w:rsidR="00873CD4">
              <w:rPr>
                <w:b/>
                <w:lang w:bidi="ar-SY"/>
              </w:rPr>
              <w:t>201</w:t>
            </w:r>
            <w:r w:rsidRPr="00521E65">
              <w:rPr>
                <w:b/>
                <w:lang w:bidi="ar-SY"/>
              </w:rPr>
              <w:br/>
            </w:r>
            <w:r w:rsidRPr="00521E65">
              <w:rPr>
                <w:bCs/>
                <w:lang w:bidi="ar-SY"/>
              </w:rPr>
              <w:t>COM</w:t>
            </w:r>
            <w:r w:rsidR="00873CD4">
              <w:rPr>
                <w:bCs/>
                <w:lang w:bidi="ar-SY"/>
              </w:rPr>
              <w:t> 15/HO</w:t>
            </w:r>
          </w:p>
        </w:tc>
        <w:tc>
          <w:tcPr>
            <w:tcW w:w="2470" w:type="pct"/>
            <w:vMerge w:val="restar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إلى إدارات الدول الأعضاء في الات</w:t>
            </w:r>
            <w:r w:rsidRPr="00521E65">
              <w:rPr>
                <w:rFonts w:hint="cs"/>
                <w:rtl/>
                <w:lang w:bidi="ar-EG"/>
              </w:rPr>
              <w:t>‍</w:t>
            </w:r>
            <w:r w:rsidRPr="00521E65">
              <w:rPr>
                <w:rFonts w:hint="cs"/>
                <w:rtl/>
              </w:rPr>
              <w:t>حاد</w:t>
            </w: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  <w:lang w:bidi="ar-SY"/>
              </w:rPr>
              <w:t>الهاتف</w:t>
            </w:r>
            <w:r w:rsidRPr="00521E65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21E65" w:rsidRPr="00521E65" w:rsidRDefault="00521E65" w:rsidP="00873CD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</w:t>
            </w:r>
            <w:r w:rsidR="00873CD4" w:rsidRPr="00873CD4">
              <w:rPr>
                <w:lang w:bidi="ar-SY"/>
              </w:rPr>
              <w:t>6356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  <w:trHeight w:val="340"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21E65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21E65" w:rsidRPr="00521E65" w:rsidRDefault="00521E65" w:rsidP="00643E02">
            <w:pPr>
              <w:numPr>
                <w:ilvl w:val="0"/>
                <w:numId w:val="12"/>
              </w:num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3062" w:hanging="3005"/>
              <w:jc w:val="left"/>
              <w:rPr>
                <w:rtl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643E02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21E65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21E65" w:rsidRPr="00521E65" w:rsidRDefault="0039334D" w:rsidP="00873CD4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873CD4" w:rsidRPr="005D44FF">
                <w:rPr>
                  <w:rStyle w:val="Hyperlink"/>
                  <w:lang w:bidi="ar-SY"/>
                </w:rPr>
                <w:t>tsbsg15@itu.int</w:t>
              </w:r>
            </w:hyperlink>
          </w:p>
        </w:tc>
        <w:tc>
          <w:tcPr>
            <w:tcW w:w="2470" w:type="pct"/>
          </w:tcPr>
          <w:p w:rsidR="00521E65" w:rsidRPr="00521E65" w:rsidRDefault="00521E65" w:rsidP="00643E02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rtl/>
              </w:rPr>
            </w:pPr>
            <w:r w:rsidRPr="00521E65">
              <w:rPr>
                <w:rFonts w:hint="cs"/>
                <w:b/>
                <w:bCs/>
                <w:rtl/>
              </w:rPr>
              <w:t>نسخة إلى: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أعضاء قطاع تقييس الاتصالات؛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>ال‍منتسبين إلى قطاع تقييس الاتصالات؛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  <w:lang w:bidi="ar-EG"/>
              </w:rPr>
              <w:tab/>
            </w:r>
            <w:r w:rsidRPr="00521E65">
              <w:rPr>
                <w:rFonts w:hint="cs"/>
                <w:rtl/>
                <w:lang w:bidi="ar-EG"/>
              </w:rPr>
              <w:t xml:space="preserve">الهيئات الأكادي‍مية ال‍منضمة إلى </w:t>
            </w:r>
            <w:r w:rsidR="00873CD4">
              <w:rPr>
                <w:rFonts w:hint="cs"/>
                <w:rtl/>
                <w:lang w:bidi="ar-EG"/>
              </w:rPr>
              <w:t>الاتحاد</w:t>
            </w:r>
            <w:r w:rsidRPr="00521E65">
              <w:rPr>
                <w:rFonts w:hint="cs"/>
                <w:rtl/>
                <w:lang w:bidi="ar-EG"/>
              </w:rPr>
              <w:t>؛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  <w:lang w:bidi="ar-EG"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</w:r>
            <w:r w:rsidRPr="00521E65">
              <w:rPr>
                <w:rFonts w:hint="cs"/>
                <w:rtl/>
              </w:rPr>
              <w:t xml:space="preserve">رئيس ل‍جنة الدراسات </w:t>
            </w:r>
            <w:r w:rsidR="00873CD4">
              <w:rPr>
                <w:lang w:bidi="ar-SY"/>
              </w:rPr>
              <w:t>15</w:t>
            </w:r>
            <w:r w:rsidRPr="00521E65">
              <w:rPr>
                <w:rFonts w:hint="cs"/>
                <w:rtl/>
                <w:lang w:bidi="ar-EG"/>
              </w:rPr>
              <w:t xml:space="preserve"> ونوابه؛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تنمية الاتصالات</w:t>
            </w:r>
            <w:r w:rsidRPr="00521E65">
              <w:rPr>
                <w:rFonts w:hint="cs"/>
                <w:rtl/>
              </w:rPr>
              <w:t>؛</w:t>
            </w:r>
          </w:p>
          <w:p w:rsidR="00521E65" w:rsidRPr="00521E65" w:rsidRDefault="00521E65" w:rsidP="00A1284C">
            <w:pPr>
              <w:tabs>
                <w:tab w:val="clear" w:pos="1361"/>
                <w:tab w:val="clear" w:pos="1928"/>
                <w:tab w:val="clear" w:pos="2495"/>
                <w:tab w:val="left" w:pos="367"/>
              </w:tabs>
              <w:spacing w:before="60" w:after="60" w:line="280" w:lineRule="exact"/>
              <w:ind w:left="794" w:hanging="794"/>
              <w:jc w:val="left"/>
              <w:rPr>
                <w:rtl/>
              </w:rPr>
            </w:pPr>
            <w:r w:rsidRPr="00521E65">
              <w:rPr>
                <w:rFonts w:hint="cs"/>
                <w:rtl/>
              </w:rPr>
              <w:t>-</w:t>
            </w:r>
            <w:r w:rsidRPr="00521E65">
              <w:rPr>
                <w:rtl/>
              </w:rPr>
              <w:tab/>
              <w:t>مدير مكتب الاتصالات الراديوية</w:t>
            </w: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rtl/>
                <w:lang w:bidi="ar-SY"/>
              </w:rPr>
            </w:pPr>
          </w:p>
        </w:tc>
        <w:tc>
          <w:tcPr>
            <w:tcW w:w="1734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lang w:bidi="ar-SY"/>
              </w:rPr>
            </w:pPr>
          </w:p>
        </w:tc>
        <w:tc>
          <w:tcPr>
            <w:tcW w:w="2470" w:type="pct"/>
          </w:tcPr>
          <w:p w:rsidR="00521E65" w:rsidRPr="00521E65" w:rsidRDefault="00521E65" w:rsidP="00F52243">
            <w:pPr>
              <w:spacing w:before="0" w:line="300" w:lineRule="exact"/>
              <w:jc w:val="left"/>
              <w:rPr>
                <w:b/>
                <w:bCs/>
                <w:rtl/>
                <w:lang w:bidi="ar-EG"/>
              </w:rPr>
            </w:pPr>
          </w:p>
        </w:tc>
      </w:tr>
      <w:tr w:rsidR="00521E65" w:rsidRPr="00521E65" w:rsidTr="00643E02">
        <w:trPr>
          <w:cantSplit/>
        </w:trPr>
        <w:tc>
          <w:tcPr>
            <w:tcW w:w="796" w:type="pct"/>
          </w:tcPr>
          <w:p w:rsidR="00521E65" w:rsidRPr="00521E65" w:rsidRDefault="00521E65" w:rsidP="00A1284C">
            <w:pPr>
              <w:spacing w:before="0" w:after="60" w:line="340" w:lineRule="exact"/>
              <w:jc w:val="left"/>
              <w:rPr>
                <w:rtl/>
                <w:lang w:bidi="ar-SY"/>
              </w:rPr>
            </w:pPr>
            <w:r w:rsidRPr="00521E65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21E65" w:rsidRPr="00521E65" w:rsidRDefault="00873CD4" w:rsidP="00A1284C">
            <w:pPr>
              <w:spacing w:before="0" w:after="60" w:line="340" w:lineRule="exact"/>
              <w:ind w:left="57" w:right="57"/>
              <w:rPr>
                <w:b/>
                <w:bCs/>
                <w:rtl/>
                <w:lang w:bidi="ar-EG"/>
              </w:rPr>
            </w:pPr>
            <w:r w:rsidRPr="00873CD4">
              <w:rPr>
                <w:rFonts w:hint="cs"/>
                <w:b/>
                <w:bCs/>
                <w:rtl/>
                <w:lang w:bidi="ar-SY"/>
              </w:rPr>
              <w:t xml:space="preserve">الموافقة على التعديل </w:t>
            </w:r>
            <w:r w:rsidRPr="00873CD4">
              <w:rPr>
                <w:b/>
                <w:bCs/>
              </w:rPr>
              <w:t>1</w:t>
            </w:r>
            <w:r w:rsidRPr="00873CD4">
              <w:rPr>
                <w:rFonts w:hint="cs"/>
                <w:b/>
                <w:bCs/>
                <w:rtl/>
              </w:rPr>
              <w:t xml:space="preserve"> للتوصية </w:t>
            </w:r>
            <w:r w:rsidRPr="00873CD4">
              <w:rPr>
                <w:b/>
                <w:bCs/>
              </w:rPr>
              <w:t>ITU-T G.9964</w:t>
            </w:r>
            <w:r w:rsidRPr="00873CD4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873CD4">
              <w:rPr>
                <w:b/>
                <w:bCs/>
              </w:rPr>
              <w:t>(2011)</w:t>
            </w:r>
          </w:p>
        </w:tc>
      </w:tr>
    </w:tbl>
    <w:p w:rsidR="00521E65" w:rsidRPr="00521E65" w:rsidRDefault="00521E65" w:rsidP="00F52243">
      <w:pPr>
        <w:pStyle w:val="Normalaftertitle"/>
        <w:spacing w:before="240"/>
        <w:rPr>
          <w:rtl/>
        </w:rPr>
      </w:pPr>
      <w:r w:rsidRPr="00521E65">
        <w:rPr>
          <w:rFonts w:hint="cs"/>
          <w:rtl/>
        </w:rPr>
        <w:t>حضرات السادة والسيدات،</w:t>
      </w:r>
    </w:p>
    <w:p w:rsidR="00521E65" w:rsidRPr="00521E65" w:rsidRDefault="00521E65" w:rsidP="00521E65">
      <w:pPr>
        <w:rPr>
          <w:rtl/>
        </w:rPr>
      </w:pPr>
      <w:r w:rsidRPr="00521E65">
        <w:rPr>
          <w:rFonts w:hint="cs"/>
          <w:rtl/>
        </w:rPr>
        <w:t>ت</w:t>
      </w:r>
      <w:r w:rsidRPr="00521E65">
        <w:rPr>
          <w:rFonts w:hint="cs"/>
          <w:rtl/>
          <w:lang w:bidi="ar-EG"/>
        </w:rPr>
        <w:t>‍</w:t>
      </w:r>
      <w:r w:rsidRPr="00521E65">
        <w:rPr>
          <w:rFonts w:hint="cs"/>
          <w:rtl/>
        </w:rPr>
        <w:t>حية طيبة وبعد،</w:t>
      </w:r>
    </w:p>
    <w:p w:rsidR="00873CD4" w:rsidRPr="00A1284C" w:rsidRDefault="00521E65" w:rsidP="00A1284C">
      <w:pPr>
        <w:spacing w:line="180" w:lineRule="auto"/>
        <w:rPr>
          <w:spacing w:val="-4"/>
          <w:rtl/>
          <w:lang w:bidi="ar-EG"/>
        </w:rPr>
      </w:pPr>
      <w:r w:rsidRPr="00A1284C">
        <w:rPr>
          <w:spacing w:val="-4"/>
          <w:lang w:bidi="ar-SY"/>
        </w:rPr>
        <w:t>1</w:t>
      </w:r>
      <w:r w:rsidRPr="00A1284C">
        <w:rPr>
          <w:spacing w:val="-4"/>
          <w:lang w:bidi="ar-SY"/>
        </w:rPr>
        <w:tab/>
      </w:r>
      <w:r w:rsidR="00873CD4" w:rsidRPr="00A1284C">
        <w:rPr>
          <w:rFonts w:hint="cs"/>
          <w:spacing w:val="-4"/>
          <w:rtl/>
        </w:rPr>
        <w:t xml:space="preserve">إلحاقاً بالرسالة المعمّمة </w:t>
      </w:r>
      <w:r w:rsidR="00873CD4" w:rsidRPr="00A1284C">
        <w:rPr>
          <w:spacing w:val="-4"/>
        </w:rPr>
        <w:t>165</w:t>
      </w:r>
      <w:r w:rsidR="00873CD4" w:rsidRPr="00A1284C">
        <w:rPr>
          <w:rFonts w:hint="cs"/>
          <w:spacing w:val="-4"/>
          <w:rtl/>
        </w:rPr>
        <w:t xml:space="preserve"> لمكتب تقييس الاتصالات بتاريخ </w:t>
      </w:r>
      <w:r w:rsidR="00873CD4" w:rsidRPr="00A1284C">
        <w:rPr>
          <w:spacing w:val="-4"/>
        </w:rPr>
        <w:t>16</w:t>
      </w:r>
      <w:r w:rsidR="00873CD4" w:rsidRPr="00A1284C">
        <w:rPr>
          <w:rFonts w:hint="cs"/>
          <w:spacing w:val="-4"/>
          <w:rtl/>
          <w:lang w:bidi="ar-SY"/>
        </w:rPr>
        <w:t xml:space="preserve"> يوليو </w:t>
      </w:r>
      <w:r w:rsidR="00873CD4" w:rsidRPr="00A1284C">
        <w:rPr>
          <w:spacing w:val="-4"/>
        </w:rPr>
        <w:t>2015</w:t>
      </w:r>
      <w:r w:rsidR="00873CD4" w:rsidRPr="00A1284C">
        <w:rPr>
          <w:rFonts w:hint="cs"/>
          <w:spacing w:val="-4"/>
          <w:rtl/>
        </w:rPr>
        <w:t>، أود</w:t>
      </w:r>
      <w:r w:rsidR="00873CD4" w:rsidRPr="00A1284C">
        <w:rPr>
          <w:rFonts w:hint="eastAsia"/>
          <w:spacing w:val="-4"/>
          <w:rtl/>
        </w:rPr>
        <w:t> </w:t>
      </w:r>
      <w:r w:rsidR="00873CD4" w:rsidRPr="00A1284C">
        <w:rPr>
          <w:rFonts w:hint="cs"/>
          <w:spacing w:val="-4"/>
          <w:rtl/>
        </w:rPr>
        <w:t xml:space="preserve">إبلاغكم أن </w:t>
      </w:r>
      <w:r w:rsidR="00873CD4" w:rsidRPr="00A1284C">
        <w:rPr>
          <w:spacing w:val="-4"/>
        </w:rPr>
        <w:t>27</w:t>
      </w:r>
      <w:r w:rsidR="00873CD4" w:rsidRPr="00A1284C">
        <w:rPr>
          <w:rFonts w:hint="cs"/>
          <w:spacing w:val="-4"/>
          <w:rtl/>
        </w:rPr>
        <w:t xml:space="preserve"> دولة من الدول الأعضاء المشاركة في الاجتماع الأخير للجنة الدراسات </w:t>
      </w:r>
      <w:r w:rsidR="00873CD4" w:rsidRPr="00A1284C">
        <w:rPr>
          <w:spacing w:val="-4"/>
        </w:rPr>
        <w:t>15</w:t>
      </w:r>
      <w:r w:rsidR="00873CD4" w:rsidRPr="00A1284C">
        <w:rPr>
          <w:rFonts w:hint="cs"/>
          <w:spacing w:val="-4"/>
          <w:rtl/>
        </w:rPr>
        <w:t xml:space="preserve"> </w:t>
      </w:r>
      <w:r w:rsidR="00873CD4" w:rsidRPr="00A1284C">
        <w:rPr>
          <w:rFonts w:hint="cs"/>
          <w:b/>
          <w:bCs/>
          <w:spacing w:val="-4"/>
          <w:rtl/>
        </w:rPr>
        <w:t>وافقت</w:t>
      </w:r>
      <w:r w:rsidR="00873CD4" w:rsidRPr="00A1284C">
        <w:rPr>
          <w:rFonts w:hint="cs"/>
          <w:spacing w:val="-4"/>
          <w:rtl/>
        </w:rPr>
        <w:t xml:space="preserve"> على نص مشروع التعديل </w:t>
      </w:r>
      <w:r w:rsidR="00873CD4" w:rsidRPr="00A1284C">
        <w:rPr>
          <w:spacing w:val="-4"/>
        </w:rPr>
        <w:t>1</w:t>
      </w:r>
      <w:r w:rsidR="00873CD4" w:rsidRPr="00A1284C">
        <w:rPr>
          <w:rFonts w:hint="cs"/>
          <w:spacing w:val="-4"/>
          <w:rtl/>
        </w:rPr>
        <w:t xml:space="preserve"> للتوصية </w:t>
      </w:r>
      <w:r w:rsidR="00873CD4" w:rsidRPr="00A1284C">
        <w:rPr>
          <w:spacing w:val="-4"/>
        </w:rPr>
        <w:t>ITU</w:t>
      </w:r>
      <w:r w:rsidR="00873CD4" w:rsidRPr="00A1284C">
        <w:rPr>
          <w:spacing w:val="-4"/>
        </w:rPr>
        <w:noBreakHyphen/>
        <w:t>T G.9964</w:t>
      </w:r>
      <w:r w:rsidR="00873CD4" w:rsidRPr="00A1284C">
        <w:rPr>
          <w:rFonts w:hint="cs"/>
          <w:spacing w:val="-4"/>
          <w:rtl/>
          <w:lang w:bidi="ar-SY"/>
        </w:rPr>
        <w:t xml:space="preserve"> </w:t>
      </w:r>
      <w:r w:rsidR="00873CD4" w:rsidRPr="00A1284C">
        <w:rPr>
          <w:spacing w:val="-4"/>
        </w:rPr>
        <w:t>(2011)</w:t>
      </w:r>
      <w:r w:rsidR="00873CD4" w:rsidRPr="00A1284C">
        <w:rPr>
          <w:rFonts w:hint="cs"/>
          <w:spacing w:val="-4"/>
          <w:rtl/>
          <w:lang w:bidi="ar-SY"/>
        </w:rPr>
        <w:t xml:space="preserve"> </w:t>
      </w:r>
      <w:r w:rsidR="00873CD4" w:rsidRPr="00A1284C">
        <w:rPr>
          <w:rFonts w:hint="cs"/>
          <w:spacing w:val="-4"/>
          <w:rtl/>
        </w:rPr>
        <w:t>خلال جلستها العامة المنعقدة في</w:t>
      </w:r>
      <w:r w:rsidR="00873CD4" w:rsidRPr="00A1284C">
        <w:rPr>
          <w:rFonts w:hint="eastAsia"/>
          <w:spacing w:val="-4"/>
          <w:rtl/>
        </w:rPr>
        <w:t> </w:t>
      </w:r>
      <w:r w:rsidR="00873CD4" w:rsidRPr="00A1284C">
        <w:rPr>
          <w:spacing w:val="-4"/>
        </w:rPr>
        <w:t>26</w:t>
      </w:r>
      <w:r w:rsidR="00873CD4" w:rsidRPr="00A1284C">
        <w:rPr>
          <w:rFonts w:hint="cs"/>
          <w:spacing w:val="-4"/>
          <w:rtl/>
          <w:lang w:bidi="ar-EG"/>
        </w:rPr>
        <w:t xml:space="preserve"> فبراير </w:t>
      </w:r>
      <w:r w:rsidR="00873CD4" w:rsidRPr="00A1284C">
        <w:rPr>
          <w:spacing w:val="-4"/>
        </w:rPr>
        <w:t>2016</w:t>
      </w:r>
      <w:r w:rsidR="00873CD4" w:rsidRPr="00A1284C">
        <w:rPr>
          <w:rFonts w:hint="cs"/>
          <w:spacing w:val="-4"/>
          <w:rtl/>
          <w:lang w:bidi="ar-EG"/>
        </w:rPr>
        <w:t>.</w:t>
      </w:r>
    </w:p>
    <w:p w:rsidR="00873CD4" w:rsidRPr="00873CD4" w:rsidRDefault="00873CD4" w:rsidP="00A1284C">
      <w:pPr>
        <w:spacing w:line="180" w:lineRule="auto"/>
        <w:rPr>
          <w:rtl/>
          <w:lang w:bidi="ar-EG"/>
        </w:rPr>
      </w:pPr>
      <w:r w:rsidRPr="00873CD4">
        <w:t>2</w:t>
      </w:r>
      <w:r w:rsidRPr="00873CD4">
        <w:rPr>
          <w:rtl/>
          <w:lang w:bidi="ar-EG"/>
        </w:rPr>
        <w:tab/>
      </w:r>
      <w:r w:rsidRPr="00873CD4">
        <w:rPr>
          <w:rFonts w:hint="cs"/>
          <w:rtl/>
        </w:rPr>
        <w:t>ويرد فيما يلي عنوان التعديل الموافَق عليه</w:t>
      </w:r>
      <w:r w:rsidRPr="00873CD4">
        <w:t>:</w:t>
      </w:r>
    </w:p>
    <w:p w:rsidR="00873CD4" w:rsidRPr="00873CD4" w:rsidRDefault="00873CD4" w:rsidP="00A1284C">
      <w:pPr>
        <w:pStyle w:val="enumlev1"/>
        <w:spacing w:line="180" w:lineRule="auto"/>
        <w:rPr>
          <w:rtl/>
        </w:rPr>
      </w:pPr>
      <w:r w:rsidRPr="00873CD4">
        <w:rPr>
          <w:rFonts w:hint="cs"/>
          <w:rtl/>
        </w:rPr>
        <w:t>-</w:t>
      </w:r>
      <w:r w:rsidRPr="00873CD4">
        <w:rPr>
          <w:rtl/>
        </w:rPr>
        <w:tab/>
      </w:r>
      <w:r w:rsidRPr="00873CD4">
        <w:rPr>
          <w:rFonts w:hint="cs"/>
          <w:b/>
          <w:bCs/>
          <w:rtl/>
        </w:rPr>
        <w:t xml:space="preserve">التعديل </w:t>
      </w:r>
      <w:r w:rsidRPr="00873CD4">
        <w:rPr>
          <w:b/>
          <w:bCs/>
        </w:rPr>
        <w:t>1</w:t>
      </w:r>
      <w:r w:rsidRPr="00873CD4">
        <w:rPr>
          <w:rFonts w:hint="cs"/>
          <w:b/>
          <w:bCs/>
          <w:rtl/>
        </w:rPr>
        <w:t xml:space="preserve"> للتوصية </w:t>
      </w:r>
      <w:r w:rsidRPr="00873CD4">
        <w:rPr>
          <w:b/>
          <w:bCs/>
        </w:rPr>
        <w:t>ITU</w:t>
      </w:r>
      <w:r w:rsidRPr="00873CD4">
        <w:rPr>
          <w:b/>
          <w:bCs/>
        </w:rPr>
        <w:noBreakHyphen/>
        <w:t>T G.9964</w:t>
      </w:r>
      <w:r w:rsidRPr="00873CD4">
        <w:rPr>
          <w:rFonts w:hint="cs"/>
          <w:b/>
          <w:bCs/>
          <w:rtl/>
        </w:rPr>
        <w:t xml:space="preserve"> </w:t>
      </w:r>
      <w:r w:rsidRPr="00873CD4">
        <w:rPr>
          <w:b/>
          <w:bCs/>
        </w:rPr>
        <w:t>(2011)</w:t>
      </w:r>
      <w:r w:rsidRPr="00873CD4">
        <w:rPr>
          <w:rFonts w:hint="cs"/>
          <w:b/>
          <w:bCs/>
          <w:rtl/>
        </w:rPr>
        <w:t>،</w:t>
      </w:r>
      <w:r w:rsidRPr="00873CD4">
        <w:rPr>
          <w:rFonts w:hint="cs"/>
          <w:rtl/>
        </w:rPr>
        <w:t xml:space="preserve"> </w:t>
      </w:r>
      <w:r w:rsidRPr="00F52243">
        <w:rPr>
          <w:rFonts w:hint="cs"/>
          <w:i/>
          <w:iCs/>
          <w:rtl/>
        </w:rPr>
        <w:t>أجهزة الإرسال - الاستقبال السلكية</w:t>
      </w:r>
      <w:r w:rsidRPr="00F52243">
        <w:rPr>
          <w:i/>
          <w:iCs/>
          <w:rtl/>
        </w:rPr>
        <w:t xml:space="preserve"> الموحدة </w:t>
      </w:r>
      <w:r w:rsidR="00F52243" w:rsidRPr="00F52243">
        <w:rPr>
          <w:rFonts w:hint="cs"/>
          <w:i/>
          <w:iCs/>
          <w:rtl/>
        </w:rPr>
        <w:t>عالية السرعة في</w:t>
      </w:r>
      <w:r w:rsidR="00A1284C">
        <w:rPr>
          <w:rFonts w:hint="eastAsia"/>
          <w:i/>
          <w:iCs/>
          <w:rtl/>
        </w:rPr>
        <w:t> </w:t>
      </w:r>
      <w:r w:rsidR="00F52243" w:rsidRPr="00F52243">
        <w:rPr>
          <w:rFonts w:hint="cs"/>
          <w:i/>
          <w:iCs/>
          <w:rtl/>
        </w:rPr>
        <w:t>الشبكات المنزلية</w:t>
      </w:r>
      <w:r w:rsidRPr="00F52243">
        <w:rPr>
          <w:rFonts w:hint="cs"/>
          <w:i/>
          <w:iCs/>
          <w:rtl/>
        </w:rPr>
        <w:t xml:space="preserve"> </w:t>
      </w:r>
      <w:r w:rsidRPr="00F52243">
        <w:rPr>
          <w:i/>
          <w:iCs/>
          <w:rtl/>
        </w:rPr>
        <w:t>-</w:t>
      </w:r>
      <w:r w:rsidRPr="00F52243">
        <w:rPr>
          <w:rFonts w:hint="cs"/>
          <w:i/>
          <w:iCs/>
          <w:rtl/>
        </w:rPr>
        <w:t xml:space="preserve"> </w:t>
      </w:r>
      <w:r w:rsidR="00F52243" w:rsidRPr="00F52243">
        <w:rPr>
          <w:rFonts w:hint="cs"/>
          <w:i/>
          <w:iCs/>
          <w:rtl/>
        </w:rPr>
        <w:t>مواصفات بشأن الكثافة الطيفية للقدرة:</w:t>
      </w:r>
      <w:r w:rsidRPr="00F52243">
        <w:rPr>
          <w:rFonts w:hint="cs"/>
          <w:i/>
          <w:iCs/>
          <w:rtl/>
        </w:rPr>
        <w:t xml:space="preserve"> التعديل </w:t>
      </w:r>
      <w:r w:rsidRPr="00F52243">
        <w:rPr>
          <w:i/>
          <w:iCs/>
        </w:rPr>
        <w:t>1</w:t>
      </w:r>
      <w:r w:rsidRPr="00F52243">
        <w:rPr>
          <w:rFonts w:hint="cs"/>
          <w:i/>
          <w:iCs/>
          <w:rtl/>
        </w:rPr>
        <w:t>.</w:t>
      </w:r>
      <w:r w:rsidRPr="00873CD4">
        <w:rPr>
          <w:rFonts w:hint="cs"/>
          <w:rtl/>
        </w:rPr>
        <w:t xml:space="preserve"> </w:t>
      </w:r>
    </w:p>
    <w:p w:rsidR="00873CD4" w:rsidRPr="00A1284C" w:rsidRDefault="00873CD4" w:rsidP="00A1284C">
      <w:pPr>
        <w:spacing w:line="180" w:lineRule="auto"/>
        <w:rPr>
          <w:spacing w:val="-4"/>
          <w:rtl/>
        </w:rPr>
      </w:pPr>
      <w:r w:rsidRPr="00A1284C">
        <w:rPr>
          <w:spacing w:val="-4"/>
        </w:rPr>
        <w:t>3</w:t>
      </w:r>
      <w:r w:rsidRPr="00A1284C">
        <w:rPr>
          <w:rFonts w:hint="cs"/>
          <w:i/>
          <w:iCs/>
          <w:spacing w:val="-4"/>
          <w:rtl/>
        </w:rPr>
        <w:tab/>
      </w:r>
      <w:r w:rsidRPr="00A1284C">
        <w:rPr>
          <w:rFonts w:hint="cs"/>
          <w:spacing w:val="-4"/>
          <w:rtl/>
        </w:rPr>
        <w:t>ويمكن الاطلاع على معلومات براءات الاختراع المتاحة على الخط مباشرة في الموقع الإلكتروني لقطاع تقييس</w:t>
      </w:r>
      <w:r w:rsidR="00A1284C">
        <w:rPr>
          <w:rFonts w:hint="eastAsia"/>
          <w:spacing w:val="-4"/>
          <w:rtl/>
        </w:rPr>
        <w:t> </w:t>
      </w:r>
      <w:r w:rsidRPr="00A1284C">
        <w:rPr>
          <w:rFonts w:hint="cs"/>
          <w:spacing w:val="-4"/>
          <w:rtl/>
        </w:rPr>
        <w:t>الاتصالات.</w:t>
      </w:r>
    </w:p>
    <w:p w:rsidR="00873CD4" w:rsidRPr="00873CD4" w:rsidRDefault="00873CD4" w:rsidP="00A1284C">
      <w:pPr>
        <w:spacing w:line="180" w:lineRule="auto"/>
        <w:rPr>
          <w:rtl/>
        </w:rPr>
      </w:pPr>
      <w:r w:rsidRPr="00873CD4">
        <w:t>4</w:t>
      </w:r>
      <w:r w:rsidRPr="00873CD4">
        <w:tab/>
      </w:r>
      <w:r w:rsidRPr="00873CD4">
        <w:rPr>
          <w:rFonts w:hint="cs"/>
          <w:rtl/>
        </w:rPr>
        <w:t>وسيتوفر قريباً نص التعديل في صيغته السابقة على النشر في الموقع الإلكتروني لقطاع تقييس</w:t>
      </w:r>
      <w:r w:rsidR="00A1284C">
        <w:rPr>
          <w:rFonts w:hint="eastAsia"/>
          <w:rtl/>
        </w:rPr>
        <w:t> </w:t>
      </w:r>
      <w:r w:rsidRPr="00873CD4">
        <w:rPr>
          <w:rFonts w:hint="cs"/>
          <w:rtl/>
        </w:rPr>
        <w:t>الاتصالات.</w:t>
      </w:r>
    </w:p>
    <w:p w:rsidR="00873CD4" w:rsidRPr="00873CD4" w:rsidRDefault="00873CD4" w:rsidP="00A1284C">
      <w:pPr>
        <w:spacing w:line="180" w:lineRule="auto"/>
        <w:rPr>
          <w:rtl/>
        </w:rPr>
      </w:pPr>
      <w:r w:rsidRPr="00873CD4">
        <w:t>5</w:t>
      </w:r>
      <w:r w:rsidRPr="00873CD4">
        <w:rPr>
          <w:rFonts w:hint="cs"/>
          <w:rtl/>
        </w:rPr>
        <w:tab/>
        <w:t>وسينشر الاتحاد نص هذا التعديل بأسرع ما يمكن.</w:t>
      </w:r>
    </w:p>
    <w:p w:rsidR="00706D7A" w:rsidRDefault="00521E65" w:rsidP="00A1284C">
      <w:pPr>
        <w:spacing w:line="180" w:lineRule="auto"/>
      </w:pPr>
      <w:bookmarkStart w:id="0" w:name="_GoBack"/>
      <w:bookmarkEnd w:id="0"/>
      <w:r w:rsidRPr="00521E65">
        <w:rPr>
          <w:rFonts w:hint="cs"/>
          <w:rtl/>
        </w:rPr>
        <w:t>وتفضلوا بقبول فائق التقدير والاحترام.</w:t>
      </w:r>
    </w:p>
    <w:p w:rsidR="00DD483B" w:rsidRDefault="00DD483B" w:rsidP="00A1284C">
      <w:pPr>
        <w:spacing w:line="180" w:lineRule="auto"/>
        <w:rPr>
          <w:rtl/>
        </w:rPr>
      </w:pPr>
    </w:p>
    <w:p w:rsidR="00521E65" w:rsidRDefault="00521E65" w:rsidP="00DD483B">
      <w:pPr>
        <w:spacing w:before="4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521E65" w:rsidRDefault="00521E65" w:rsidP="00A1284C">
      <w:pPr>
        <w:spacing w:before="240"/>
        <w:jc w:val="left"/>
        <w:rPr>
          <w:rtl/>
          <w:lang w:bidi="ar-SY"/>
        </w:rPr>
      </w:pPr>
      <w:r w:rsidRPr="00521E65">
        <w:rPr>
          <w:rFonts w:hint="cs"/>
          <w:b/>
          <w:bCs/>
          <w:rtl/>
          <w:lang w:bidi="ar-SY"/>
        </w:rPr>
        <w:t xml:space="preserve">الملحقات: </w:t>
      </w:r>
      <w:r w:rsidR="00F52243" w:rsidRPr="00A55C5E">
        <w:rPr>
          <w:lang w:bidi="ar-SY"/>
        </w:rPr>
        <w:t>1</w:t>
      </w:r>
      <w:r>
        <w:rPr>
          <w:rtl/>
          <w:lang w:bidi="ar-SY"/>
        </w:rPr>
        <w:br w:type="page"/>
      </w:r>
    </w:p>
    <w:p w:rsidR="00A1284C" w:rsidRDefault="00873CD4" w:rsidP="00A1284C">
      <w:pPr>
        <w:pStyle w:val="AnnexNo"/>
        <w:rPr>
          <w:rtl/>
        </w:rPr>
      </w:pPr>
      <w:r w:rsidRPr="00F52243">
        <w:rPr>
          <w:rFonts w:hint="cs"/>
          <w:rtl/>
        </w:rPr>
        <w:lastRenderedPageBreak/>
        <w:t xml:space="preserve">الملحق </w:t>
      </w:r>
      <w:r w:rsidRPr="00F52243">
        <w:rPr>
          <w:lang w:val="en-GB"/>
        </w:rPr>
        <w:t>1</w:t>
      </w:r>
    </w:p>
    <w:p w:rsidR="00873CD4" w:rsidRPr="00A1284C" w:rsidRDefault="00873CD4" w:rsidP="00A1284C">
      <w:pPr>
        <w:spacing w:after="240"/>
        <w:jc w:val="center"/>
        <w:rPr>
          <w:rtl/>
        </w:rPr>
      </w:pPr>
      <w:r w:rsidRPr="00A1284C">
        <w:rPr>
          <w:rFonts w:hint="cs"/>
          <w:rtl/>
        </w:rPr>
        <w:t xml:space="preserve">(بالرسالة المعمّمة </w:t>
      </w:r>
      <w:r w:rsidRPr="00A1284C">
        <w:t>201</w:t>
      </w:r>
      <w:r w:rsidRPr="00A1284C">
        <w:rPr>
          <w:rFonts w:hint="cs"/>
          <w:rtl/>
        </w:rPr>
        <w:t xml:space="preserve"> لمكتب تقييس الاتصالات)</w:t>
      </w:r>
    </w:p>
    <w:p w:rsidR="00873CD4" w:rsidRPr="00873CD4" w:rsidRDefault="00873CD4" w:rsidP="00F52243">
      <w:pPr>
        <w:pStyle w:val="Annextitle"/>
        <w:rPr>
          <w:rtl/>
        </w:rPr>
      </w:pPr>
      <w:r w:rsidRPr="00873CD4">
        <w:rPr>
          <w:rFonts w:hint="cs"/>
          <w:rtl/>
        </w:rPr>
        <w:t xml:space="preserve">ملخص التعديل </w:t>
      </w:r>
      <w:r w:rsidRPr="00873CD4">
        <w:t>1</w:t>
      </w:r>
      <w:r w:rsidRPr="00873CD4">
        <w:rPr>
          <w:rFonts w:hint="cs"/>
          <w:rtl/>
        </w:rPr>
        <w:t xml:space="preserve"> للتوصية </w:t>
      </w:r>
      <w:r w:rsidRPr="00873CD4">
        <w:t>(2011) ITU-T G.9964</w:t>
      </w:r>
    </w:p>
    <w:p w:rsidR="00F52243" w:rsidRPr="00873CD4" w:rsidRDefault="00F52243" w:rsidP="00F52243">
      <w:pPr>
        <w:pStyle w:val="Headingb"/>
        <w:rPr>
          <w:rtl/>
        </w:rPr>
      </w:pPr>
      <w:r w:rsidRPr="00873CD4">
        <w:rPr>
          <w:rFonts w:hint="cs"/>
          <w:rtl/>
        </w:rPr>
        <w:t xml:space="preserve">ملخص التعديل </w:t>
      </w:r>
      <w:r w:rsidRPr="00873CD4">
        <w:t>1</w:t>
      </w:r>
      <w:r w:rsidRPr="00873CD4">
        <w:rPr>
          <w:rFonts w:hint="cs"/>
          <w:rtl/>
        </w:rPr>
        <w:t xml:space="preserve"> للتوصية </w:t>
      </w:r>
      <w:r w:rsidRPr="00873CD4">
        <w:t>(2011) ITU-T G.9964</w:t>
      </w:r>
    </w:p>
    <w:p w:rsidR="00873CD4" w:rsidRDefault="00873CD4" w:rsidP="00A1284C">
      <w:r w:rsidRPr="00873CD4">
        <w:rPr>
          <w:rFonts w:hint="cs"/>
          <w:rtl/>
        </w:rPr>
        <w:t xml:space="preserve">يُضيف التعديل </w:t>
      </w:r>
      <w:r w:rsidRPr="00873CD4">
        <w:t>1</w:t>
      </w:r>
      <w:r w:rsidRPr="00873CD4">
        <w:rPr>
          <w:rFonts w:hint="cs"/>
          <w:rtl/>
        </w:rPr>
        <w:t xml:space="preserve"> للتوصية </w:t>
      </w:r>
      <w:r w:rsidRPr="00873CD4">
        <w:t>(2011) ITU-T G.9964</w:t>
      </w:r>
      <w:r w:rsidRPr="00873CD4">
        <w:rPr>
          <w:rFonts w:hint="cs"/>
          <w:rtl/>
        </w:rPr>
        <w:t xml:space="preserve"> </w:t>
      </w:r>
      <w:r w:rsidRPr="00873CD4">
        <w:rPr>
          <w:rtl/>
        </w:rPr>
        <w:t>دعماً لتوصيف جديد للكبلات المحورية في النطاق الأساسي</w:t>
      </w:r>
      <w:r w:rsidRPr="00873CD4">
        <w:rPr>
          <w:rFonts w:hint="cs"/>
          <w:rtl/>
        </w:rPr>
        <w:t xml:space="preserve"> </w:t>
      </w:r>
      <w:r w:rsidRPr="00873CD4">
        <w:t>MHz</w:t>
      </w:r>
      <w:r w:rsidR="00A1284C">
        <w:t> </w:t>
      </w:r>
      <w:r w:rsidRPr="00873CD4">
        <w:t>200</w:t>
      </w:r>
      <w:r w:rsidRPr="00873CD4">
        <w:rPr>
          <w:rFonts w:hint="cs"/>
          <w:rtl/>
        </w:rPr>
        <w:t>.</w:t>
      </w:r>
    </w:p>
    <w:p w:rsidR="00F52243" w:rsidRPr="00873CD4" w:rsidRDefault="00F52243" w:rsidP="00F52243">
      <w:pPr>
        <w:spacing w:before="600"/>
        <w:jc w:val="center"/>
        <w:rPr>
          <w:rtl/>
          <w:lang w:bidi="ar-EG"/>
        </w:rPr>
      </w:pPr>
      <w:r>
        <w:rPr>
          <w:rtl/>
          <w:lang w:bidi="ar-EG"/>
        </w:rPr>
        <w:t>___________</w:t>
      </w:r>
    </w:p>
    <w:sectPr w:rsidR="00F52243" w:rsidRPr="00873CD4" w:rsidSect="0030035F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979" w:rsidRDefault="00CD7979" w:rsidP="0030035F">
      <w:pPr>
        <w:spacing w:before="0" w:line="240" w:lineRule="auto"/>
      </w:pPr>
      <w:r>
        <w:separator/>
      </w:r>
    </w:p>
  </w:endnote>
  <w:end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5F" w:rsidRPr="00576BC1" w:rsidRDefault="00576BC1" w:rsidP="00576BC1">
    <w:pPr>
      <w:pStyle w:val="Footer"/>
      <w:rPr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ITU-T\BUREAU\CIRC\201A.DOC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78" w:rsidRDefault="009C5978" w:rsidP="009C5978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979" w:rsidRDefault="00CD7979" w:rsidP="0030035F">
      <w:pPr>
        <w:spacing w:before="0" w:line="240" w:lineRule="auto"/>
      </w:pPr>
      <w:r>
        <w:separator/>
      </w:r>
    </w:p>
  </w:footnote>
  <w:footnote w:type="continuationSeparator" w:id="0">
    <w:p w:rsidR="00CD7979" w:rsidRDefault="00CD7979" w:rsidP="0030035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497" w:rsidRPr="00FD4CDE" w:rsidRDefault="00E57497" w:rsidP="00EE5CF9">
    <w:pPr>
      <w:pStyle w:val="Header"/>
      <w:spacing w:before="120" w:after="240"/>
      <w:jc w:val="center"/>
      <w:rPr>
        <w:rFonts w:asciiTheme="minorHAnsi" w:eastAsiaTheme="majorEastAsia" w:hAnsiTheme="minorHAnsi" w:cs="Calibri"/>
        <w:sz w:val="18"/>
        <w:szCs w:val="18"/>
      </w:rPr>
    </w:pPr>
    <w:r>
      <w:rPr>
        <w:rFonts w:cs="Calibri"/>
        <w:sz w:val="20"/>
        <w:szCs w:val="20"/>
      </w:rPr>
      <w:t xml:space="preserve"> </w:t>
    </w:r>
    <w:r w:rsidRPr="00FD4CDE">
      <w:rPr>
        <w:rFonts w:cs="Calibri"/>
        <w:sz w:val="18"/>
        <w:szCs w:val="18"/>
      </w:rPr>
      <w:t>-</w:t>
    </w:r>
    <w:r w:rsidRPr="00FD4CDE">
      <w:rPr>
        <w:rFonts w:asciiTheme="minorHAnsi" w:eastAsiaTheme="majorEastAsia" w:hAnsiTheme="minorHAnsi" w:cs="Calibri"/>
        <w:sz w:val="18"/>
        <w:szCs w:val="18"/>
      </w:rPr>
      <w:fldChar w:fldCharType="begin"/>
    </w:r>
    <w:r w:rsidRPr="00FD4CDE">
      <w:rPr>
        <w:rFonts w:asciiTheme="minorHAnsi" w:eastAsiaTheme="majorEastAsia" w:hAnsiTheme="minorHAnsi" w:cs="Calibri"/>
        <w:sz w:val="18"/>
        <w:szCs w:val="18"/>
      </w:rPr>
      <w:instrText xml:space="preserve"> PAGE </w:instrText>
    </w:r>
    <w:r w:rsidRPr="00FD4CDE">
      <w:rPr>
        <w:rFonts w:asciiTheme="minorHAnsi" w:eastAsiaTheme="majorEastAsia" w:hAnsiTheme="minorHAnsi" w:cs="Calibri"/>
        <w:sz w:val="18"/>
        <w:szCs w:val="18"/>
      </w:rPr>
      <w:fldChar w:fldCharType="separate"/>
    </w:r>
    <w:r w:rsidR="0039334D">
      <w:rPr>
        <w:rFonts w:asciiTheme="minorHAnsi" w:eastAsiaTheme="majorEastAsia" w:hAnsiTheme="minorHAnsi" w:cs="Times New Roman"/>
        <w:noProof/>
        <w:sz w:val="18"/>
        <w:szCs w:val="18"/>
        <w:rtl/>
      </w:rPr>
      <w:t>2</w:t>
    </w:r>
    <w:r w:rsidRPr="00FD4CDE">
      <w:rPr>
        <w:rFonts w:asciiTheme="minorHAnsi" w:eastAsiaTheme="majorEastAsia" w:hAnsiTheme="minorHAnsi" w:cs="Calibri"/>
        <w:sz w:val="18"/>
        <w:szCs w:val="18"/>
      </w:rPr>
      <w:fldChar w:fldCharType="end"/>
    </w:r>
    <w:r w:rsidRPr="00FD4CDE">
      <w:rPr>
        <w:rFonts w:asciiTheme="minorHAnsi" w:eastAsiaTheme="majorEastAsia" w:hAnsiTheme="minorHAnsi" w:cs="Calibri"/>
        <w:sz w:val="18"/>
        <w:szCs w:val="18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79"/>
    <w:rsid w:val="00090574"/>
    <w:rsid w:val="00097ABC"/>
    <w:rsid w:val="00150BF1"/>
    <w:rsid w:val="00173915"/>
    <w:rsid w:val="001A66D8"/>
    <w:rsid w:val="002150CF"/>
    <w:rsid w:val="0023283D"/>
    <w:rsid w:val="002978F4"/>
    <w:rsid w:val="002B028D"/>
    <w:rsid w:val="002E6541"/>
    <w:rsid w:val="0030035F"/>
    <w:rsid w:val="00346EA2"/>
    <w:rsid w:val="00357185"/>
    <w:rsid w:val="0039334D"/>
    <w:rsid w:val="003C18D6"/>
    <w:rsid w:val="003F678F"/>
    <w:rsid w:val="0042686F"/>
    <w:rsid w:val="00443869"/>
    <w:rsid w:val="004C0835"/>
    <w:rsid w:val="00501E0E"/>
    <w:rsid w:val="00521E65"/>
    <w:rsid w:val="0055516A"/>
    <w:rsid w:val="00576BC1"/>
    <w:rsid w:val="005A0987"/>
    <w:rsid w:val="00624294"/>
    <w:rsid w:val="00643E02"/>
    <w:rsid w:val="006F63F7"/>
    <w:rsid w:val="00706D7A"/>
    <w:rsid w:val="00803F08"/>
    <w:rsid w:val="008235CD"/>
    <w:rsid w:val="008513CB"/>
    <w:rsid w:val="00873CD4"/>
    <w:rsid w:val="008D18E9"/>
    <w:rsid w:val="00982B28"/>
    <w:rsid w:val="009C5978"/>
    <w:rsid w:val="009E6ED8"/>
    <w:rsid w:val="00A1284C"/>
    <w:rsid w:val="00A55C5E"/>
    <w:rsid w:val="00A96D6E"/>
    <w:rsid w:val="00A97F94"/>
    <w:rsid w:val="00BB1FA2"/>
    <w:rsid w:val="00BE211E"/>
    <w:rsid w:val="00C674FE"/>
    <w:rsid w:val="00C75633"/>
    <w:rsid w:val="00CD7979"/>
    <w:rsid w:val="00CE2EE1"/>
    <w:rsid w:val="00CF3FFD"/>
    <w:rsid w:val="00D77D0F"/>
    <w:rsid w:val="00DA1CF0"/>
    <w:rsid w:val="00DB192D"/>
    <w:rsid w:val="00DC24B4"/>
    <w:rsid w:val="00DD483B"/>
    <w:rsid w:val="00DF16DC"/>
    <w:rsid w:val="00E17033"/>
    <w:rsid w:val="00E45211"/>
    <w:rsid w:val="00E57497"/>
    <w:rsid w:val="00EE5CF9"/>
    <w:rsid w:val="00F2170C"/>
    <w:rsid w:val="00F52243"/>
    <w:rsid w:val="00F84366"/>
    <w:rsid w:val="00F85089"/>
    <w:rsid w:val="00FD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2781E56-069F-4986-ACF9-56C6E9BF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FA2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BF1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BF1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BF1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0BF1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0BF1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0BF1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0BF1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0BF1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0BF1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E211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150BF1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0BF1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50BF1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BE211E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1A66D8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150BF1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150BF1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E211E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BE211E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BE211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BE211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9C59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035F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5F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BE211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BE211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BE211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BE211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BE211E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BE211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E211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BE211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BE211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E211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BE211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BE211E"/>
    <w:rPr>
      <w:smallCaps/>
      <w:color w:val="FF0000"/>
    </w:rPr>
  </w:style>
  <w:style w:type="paragraph" w:customStyle="1" w:styleId="Headingb">
    <w:name w:val="Heading b"/>
    <w:basedOn w:val="Normal"/>
    <w:qFormat/>
    <w:rsid w:val="00BE211E"/>
    <w:pPr>
      <w:keepNext/>
      <w:spacing w:before="240"/>
    </w:pPr>
    <w:rPr>
      <w:b/>
      <w:bCs/>
      <w:lang w:bidi="ar-SY"/>
    </w:rPr>
  </w:style>
  <w:style w:type="paragraph" w:customStyle="1" w:styleId="Footnotetexte">
    <w:name w:val="Footnote texte"/>
    <w:basedOn w:val="Normal"/>
    <w:qFormat/>
    <w:rsid w:val="00BE211E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BE211E"/>
    <w:pPr>
      <w:spacing w:before="80"/>
    </w:pPr>
    <w:rPr>
      <w:lang w:bidi="ar-SY"/>
    </w:rPr>
  </w:style>
  <w:style w:type="paragraph" w:customStyle="1" w:styleId="FirstFooter">
    <w:name w:val="FirstFooter"/>
    <w:basedOn w:val="Footer"/>
    <w:rsid w:val="009C5978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AF2F-B90A-4B8A-B720-CC9B99D2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PA_TSBcirc.dotx</Template>
  <TotalTime>22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Saad, Samuel</dc:creator>
  <cp:keywords/>
  <dc:description>201A.DOCX  For: _x000d_Document date: _x000d_Saved by ITU51010110 at 08:37:52 on 30/03/16</dc:description>
  <cp:lastModifiedBy>Osvath, Alexandra</cp:lastModifiedBy>
  <cp:revision>10</cp:revision>
  <cp:lastPrinted>2016-03-30T08:48:00Z</cp:lastPrinted>
  <dcterms:created xsi:type="dcterms:W3CDTF">2016-03-29T07:11:00Z</dcterms:created>
  <dcterms:modified xsi:type="dcterms:W3CDTF">2016-03-30T08:48:00Z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201A.DOCX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